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770543C1" w14:textId="77777777" w:rsidTr="00BF1190">
        <w:trPr>
          <w:trHeight w:val="1863"/>
        </w:trPr>
        <w:tc>
          <w:tcPr>
            <w:tcW w:w="3652" w:type="dxa"/>
            <w:tcBorders>
              <w:top w:val="nil"/>
              <w:left w:val="nil"/>
              <w:bottom w:val="nil"/>
              <w:right w:val="nil"/>
            </w:tcBorders>
          </w:tcPr>
          <w:p w14:paraId="1212D1BF" w14:textId="3BCCAEDF" w:rsidR="008E7846" w:rsidRPr="00096AA7" w:rsidRDefault="001644B2" w:rsidP="00096AA7">
            <w:pPr>
              <w:rPr>
                <w:rFonts w:ascii="Arial" w:hAnsi="Arial" w:cs="Arial"/>
                <w:b/>
                <w:color w:val="002C47"/>
                <w:sz w:val="36"/>
                <w:szCs w:val="36"/>
              </w:rPr>
            </w:pPr>
            <w:r>
              <w:rPr>
                <w:rFonts w:ascii="Arial" w:hAnsi="Arial" w:cs="Arial"/>
                <w:b/>
                <w:color w:val="002C47"/>
                <w:sz w:val="36"/>
                <w:szCs w:val="36"/>
              </w:rPr>
              <w:t>April</w:t>
            </w:r>
            <w:r w:rsidR="00C346AB">
              <w:rPr>
                <w:rFonts w:ascii="Arial" w:hAnsi="Arial" w:cs="Arial"/>
                <w:b/>
                <w:color w:val="002C47"/>
                <w:sz w:val="36"/>
                <w:szCs w:val="36"/>
              </w:rPr>
              <w:t xml:space="preserve"> </w:t>
            </w:r>
            <w:r w:rsidR="00F321E4">
              <w:rPr>
                <w:rFonts w:ascii="Arial" w:hAnsi="Arial" w:cs="Arial"/>
                <w:b/>
                <w:color w:val="002C47"/>
                <w:sz w:val="36"/>
                <w:szCs w:val="36"/>
              </w:rPr>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064A5CDD" w14:textId="77777777" w:rsidTr="0032583B">
        <w:trPr>
          <w:trHeight w:val="868"/>
        </w:trPr>
        <w:tc>
          <w:tcPr>
            <w:tcW w:w="9079" w:type="dxa"/>
          </w:tcPr>
          <w:p w14:paraId="20054C3C" w14:textId="381413F1" w:rsidR="0032583B" w:rsidRPr="00A964D1" w:rsidRDefault="0032583B" w:rsidP="00460036">
            <w:pPr>
              <w:pStyle w:val="Title"/>
              <w:rPr>
                <w:color w:val="FFFFFF" w:themeColor="background1"/>
              </w:rPr>
            </w:pPr>
            <w:r w:rsidRPr="00A964D1">
              <w:rPr>
                <w:color w:val="FFFFFF" w:themeColor="background1"/>
              </w:rPr>
              <w:t xml:space="preserve">Australian Public Assessment Report for </w:t>
            </w:r>
            <w:proofErr w:type="spellStart"/>
            <w:r w:rsidR="00F321E4" w:rsidRPr="00F321E4">
              <w:rPr>
                <w:color w:val="FFFFFF" w:themeColor="background1"/>
              </w:rPr>
              <w:t>Venetoclax</w:t>
            </w:r>
            <w:proofErr w:type="spellEnd"/>
          </w:p>
        </w:tc>
      </w:tr>
      <w:tr w:rsidR="0032583B" w:rsidRPr="00B64760" w14:paraId="3FA7F018" w14:textId="77777777" w:rsidTr="0032583B">
        <w:tc>
          <w:tcPr>
            <w:tcW w:w="9079" w:type="dxa"/>
          </w:tcPr>
          <w:p w14:paraId="6DD92D33" w14:textId="44F659F8" w:rsidR="0032583B" w:rsidRPr="008E7846" w:rsidRDefault="0032583B" w:rsidP="00460036">
            <w:pPr>
              <w:pStyle w:val="Subtitle"/>
              <w:rPr>
                <w:color w:val="FFFFFF" w:themeColor="background1"/>
              </w:rPr>
            </w:pPr>
            <w:r w:rsidRPr="008E7846">
              <w:rPr>
                <w:color w:val="FFFFFF" w:themeColor="background1"/>
              </w:rPr>
              <w:t xml:space="preserve">Proprietary Product Name: </w:t>
            </w:r>
            <w:proofErr w:type="spellStart"/>
            <w:r w:rsidR="00F321E4" w:rsidRPr="00F321E4">
              <w:rPr>
                <w:color w:val="FFFFFF" w:themeColor="background1"/>
              </w:rPr>
              <w:t>Venclexta</w:t>
            </w:r>
            <w:proofErr w:type="spellEnd"/>
          </w:p>
        </w:tc>
      </w:tr>
      <w:tr w:rsidR="0032583B" w:rsidRPr="00B64760" w14:paraId="66866B77" w14:textId="77777777" w:rsidTr="0032583B">
        <w:trPr>
          <w:trHeight w:val="486"/>
        </w:trPr>
        <w:tc>
          <w:tcPr>
            <w:tcW w:w="9079" w:type="dxa"/>
          </w:tcPr>
          <w:p w14:paraId="28B29838" w14:textId="12447BB0" w:rsidR="0032583B" w:rsidRPr="008E7846" w:rsidRDefault="00460036" w:rsidP="0032583B">
            <w:pPr>
              <w:pStyle w:val="Subtitle"/>
              <w:rPr>
                <w:color w:val="FFFFFF" w:themeColor="background1"/>
              </w:rPr>
            </w:pPr>
            <w:r>
              <w:rPr>
                <w:color w:val="FFFFFF" w:themeColor="background1"/>
              </w:rPr>
              <w:t xml:space="preserve">Sponsor: </w:t>
            </w:r>
            <w:r w:rsidR="00F321E4">
              <w:rPr>
                <w:color w:val="FFFFFF" w:themeColor="background1"/>
              </w:rPr>
              <w:t>AbbVie Pty Ltd</w:t>
            </w:r>
          </w:p>
        </w:tc>
      </w:tr>
    </w:tbl>
    <w:p w14:paraId="4DD5AD3D" w14:textId="77777777" w:rsidR="008E7846" w:rsidRPr="0085156D" w:rsidRDefault="008E7846" w:rsidP="0085156D">
      <w:r w:rsidRPr="0085156D">
        <w:br w:type="page"/>
      </w:r>
    </w:p>
    <w:p w14:paraId="1963E46A" w14:textId="77777777" w:rsidR="008E7846" w:rsidRPr="001F6CBA" w:rsidRDefault="008E7846" w:rsidP="008E7846">
      <w:pPr>
        <w:pStyle w:val="NonTOCHeading2"/>
      </w:pPr>
      <w:r w:rsidRPr="001F6CBA">
        <w:lastRenderedPageBreak/>
        <w:t>About the Therapeutic Goods Administration (TGA)</w:t>
      </w:r>
    </w:p>
    <w:p w14:paraId="283E7586"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F2F664D"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w:t>
      </w:r>
      <w:proofErr w:type="gramStart"/>
      <w:r w:rsidR="008E7846">
        <w:t>safety</w:t>
      </w:r>
      <w:proofErr w:type="gramEnd"/>
      <w:r w:rsidR="008E7846">
        <w:t xml:space="preserve"> and efficacy (performance) when necessary.</w:t>
      </w:r>
    </w:p>
    <w:p w14:paraId="587482E5"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08CE6CD4"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7231A820" w14:textId="6F4E886F"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760BCCC8" w14:textId="77777777" w:rsidR="008E7846" w:rsidRDefault="008E7846" w:rsidP="00875A6B">
      <w:pPr>
        <w:pStyle w:val="NonTOCHeading2"/>
      </w:pPr>
      <w:r>
        <w:t xml:space="preserve">About </w:t>
      </w:r>
      <w:proofErr w:type="spellStart"/>
      <w:r>
        <w:t>AusPARs</w:t>
      </w:r>
      <w:proofErr w:type="spellEnd"/>
    </w:p>
    <w:p w14:paraId="3DBC09EB" w14:textId="77777777" w:rsidR="008E7846" w:rsidRDefault="008E7846" w:rsidP="00F13010">
      <w:pPr>
        <w:pStyle w:val="ListBullet"/>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71D5608C"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21E5D572" w14:textId="77777777" w:rsidR="008E7846" w:rsidRDefault="008E7846" w:rsidP="008E7846">
      <w:pPr>
        <w:pStyle w:val="ListBullet"/>
        <w:numPr>
          <w:ilvl w:val="0"/>
          <w:numId w:val="3"/>
        </w:numPr>
        <w:ind w:left="357" w:hanging="357"/>
      </w:pPr>
      <w:r>
        <w:t xml:space="preserve">An AusPAR is prepared for submissions that relate to new chemical entities, generic medicines, major </w:t>
      </w:r>
      <w:proofErr w:type="gramStart"/>
      <w:r>
        <w:t>variations</w:t>
      </w:r>
      <w:proofErr w:type="gramEnd"/>
      <w:r>
        <w:t xml:space="preserve"> and extensions of indications.</w:t>
      </w:r>
    </w:p>
    <w:p w14:paraId="093A3030"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185756A4"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69A383B4" w14:textId="77777777" w:rsidR="00924482" w:rsidRPr="00DF1D7F" w:rsidRDefault="00924482" w:rsidP="00F54B65">
      <w:pPr>
        <w:pStyle w:val="LegalSubheading"/>
        <w:spacing w:before="3120"/>
      </w:pPr>
      <w:r w:rsidRPr="00DF1D7F">
        <w:t>Copyright</w:t>
      </w:r>
    </w:p>
    <w:p w14:paraId="41007E16" w14:textId="452DA0ED"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8254CB">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4AF1E8D5" w14:textId="77777777" w:rsidR="00924482" w:rsidRDefault="00924482" w:rsidP="00924482">
      <w:pPr>
        <w:pStyle w:val="LegalCopy"/>
        <w:sectPr w:rsidR="00924482" w:rsidSect="00D21B81">
          <w:headerReference w:type="default" r:id="rId10"/>
          <w:footerReference w:type="default" r:id="rId11"/>
          <w:headerReference w:type="first" r:id="rId12"/>
          <w:pgSz w:w="12240" w:h="15840"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D7E2139" w14:textId="77777777" w:rsidR="0089635C" w:rsidRPr="0089635C" w:rsidRDefault="0089635C" w:rsidP="0010788A">
          <w:pPr>
            <w:pStyle w:val="Contents"/>
          </w:pPr>
          <w:r w:rsidRPr="0010788A">
            <w:t>Contents</w:t>
          </w:r>
        </w:p>
        <w:p w14:paraId="1E61FC5B" w14:textId="42DB3558" w:rsidR="00B21B0B"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01431964" w:history="1">
            <w:r w:rsidR="00B21B0B" w:rsidRPr="00C94AA5">
              <w:rPr>
                <w:rStyle w:val="Hyperlink"/>
                <w:noProof/>
              </w:rPr>
              <w:t>List of abbreviations</w:t>
            </w:r>
            <w:r w:rsidR="00B21B0B">
              <w:rPr>
                <w:noProof/>
                <w:webHidden/>
              </w:rPr>
              <w:tab/>
            </w:r>
            <w:r w:rsidR="00B21B0B">
              <w:rPr>
                <w:noProof/>
                <w:webHidden/>
              </w:rPr>
              <w:fldChar w:fldCharType="begin"/>
            </w:r>
            <w:r w:rsidR="00B21B0B">
              <w:rPr>
                <w:noProof/>
                <w:webHidden/>
              </w:rPr>
              <w:instrText xml:space="preserve"> PAGEREF _Toc101431964 \h </w:instrText>
            </w:r>
            <w:r w:rsidR="00B21B0B">
              <w:rPr>
                <w:noProof/>
                <w:webHidden/>
              </w:rPr>
            </w:r>
            <w:r w:rsidR="00B21B0B">
              <w:rPr>
                <w:noProof/>
                <w:webHidden/>
              </w:rPr>
              <w:fldChar w:fldCharType="separate"/>
            </w:r>
            <w:r w:rsidR="00B21B0B">
              <w:rPr>
                <w:noProof/>
                <w:webHidden/>
              </w:rPr>
              <w:t>4</w:t>
            </w:r>
            <w:r w:rsidR="00B21B0B">
              <w:rPr>
                <w:noProof/>
                <w:webHidden/>
              </w:rPr>
              <w:fldChar w:fldCharType="end"/>
            </w:r>
          </w:hyperlink>
        </w:p>
        <w:p w14:paraId="301AE7DB" w14:textId="259999B5" w:rsidR="00B21B0B" w:rsidRDefault="00D300B8">
          <w:pPr>
            <w:pStyle w:val="TOC1"/>
            <w:rPr>
              <w:rFonts w:asciiTheme="minorHAnsi" w:eastAsiaTheme="minorEastAsia" w:hAnsiTheme="minorHAnsi" w:cstheme="minorBidi"/>
              <w:b w:val="0"/>
              <w:noProof/>
              <w:sz w:val="22"/>
              <w:lang w:eastAsia="en-AU"/>
            </w:rPr>
          </w:pPr>
          <w:hyperlink w:anchor="_Toc101431965" w:history="1">
            <w:r w:rsidR="00B21B0B" w:rsidRPr="00C94AA5">
              <w:rPr>
                <w:rStyle w:val="Hyperlink"/>
                <w:noProof/>
              </w:rPr>
              <w:t>I. Introduction to product submission</w:t>
            </w:r>
            <w:r w:rsidR="00B21B0B">
              <w:rPr>
                <w:noProof/>
                <w:webHidden/>
              </w:rPr>
              <w:tab/>
            </w:r>
            <w:r w:rsidR="00B21B0B">
              <w:rPr>
                <w:noProof/>
                <w:webHidden/>
              </w:rPr>
              <w:fldChar w:fldCharType="begin"/>
            </w:r>
            <w:r w:rsidR="00B21B0B">
              <w:rPr>
                <w:noProof/>
                <w:webHidden/>
              </w:rPr>
              <w:instrText xml:space="preserve"> PAGEREF _Toc101431965 \h </w:instrText>
            </w:r>
            <w:r w:rsidR="00B21B0B">
              <w:rPr>
                <w:noProof/>
                <w:webHidden/>
              </w:rPr>
            </w:r>
            <w:r w:rsidR="00B21B0B">
              <w:rPr>
                <w:noProof/>
                <w:webHidden/>
              </w:rPr>
              <w:fldChar w:fldCharType="separate"/>
            </w:r>
            <w:r w:rsidR="00B21B0B">
              <w:rPr>
                <w:noProof/>
                <w:webHidden/>
              </w:rPr>
              <w:t>6</w:t>
            </w:r>
            <w:r w:rsidR="00B21B0B">
              <w:rPr>
                <w:noProof/>
                <w:webHidden/>
              </w:rPr>
              <w:fldChar w:fldCharType="end"/>
            </w:r>
          </w:hyperlink>
        </w:p>
        <w:p w14:paraId="133D8A43" w14:textId="1F4A8E4C" w:rsidR="00B21B0B" w:rsidRDefault="00D300B8">
          <w:pPr>
            <w:pStyle w:val="TOC2"/>
            <w:rPr>
              <w:rFonts w:asciiTheme="minorHAnsi" w:eastAsiaTheme="minorEastAsia" w:hAnsiTheme="minorHAnsi" w:cstheme="minorBidi"/>
              <w:b w:val="0"/>
              <w:noProof/>
              <w:sz w:val="22"/>
              <w:lang w:eastAsia="en-AU"/>
            </w:rPr>
          </w:pPr>
          <w:hyperlink w:anchor="_Toc101431966" w:history="1">
            <w:r w:rsidR="00B21B0B" w:rsidRPr="00C94AA5">
              <w:rPr>
                <w:rStyle w:val="Hyperlink"/>
                <w:noProof/>
                <w:lang w:eastAsia="en-AU"/>
              </w:rPr>
              <w:t>Submission details</w:t>
            </w:r>
            <w:r w:rsidR="00B21B0B">
              <w:rPr>
                <w:noProof/>
                <w:webHidden/>
              </w:rPr>
              <w:tab/>
            </w:r>
            <w:r w:rsidR="00B21B0B">
              <w:rPr>
                <w:noProof/>
                <w:webHidden/>
              </w:rPr>
              <w:fldChar w:fldCharType="begin"/>
            </w:r>
            <w:r w:rsidR="00B21B0B">
              <w:rPr>
                <w:noProof/>
                <w:webHidden/>
              </w:rPr>
              <w:instrText xml:space="preserve"> PAGEREF _Toc101431966 \h </w:instrText>
            </w:r>
            <w:r w:rsidR="00B21B0B">
              <w:rPr>
                <w:noProof/>
                <w:webHidden/>
              </w:rPr>
            </w:r>
            <w:r w:rsidR="00B21B0B">
              <w:rPr>
                <w:noProof/>
                <w:webHidden/>
              </w:rPr>
              <w:fldChar w:fldCharType="separate"/>
            </w:r>
            <w:r w:rsidR="00B21B0B">
              <w:rPr>
                <w:noProof/>
                <w:webHidden/>
              </w:rPr>
              <w:t>6</w:t>
            </w:r>
            <w:r w:rsidR="00B21B0B">
              <w:rPr>
                <w:noProof/>
                <w:webHidden/>
              </w:rPr>
              <w:fldChar w:fldCharType="end"/>
            </w:r>
          </w:hyperlink>
        </w:p>
        <w:p w14:paraId="3AEDEDAE" w14:textId="28DB3418" w:rsidR="00B21B0B" w:rsidRDefault="00D300B8">
          <w:pPr>
            <w:pStyle w:val="TOC2"/>
            <w:rPr>
              <w:rFonts w:asciiTheme="minorHAnsi" w:eastAsiaTheme="minorEastAsia" w:hAnsiTheme="minorHAnsi" w:cstheme="minorBidi"/>
              <w:b w:val="0"/>
              <w:noProof/>
              <w:sz w:val="22"/>
              <w:lang w:eastAsia="en-AU"/>
            </w:rPr>
          </w:pPr>
          <w:hyperlink w:anchor="_Toc101431967" w:history="1">
            <w:r w:rsidR="00B21B0B" w:rsidRPr="00C94AA5">
              <w:rPr>
                <w:rStyle w:val="Hyperlink"/>
                <w:noProof/>
              </w:rPr>
              <w:t>Product background</w:t>
            </w:r>
            <w:r w:rsidR="00B21B0B">
              <w:rPr>
                <w:noProof/>
                <w:webHidden/>
              </w:rPr>
              <w:tab/>
            </w:r>
            <w:r w:rsidR="00B21B0B">
              <w:rPr>
                <w:noProof/>
                <w:webHidden/>
              </w:rPr>
              <w:fldChar w:fldCharType="begin"/>
            </w:r>
            <w:r w:rsidR="00B21B0B">
              <w:rPr>
                <w:noProof/>
                <w:webHidden/>
              </w:rPr>
              <w:instrText xml:space="preserve"> PAGEREF _Toc101431967 \h </w:instrText>
            </w:r>
            <w:r w:rsidR="00B21B0B">
              <w:rPr>
                <w:noProof/>
                <w:webHidden/>
              </w:rPr>
            </w:r>
            <w:r w:rsidR="00B21B0B">
              <w:rPr>
                <w:noProof/>
                <w:webHidden/>
              </w:rPr>
              <w:fldChar w:fldCharType="separate"/>
            </w:r>
            <w:r w:rsidR="00B21B0B">
              <w:rPr>
                <w:noProof/>
                <w:webHidden/>
              </w:rPr>
              <w:t>7</w:t>
            </w:r>
            <w:r w:rsidR="00B21B0B">
              <w:rPr>
                <w:noProof/>
                <w:webHidden/>
              </w:rPr>
              <w:fldChar w:fldCharType="end"/>
            </w:r>
          </w:hyperlink>
        </w:p>
        <w:p w14:paraId="54C3EEAC" w14:textId="37E239F5" w:rsidR="00B21B0B" w:rsidRDefault="00D300B8">
          <w:pPr>
            <w:pStyle w:val="TOC2"/>
            <w:rPr>
              <w:rFonts w:asciiTheme="minorHAnsi" w:eastAsiaTheme="minorEastAsia" w:hAnsiTheme="minorHAnsi" w:cstheme="minorBidi"/>
              <w:b w:val="0"/>
              <w:noProof/>
              <w:sz w:val="22"/>
              <w:lang w:eastAsia="en-AU"/>
            </w:rPr>
          </w:pPr>
          <w:hyperlink w:anchor="_Toc101431968" w:history="1">
            <w:r w:rsidR="00B21B0B" w:rsidRPr="00C94AA5">
              <w:rPr>
                <w:rStyle w:val="Hyperlink"/>
                <w:noProof/>
              </w:rPr>
              <w:t>Regulatory status</w:t>
            </w:r>
            <w:r w:rsidR="00B21B0B">
              <w:rPr>
                <w:noProof/>
                <w:webHidden/>
              </w:rPr>
              <w:tab/>
            </w:r>
            <w:r w:rsidR="00B21B0B">
              <w:rPr>
                <w:noProof/>
                <w:webHidden/>
              </w:rPr>
              <w:fldChar w:fldCharType="begin"/>
            </w:r>
            <w:r w:rsidR="00B21B0B">
              <w:rPr>
                <w:noProof/>
                <w:webHidden/>
              </w:rPr>
              <w:instrText xml:space="preserve"> PAGEREF _Toc101431968 \h </w:instrText>
            </w:r>
            <w:r w:rsidR="00B21B0B">
              <w:rPr>
                <w:noProof/>
                <w:webHidden/>
              </w:rPr>
            </w:r>
            <w:r w:rsidR="00B21B0B">
              <w:rPr>
                <w:noProof/>
                <w:webHidden/>
              </w:rPr>
              <w:fldChar w:fldCharType="separate"/>
            </w:r>
            <w:r w:rsidR="00B21B0B">
              <w:rPr>
                <w:noProof/>
                <w:webHidden/>
              </w:rPr>
              <w:t>8</w:t>
            </w:r>
            <w:r w:rsidR="00B21B0B">
              <w:rPr>
                <w:noProof/>
                <w:webHidden/>
              </w:rPr>
              <w:fldChar w:fldCharType="end"/>
            </w:r>
          </w:hyperlink>
        </w:p>
        <w:p w14:paraId="7BA81ABE" w14:textId="1D447D4E" w:rsidR="00B21B0B" w:rsidRDefault="00D300B8">
          <w:pPr>
            <w:pStyle w:val="TOC2"/>
            <w:rPr>
              <w:rFonts w:asciiTheme="minorHAnsi" w:eastAsiaTheme="minorEastAsia" w:hAnsiTheme="minorHAnsi" w:cstheme="minorBidi"/>
              <w:b w:val="0"/>
              <w:noProof/>
              <w:sz w:val="22"/>
              <w:lang w:eastAsia="en-AU"/>
            </w:rPr>
          </w:pPr>
          <w:hyperlink w:anchor="_Toc101431969" w:history="1">
            <w:r w:rsidR="00B21B0B" w:rsidRPr="00C94AA5">
              <w:rPr>
                <w:rStyle w:val="Hyperlink"/>
                <w:noProof/>
              </w:rPr>
              <w:t>Product Information</w:t>
            </w:r>
            <w:r w:rsidR="00B21B0B">
              <w:rPr>
                <w:noProof/>
                <w:webHidden/>
              </w:rPr>
              <w:tab/>
            </w:r>
            <w:r w:rsidR="00B21B0B">
              <w:rPr>
                <w:noProof/>
                <w:webHidden/>
              </w:rPr>
              <w:fldChar w:fldCharType="begin"/>
            </w:r>
            <w:r w:rsidR="00B21B0B">
              <w:rPr>
                <w:noProof/>
                <w:webHidden/>
              </w:rPr>
              <w:instrText xml:space="preserve"> PAGEREF _Toc101431969 \h </w:instrText>
            </w:r>
            <w:r w:rsidR="00B21B0B">
              <w:rPr>
                <w:noProof/>
                <w:webHidden/>
              </w:rPr>
            </w:r>
            <w:r w:rsidR="00B21B0B">
              <w:rPr>
                <w:noProof/>
                <w:webHidden/>
              </w:rPr>
              <w:fldChar w:fldCharType="separate"/>
            </w:r>
            <w:r w:rsidR="00B21B0B">
              <w:rPr>
                <w:noProof/>
                <w:webHidden/>
              </w:rPr>
              <w:t>10</w:t>
            </w:r>
            <w:r w:rsidR="00B21B0B">
              <w:rPr>
                <w:noProof/>
                <w:webHidden/>
              </w:rPr>
              <w:fldChar w:fldCharType="end"/>
            </w:r>
          </w:hyperlink>
        </w:p>
        <w:p w14:paraId="7B16D831" w14:textId="456A288B" w:rsidR="00B21B0B" w:rsidRDefault="00D300B8">
          <w:pPr>
            <w:pStyle w:val="TOC1"/>
            <w:rPr>
              <w:rFonts w:asciiTheme="minorHAnsi" w:eastAsiaTheme="minorEastAsia" w:hAnsiTheme="minorHAnsi" w:cstheme="minorBidi"/>
              <w:b w:val="0"/>
              <w:noProof/>
              <w:sz w:val="22"/>
              <w:lang w:eastAsia="en-AU"/>
            </w:rPr>
          </w:pPr>
          <w:hyperlink w:anchor="_Toc101431970" w:history="1">
            <w:r w:rsidR="00B21B0B" w:rsidRPr="00C94AA5">
              <w:rPr>
                <w:rStyle w:val="Hyperlink"/>
                <w:noProof/>
              </w:rPr>
              <w:t>II. Registration timeline</w:t>
            </w:r>
            <w:r w:rsidR="00B21B0B">
              <w:rPr>
                <w:noProof/>
                <w:webHidden/>
              </w:rPr>
              <w:tab/>
            </w:r>
            <w:r w:rsidR="00B21B0B">
              <w:rPr>
                <w:noProof/>
                <w:webHidden/>
              </w:rPr>
              <w:fldChar w:fldCharType="begin"/>
            </w:r>
            <w:r w:rsidR="00B21B0B">
              <w:rPr>
                <w:noProof/>
                <w:webHidden/>
              </w:rPr>
              <w:instrText xml:space="preserve"> PAGEREF _Toc101431970 \h </w:instrText>
            </w:r>
            <w:r w:rsidR="00B21B0B">
              <w:rPr>
                <w:noProof/>
                <w:webHidden/>
              </w:rPr>
            </w:r>
            <w:r w:rsidR="00B21B0B">
              <w:rPr>
                <w:noProof/>
                <w:webHidden/>
              </w:rPr>
              <w:fldChar w:fldCharType="separate"/>
            </w:r>
            <w:r w:rsidR="00B21B0B">
              <w:rPr>
                <w:noProof/>
                <w:webHidden/>
              </w:rPr>
              <w:t>11</w:t>
            </w:r>
            <w:r w:rsidR="00B21B0B">
              <w:rPr>
                <w:noProof/>
                <w:webHidden/>
              </w:rPr>
              <w:fldChar w:fldCharType="end"/>
            </w:r>
          </w:hyperlink>
        </w:p>
        <w:p w14:paraId="3670C2AB" w14:textId="11E95D57" w:rsidR="00B21B0B" w:rsidRDefault="00D300B8">
          <w:pPr>
            <w:pStyle w:val="TOC1"/>
            <w:rPr>
              <w:rFonts w:asciiTheme="minorHAnsi" w:eastAsiaTheme="minorEastAsia" w:hAnsiTheme="minorHAnsi" w:cstheme="minorBidi"/>
              <w:b w:val="0"/>
              <w:noProof/>
              <w:sz w:val="22"/>
              <w:lang w:eastAsia="en-AU"/>
            </w:rPr>
          </w:pPr>
          <w:hyperlink w:anchor="_Toc101431971" w:history="1">
            <w:r w:rsidR="00B21B0B" w:rsidRPr="00C94AA5">
              <w:rPr>
                <w:rStyle w:val="Hyperlink"/>
                <w:noProof/>
              </w:rPr>
              <w:t>III. Submission overview and risk/benefit assessment</w:t>
            </w:r>
            <w:r w:rsidR="00B21B0B">
              <w:rPr>
                <w:noProof/>
                <w:webHidden/>
              </w:rPr>
              <w:tab/>
            </w:r>
            <w:r w:rsidR="00B21B0B">
              <w:rPr>
                <w:noProof/>
                <w:webHidden/>
              </w:rPr>
              <w:fldChar w:fldCharType="begin"/>
            </w:r>
            <w:r w:rsidR="00B21B0B">
              <w:rPr>
                <w:noProof/>
                <w:webHidden/>
              </w:rPr>
              <w:instrText xml:space="preserve"> PAGEREF _Toc101431971 \h </w:instrText>
            </w:r>
            <w:r w:rsidR="00B21B0B">
              <w:rPr>
                <w:noProof/>
                <w:webHidden/>
              </w:rPr>
            </w:r>
            <w:r w:rsidR="00B21B0B">
              <w:rPr>
                <w:noProof/>
                <w:webHidden/>
              </w:rPr>
              <w:fldChar w:fldCharType="separate"/>
            </w:r>
            <w:r w:rsidR="00B21B0B">
              <w:rPr>
                <w:noProof/>
                <w:webHidden/>
              </w:rPr>
              <w:t>12</w:t>
            </w:r>
            <w:r w:rsidR="00B21B0B">
              <w:rPr>
                <w:noProof/>
                <w:webHidden/>
              </w:rPr>
              <w:fldChar w:fldCharType="end"/>
            </w:r>
          </w:hyperlink>
        </w:p>
        <w:p w14:paraId="1EE8DF22" w14:textId="02B659BF" w:rsidR="00B21B0B" w:rsidRDefault="00D300B8">
          <w:pPr>
            <w:pStyle w:val="TOC2"/>
            <w:rPr>
              <w:rFonts w:asciiTheme="minorHAnsi" w:eastAsiaTheme="minorEastAsia" w:hAnsiTheme="minorHAnsi" w:cstheme="minorBidi"/>
              <w:b w:val="0"/>
              <w:noProof/>
              <w:sz w:val="22"/>
              <w:lang w:eastAsia="en-AU"/>
            </w:rPr>
          </w:pPr>
          <w:hyperlink w:anchor="_Toc101431972" w:history="1">
            <w:r w:rsidR="00B21B0B" w:rsidRPr="00C94AA5">
              <w:rPr>
                <w:rStyle w:val="Hyperlink"/>
                <w:noProof/>
              </w:rPr>
              <w:t>Quality</w:t>
            </w:r>
            <w:r w:rsidR="00B21B0B">
              <w:rPr>
                <w:noProof/>
                <w:webHidden/>
              </w:rPr>
              <w:tab/>
            </w:r>
            <w:r w:rsidR="00B21B0B">
              <w:rPr>
                <w:noProof/>
                <w:webHidden/>
              </w:rPr>
              <w:fldChar w:fldCharType="begin"/>
            </w:r>
            <w:r w:rsidR="00B21B0B">
              <w:rPr>
                <w:noProof/>
                <w:webHidden/>
              </w:rPr>
              <w:instrText xml:space="preserve"> PAGEREF _Toc101431972 \h </w:instrText>
            </w:r>
            <w:r w:rsidR="00B21B0B">
              <w:rPr>
                <w:noProof/>
                <w:webHidden/>
              </w:rPr>
            </w:r>
            <w:r w:rsidR="00B21B0B">
              <w:rPr>
                <w:noProof/>
                <w:webHidden/>
              </w:rPr>
              <w:fldChar w:fldCharType="separate"/>
            </w:r>
            <w:r w:rsidR="00B21B0B">
              <w:rPr>
                <w:noProof/>
                <w:webHidden/>
              </w:rPr>
              <w:t>12</w:t>
            </w:r>
            <w:r w:rsidR="00B21B0B">
              <w:rPr>
                <w:noProof/>
                <w:webHidden/>
              </w:rPr>
              <w:fldChar w:fldCharType="end"/>
            </w:r>
          </w:hyperlink>
        </w:p>
        <w:p w14:paraId="66C4D9FD" w14:textId="22E620E8" w:rsidR="00B21B0B" w:rsidRDefault="00D300B8">
          <w:pPr>
            <w:pStyle w:val="TOC2"/>
            <w:rPr>
              <w:rFonts w:asciiTheme="minorHAnsi" w:eastAsiaTheme="minorEastAsia" w:hAnsiTheme="minorHAnsi" w:cstheme="minorBidi"/>
              <w:b w:val="0"/>
              <w:noProof/>
              <w:sz w:val="22"/>
              <w:lang w:eastAsia="en-AU"/>
            </w:rPr>
          </w:pPr>
          <w:hyperlink w:anchor="_Toc101431973" w:history="1">
            <w:r w:rsidR="00B21B0B" w:rsidRPr="00C94AA5">
              <w:rPr>
                <w:rStyle w:val="Hyperlink"/>
                <w:noProof/>
              </w:rPr>
              <w:t>Nonclinical</w:t>
            </w:r>
            <w:r w:rsidR="00B21B0B">
              <w:rPr>
                <w:noProof/>
                <w:webHidden/>
              </w:rPr>
              <w:tab/>
            </w:r>
            <w:r w:rsidR="00B21B0B">
              <w:rPr>
                <w:noProof/>
                <w:webHidden/>
              </w:rPr>
              <w:fldChar w:fldCharType="begin"/>
            </w:r>
            <w:r w:rsidR="00B21B0B">
              <w:rPr>
                <w:noProof/>
                <w:webHidden/>
              </w:rPr>
              <w:instrText xml:space="preserve"> PAGEREF _Toc101431973 \h </w:instrText>
            </w:r>
            <w:r w:rsidR="00B21B0B">
              <w:rPr>
                <w:noProof/>
                <w:webHidden/>
              </w:rPr>
            </w:r>
            <w:r w:rsidR="00B21B0B">
              <w:rPr>
                <w:noProof/>
                <w:webHidden/>
              </w:rPr>
              <w:fldChar w:fldCharType="separate"/>
            </w:r>
            <w:r w:rsidR="00B21B0B">
              <w:rPr>
                <w:noProof/>
                <w:webHidden/>
              </w:rPr>
              <w:t>12</w:t>
            </w:r>
            <w:r w:rsidR="00B21B0B">
              <w:rPr>
                <w:noProof/>
                <w:webHidden/>
              </w:rPr>
              <w:fldChar w:fldCharType="end"/>
            </w:r>
          </w:hyperlink>
        </w:p>
        <w:p w14:paraId="28EBB96B" w14:textId="3351BF48" w:rsidR="00B21B0B" w:rsidRDefault="00D300B8">
          <w:pPr>
            <w:pStyle w:val="TOC2"/>
            <w:rPr>
              <w:rFonts w:asciiTheme="minorHAnsi" w:eastAsiaTheme="minorEastAsia" w:hAnsiTheme="minorHAnsi" w:cstheme="minorBidi"/>
              <w:b w:val="0"/>
              <w:noProof/>
              <w:sz w:val="22"/>
              <w:lang w:eastAsia="en-AU"/>
            </w:rPr>
          </w:pPr>
          <w:hyperlink w:anchor="_Toc101431974" w:history="1">
            <w:r w:rsidR="00B21B0B" w:rsidRPr="00C94AA5">
              <w:rPr>
                <w:rStyle w:val="Hyperlink"/>
                <w:noProof/>
              </w:rPr>
              <w:t>Clinical</w:t>
            </w:r>
            <w:r w:rsidR="00B21B0B">
              <w:rPr>
                <w:noProof/>
                <w:webHidden/>
              </w:rPr>
              <w:tab/>
            </w:r>
            <w:r w:rsidR="00B21B0B">
              <w:rPr>
                <w:noProof/>
                <w:webHidden/>
              </w:rPr>
              <w:fldChar w:fldCharType="begin"/>
            </w:r>
            <w:r w:rsidR="00B21B0B">
              <w:rPr>
                <w:noProof/>
                <w:webHidden/>
              </w:rPr>
              <w:instrText xml:space="preserve"> PAGEREF _Toc101431974 \h </w:instrText>
            </w:r>
            <w:r w:rsidR="00B21B0B">
              <w:rPr>
                <w:noProof/>
                <w:webHidden/>
              </w:rPr>
            </w:r>
            <w:r w:rsidR="00B21B0B">
              <w:rPr>
                <w:noProof/>
                <w:webHidden/>
              </w:rPr>
              <w:fldChar w:fldCharType="separate"/>
            </w:r>
            <w:r w:rsidR="00B21B0B">
              <w:rPr>
                <w:noProof/>
                <w:webHidden/>
              </w:rPr>
              <w:t>12</w:t>
            </w:r>
            <w:r w:rsidR="00B21B0B">
              <w:rPr>
                <w:noProof/>
                <w:webHidden/>
              </w:rPr>
              <w:fldChar w:fldCharType="end"/>
            </w:r>
          </w:hyperlink>
        </w:p>
        <w:p w14:paraId="76351708" w14:textId="67274368" w:rsidR="00B21B0B" w:rsidRDefault="00D300B8">
          <w:pPr>
            <w:pStyle w:val="TOC2"/>
            <w:rPr>
              <w:rFonts w:asciiTheme="minorHAnsi" w:eastAsiaTheme="minorEastAsia" w:hAnsiTheme="minorHAnsi" w:cstheme="minorBidi"/>
              <w:b w:val="0"/>
              <w:noProof/>
              <w:sz w:val="22"/>
              <w:lang w:eastAsia="en-AU"/>
            </w:rPr>
          </w:pPr>
          <w:hyperlink w:anchor="_Toc101431975" w:history="1">
            <w:r w:rsidR="00B21B0B" w:rsidRPr="00C94AA5">
              <w:rPr>
                <w:rStyle w:val="Hyperlink"/>
                <w:noProof/>
                <w:lang w:eastAsia="en-AU"/>
              </w:rPr>
              <w:t>Risk management plan</w:t>
            </w:r>
            <w:r w:rsidR="00B21B0B">
              <w:rPr>
                <w:noProof/>
                <w:webHidden/>
              </w:rPr>
              <w:tab/>
            </w:r>
            <w:r w:rsidR="00B21B0B">
              <w:rPr>
                <w:noProof/>
                <w:webHidden/>
              </w:rPr>
              <w:fldChar w:fldCharType="begin"/>
            </w:r>
            <w:r w:rsidR="00B21B0B">
              <w:rPr>
                <w:noProof/>
                <w:webHidden/>
              </w:rPr>
              <w:instrText xml:space="preserve"> PAGEREF _Toc101431975 \h </w:instrText>
            </w:r>
            <w:r w:rsidR="00B21B0B">
              <w:rPr>
                <w:noProof/>
                <w:webHidden/>
              </w:rPr>
            </w:r>
            <w:r w:rsidR="00B21B0B">
              <w:rPr>
                <w:noProof/>
                <w:webHidden/>
              </w:rPr>
              <w:fldChar w:fldCharType="separate"/>
            </w:r>
            <w:r w:rsidR="00B21B0B">
              <w:rPr>
                <w:noProof/>
                <w:webHidden/>
              </w:rPr>
              <w:t>36</w:t>
            </w:r>
            <w:r w:rsidR="00B21B0B">
              <w:rPr>
                <w:noProof/>
                <w:webHidden/>
              </w:rPr>
              <w:fldChar w:fldCharType="end"/>
            </w:r>
          </w:hyperlink>
        </w:p>
        <w:p w14:paraId="6DC193F3" w14:textId="4BF58073" w:rsidR="00B21B0B" w:rsidRDefault="00D300B8">
          <w:pPr>
            <w:pStyle w:val="TOC2"/>
            <w:rPr>
              <w:rFonts w:asciiTheme="minorHAnsi" w:eastAsiaTheme="minorEastAsia" w:hAnsiTheme="minorHAnsi" w:cstheme="minorBidi"/>
              <w:b w:val="0"/>
              <w:noProof/>
              <w:sz w:val="22"/>
              <w:lang w:eastAsia="en-AU"/>
            </w:rPr>
          </w:pPr>
          <w:hyperlink w:anchor="_Toc101431976" w:history="1">
            <w:r w:rsidR="00B21B0B" w:rsidRPr="00C94AA5">
              <w:rPr>
                <w:rStyle w:val="Hyperlink"/>
                <w:noProof/>
              </w:rPr>
              <w:t>Risk-benefit analysis</w:t>
            </w:r>
            <w:r w:rsidR="00B21B0B">
              <w:rPr>
                <w:noProof/>
                <w:webHidden/>
              </w:rPr>
              <w:tab/>
            </w:r>
            <w:r w:rsidR="00B21B0B">
              <w:rPr>
                <w:noProof/>
                <w:webHidden/>
              </w:rPr>
              <w:fldChar w:fldCharType="begin"/>
            </w:r>
            <w:r w:rsidR="00B21B0B">
              <w:rPr>
                <w:noProof/>
                <w:webHidden/>
              </w:rPr>
              <w:instrText xml:space="preserve"> PAGEREF _Toc101431976 \h </w:instrText>
            </w:r>
            <w:r w:rsidR="00B21B0B">
              <w:rPr>
                <w:noProof/>
                <w:webHidden/>
              </w:rPr>
            </w:r>
            <w:r w:rsidR="00B21B0B">
              <w:rPr>
                <w:noProof/>
                <w:webHidden/>
              </w:rPr>
              <w:fldChar w:fldCharType="separate"/>
            </w:r>
            <w:r w:rsidR="00B21B0B">
              <w:rPr>
                <w:noProof/>
                <w:webHidden/>
              </w:rPr>
              <w:t>38</w:t>
            </w:r>
            <w:r w:rsidR="00B21B0B">
              <w:rPr>
                <w:noProof/>
                <w:webHidden/>
              </w:rPr>
              <w:fldChar w:fldCharType="end"/>
            </w:r>
          </w:hyperlink>
        </w:p>
        <w:p w14:paraId="3655CFD5" w14:textId="3A2C4BFC" w:rsidR="00B21B0B" w:rsidRDefault="00D300B8">
          <w:pPr>
            <w:pStyle w:val="TOC2"/>
            <w:rPr>
              <w:rFonts w:asciiTheme="minorHAnsi" w:eastAsiaTheme="minorEastAsia" w:hAnsiTheme="minorHAnsi" w:cstheme="minorBidi"/>
              <w:b w:val="0"/>
              <w:noProof/>
              <w:sz w:val="22"/>
              <w:lang w:eastAsia="en-AU"/>
            </w:rPr>
          </w:pPr>
          <w:hyperlink w:anchor="_Toc101431977" w:history="1">
            <w:r w:rsidR="00B21B0B" w:rsidRPr="00C94AA5">
              <w:rPr>
                <w:rStyle w:val="Hyperlink"/>
                <w:noProof/>
              </w:rPr>
              <w:t>Outcome</w:t>
            </w:r>
            <w:r w:rsidR="00B21B0B">
              <w:rPr>
                <w:noProof/>
                <w:webHidden/>
              </w:rPr>
              <w:tab/>
            </w:r>
            <w:r w:rsidR="00B21B0B">
              <w:rPr>
                <w:noProof/>
                <w:webHidden/>
              </w:rPr>
              <w:fldChar w:fldCharType="begin"/>
            </w:r>
            <w:r w:rsidR="00B21B0B">
              <w:rPr>
                <w:noProof/>
                <w:webHidden/>
              </w:rPr>
              <w:instrText xml:space="preserve"> PAGEREF _Toc101431977 \h </w:instrText>
            </w:r>
            <w:r w:rsidR="00B21B0B">
              <w:rPr>
                <w:noProof/>
                <w:webHidden/>
              </w:rPr>
            </w:r>
            <w:r w:rsidR="00B21B0B">
              <w:rPr>
                <w:noProof/>
                <w:webHidden/>
              </w:rPr>
              <w:fldChar w:fldCharType="separate"/>
            </w:r>
            <w:r w:rsidR="00B21B0B">
              <w:rPr>
                <w:noProof/>
                <w:webHidden/>
              </w:rPr>
              <w:t>41</w:t>
            </w:r>
            <w:r w:rsidR="00B21B0B">
              <w:rPr>
                <w:noProof/>
                <w:webHidden/>
              </w:rPr>
              <w:fldChar w:fldCharType="end"/>
            </w:r>
          </w:hyperlink>
        </w:p>
        <w:p w14:paraId="1512F047" w14:textId="7F5920F8" w:rsidR="00B21B0B" w:rsidRDefault="00D300B8">
          <w:pPr>
            <w:pStyle w:val="TOC1"/>
            <w:rPr>
              <w:rFonts w:asciiTheme="minorHAnsi" w:eastAsiaTheme="minorEastAsia" w:hAnsiTheme="minorHAnsi" w:cstheme="minorBidi"/>
              <w:b w:val="0"/>
              <w:noProof/>
              <w:sz w:val="22"/>
              <w:lang w:eastAsia="en-AU"/>
            </w:rPr>
          </w:pPr>
          <w:hyperlink w:anchor="_Toc101431978" w:history="1">
            <w:r w:rsidR="00B21B0B" w:rsidRPr="00C94AA5">
              <w:rPr>
                <w:rStyle w:val="Hyperlink"/>
                <w:noProof/>
              </w:rPr>
              <w:t>Attachment 1. Product Information</w:t>
            </w:r>
            <w:r w:rsidR="00B21B0B">
              <w:rPr>
                <w:noProof/>
                <w:webHidden/>
              </w:rPr>
              <w:tab/>
            </w:r>
            <w:r w:rsidR="00B21B0B">
              <w:rPr>
                <w:noProof/>
                <w:webHidden/>
              </w:rPr>
              <w:fldChar w:fldCharType="begin"/>
            </w:r>
            <w:r w:rsidR="00B21B0B">
              <w:rPr>
                <w:noProof/>
                <w:webHidden/>
              </w:rPr>
              <w:instrText xml:space="preserve"> PAGEREF _Toc101431978 \h </w:instrText>
            </w:r>
            <w:r w:rsidR="00B21B0B">
              <w:rPr>
                <w:noProof/>
                <w:webHidden/>
              </w:rPr>
            </w:r>
            <w:r w:rsidR="00B21B0B">
              <w:rPr>
                <w:noProof/>
                <w:webHidden/>
              </w:rPr>
              <w:fldChar w:fldCharType="separate"/>
            </w:r>
            <w:r w:rsidR="00B21B0B">
              <w:rPr>
                <w:noProof/>
                <w:webHidden/>
              </w:rPr>
              <w:t>42</w:t>
            </w:r>
            <w:r w:rsidR="00B21B0B">
              <w:rPr>
                <w:noProof/>
                <w:webHidden/>
              </w:rPr>
              <w:fldChar w:fldCharType="end"/>
            </w:r>
          </w:hyperlink>
        </w:p>
        <w:p w14:paraId="3D6885FC" w14:textId="12989BBA" w:rsidR="003A7F6C" w:rsidRPr="00B811C6" w:rsidRDefault="00C525A2" w:rsidP="00B811C6">
          <w:pPr>
            <w:pStyle w:val="TOC2"/>
          </w:pPr>
          <w:r>
            <w:fldChar w:fldCharType="end"/>
          </w:r>
        </w:p>
      </w:sdtContent>
    </w:sdt>
    <w:bookmarkStart w:id="2" w:name="_Toc314842482" w:displacedByCustomXml="prev"/>
    <w:p w14:paraId="6DE8DF8C" w14:textId="77777777" w:rsidR="00FD119B" w:rsidRDefault="00FD119B">
      <w:pPr>
        <w:spacing w:before="0" w:after="200" w:line="0" w:lineRule="auto"/>
      </w:pPr>
      <w:r>
        <w:br w:type="page"/>
      </w:r>
    </w:p>
    <w:p w14:paraId="1A1DE941" w14:textId="742C6637" w:rsidR="00C52E24" w:rsidRPr="00C52E24" w:rsidRDefault="00324E45" w:rsidP="00F321E4">
      <w:pPr>
        <w:pStyle w:val="Heading2"/>
      </w:pPr>
      <w:bookmarkStart w:id="3" w:name="_Toc351716269"/>
      <w:bookmarkStart w:id="4" w:name="_Toc351718881"/>
      <w:bookmarkStart w:id="5" w:name="_Toc355338616"/>
      <w:bookmarkStart w:id="6" w:name="_Toc356306144"/>
      <w:bookmarkStart w:id="7" w:name="_Toc101431964"/>
      <w:r>
        <w:lastRenderedPageBreak/>
        <w:t>List of</w:t>
      </w:r>
      <w:r w:rsidR="00FD119B" w:rsidRPr="00FD119B">
        <w:t xml:space="preserve"> abbreviations</w:t>
      </w:r>
      <w:bookmarkEnd w:id="3"/>
      <w:bookmarkEnd w:id="4"/>
      <w:bookmarkEnd w:id="5"/>
      <w:bookmarkEnd w:id="6"/>
      <w:bookmarkEnd w:id="7"/>
    </w:p>
    <w:tbl>
      <w:tblPr>
        <w:tblStyle w:val="TableTGAblue"/>
        <w:tblW w:w="5000" w:type="pct"/>
        <w:tblLook w:val="04A0" w:firstRow="1" w:lastRow="0" w:firstColumn="1" w:lastColumn="0" w:noHBand="0" w:noVBand="1"/>
      </w:tblPr>
      <w:tblGrid>
        <w:gridCol w:w="1719"/>
        <w:gridCol w:w="1196"/>
        <w:gridCol w:w="5569"/>
      </w:tblGrid>
      <w:tr w:rsidR="00211D51" w:rsidRPr="00215D48" w14:paraId="60642F89" w14:textId="77777777" w:rsidTr="00211D51">
        <w:trPr>
          <w:cnfStyle w:val="100000000000" w:firstRow="1" w:lastRow="0" w:firstColumn="0" w:lastColumn="0" w:oddVBand="0" w:evenVBand="0" w:oddHBand="0" w:evenHBand="0" w:firstRowFirstColumn="0" w:firstRowLastColumn="0" w:lastRowFirstColumn="0" w:lastRowLastColumn="0"/>
        </w:trPr>
        <w:tc>
          <w:tcPr>
            <w:tcW w:w="1718" w:type="pct"/>
            <w:gridSpan w:val="2"/>
          </w:tcPr>
          <w:p w14:paraId="1147F4AA" w14:textId="77777777" w:rsidR="00211D51" w:rsidRPr="00215D48" w:rsidRDefault="00211D51" w:rsidP="00211D51">
            <w:r w:rsidRPr="00FD119B">
              <w:rPr>
                <w:szCs w:val="22"/>
              </w:rPr>
              <w:t>Abbreviation</w:t>
            </w:r>
          </w:p>
        </w:tc>
        <w:tc>
          <w:tcPr>
            <w:tcW w:w="3282" w:type="pct"/>
          </w:tcPr>
          <w:p w14:paraId="1081D8BB" w14:textId="77777777" w:rsidR="00211D51" w:rsidRPr="00215D48" w:rsidRDefault="00211D51" w:rsidP="00211D51">
            <w:r w:rsidRPr="00FD119B">
              <w:rPr>
                <w:szCs w:val="22"/>
              </w:rPr>
              <w:t>Meaning</w:t>
            </w:r>
          </w:p>
        </w:tc>
      </w:tr>
      <w:tr w:rsidR="00211D51" w:rsidRPr="00215D48" w14:paraId="51D36595" w14:textId="77777777" w:rsidTr="00211D51">
        <w:tc>
          <w:tcPr>
            <w:tcW w:w="1013" w:type="pct"/>
          </w:tcPr>
          <w:p w14:paraId="7E807E0C" w14:textId="77777777" w:rsidR="00211D51" w:rsidRPr="00215D48" w:rsidRDefault="00211D51" w:rsidP="00211D51">
            <w:r>
              <w:t>ACM</w:t>
            </w:r>
          </w:p>
        </w:tc>
        <w:tc>
          <w:tcPr>
            <w:tcW w:w="3987" w:type="pct"/>
            <w:gridSpan w:val="2"/>
          </w:tcPr>
          <w:p w14:paraId="2270860D" w14:textId="77777777" w:rsidR="00211D51" w:rsidRPr="00215D48" w:rsidRDefault="00211D51" w:rsidP="00211D51">
            <w:r w:rsidRPr="00460036">
              <w:t>Advisory Committee on Medicines</w:t>
            </w:r>
          </w:p>
        </w:tc>
      </w:tr>
      <w:tr w:rsidR="00211D51" w:rsidRPr="00215D48" w14:paraId="504767A3" w14:textId="77777777" w:rsidTr="00211D51">
        <w:tc>
          <w:tcPr>
            <w:tcW w:w="1013" w:type="pct"/>
          </w:tcPr>
          <w:p w14:paraId="35ECDC32" w14:textId="77777777" w:rsidR="00211D51" w:rsidRDefault="00211D51" w:rsidP="00211D51">
            <w:r>
              <w:t>ADR</w:t>
            </w:r>
          </w:p>
        </w:tc>
        <w:tc>
          <w:tcPr>
            <w:tcW w:w="3987" w:type="pct"/>
            <w:gridSpan w:val="2"/>
          </w:tcPr>
          <w:p w14:paraId="5AC8468D" w14:textId="77777777" w:rsidR="00211D51" w:rsidRDefault="00211D51" w:rsidP="00211D51">
            <w:r>
              <w:t>Adverse drug reaction</w:t>
            </w:r>
          </w:p>
        </w:tc>
      </w:tr>
      <w:tr w:rsidR="00211D51" w:rsidRPr="00215D48" w14:paraId="4B2CD50F" w14:textId="77777777" w:rsidTr="00211D51">
        <w:tc>
          <w:tcPr>
            <w:tcW w:w="1013" w:type="pct"/>
          </w:tcPr>
          <w:p w14:paraId="5E5FBEF1" w14:textId="77777777" w:rsidR="00211D51" w:rsidRDefault="00211D51" w:rsidP="00211D51">
            <w:r>
              <w:t>AE</w:t>
            </w:r>
          </w:p>
        </w:tc>
        <w:tc>
          <w:tcPr>
            <w:tcW w:w="3987" w:type="pct"/>
            <w:gridSpan w:val="2"/>
          </w:tcPr>
          <w:p w14:paraId="1A2CFE84" w14:textId="77777777" w:rsidR="00211D51" w:rsidRPr="00002104" w:rsidRDefault="00211D51" w:rsidP="00211D51">
            <w:r>
              <w:t>Adverse event</w:t>
            </w:r>
          </w:p>
        </w:tc>
      </w:tr>
      <w:tr w:rsidR="00211D51" w:rsidRPr="00215D48" w14:paraId="3AEF07E0" w14:textId="77777777" w:rsidTr="00211D51">
        <w:tc>
          <w:tcPr>
            <w:tcW w:w="1013" w:type="pct"/>
          </w:tcPr>
          <w:p w14:paraId="11F688C1" w14:textId="77777777" w:rsidR="00211D51" w:rsidRDefault="00211D51" w:rsidP="00211D51">
            <w:r>
              <w:t>AML</w:t>
            </w:r>
          </w:p>
        </w:tc>
        <w:tc>
          <w:tcPr>
            <w:tcW w:w="3987" w:type="pct"/>
            <w:gridSpan w:val="2"/>
          </w:tcPr>
          <w:p w14:paraId="39E90198" w14:textId="77777777" w:rsidR="00211D51" w:rsidRDefault="00211D51" w:rsidP="00211D51">
            <w:r>
              <w:t xml:space="preserve">Acute </w:t>
            </w:r>
            <w:r w:rsidRPr="006010F7">
              <w:t>myeloid leukaemia</w:t>
            </w:r>
          </w:p>
        </w:tc>
      </w:tr>
      <w:tr w:rsidR="00211D51" w:rsidRPr="00215D48" w14:paraId="7DBDF474" w14:textId="77777777" w:rsidTr="00211D51">
        <w:tc>
          <w:tcPr>
            <w:tcW w:w="1013" w:type="pct"/>
          </w:tcPr>
          <w:p w14:paraId="7F0DE62D" w14:textId="77777777" w:rsidR="00211D51" w:rsidRDefault="00211D51" w:rsidP="00211D51">
            <w:r>
              <w:t>AML-MRC</w:t>
            </w:r>
          </w:p>
        </w:tc>
        <w:tc>
          <w:tcPr>
            <w:tcW w:w="3987" w:type="pct"/>
            <w:gridSpan w:val="2"/>
          </w:tcPr>
          <w:p w14:paraId="53444954" w14:textId="721F9144" w:rsidR="00211D51" w:rsidRPr="00002104" w:rsidRDefault="00211D51" w:rsidP="00211D51">
            <w:r>
              <w:t>A</w:t>
            </w:r>
            <w:r w:rsidRPr="0032396E">
              <w:t>cute myeloid leuk</w:t>
            </w:r>
            <w:r w:rsidR="00402974">
              <w:t>a</w:t>
            </w:r>
            <w:r w:rsidRPr="0032396E">
              <w:t>emia with myelodysplasia</w:t>
            </w:r>
            <w:r>
              <w:t xml:space="preserve"> </w:t>
            </w:r>
            <w:r w:rsidRPr="0032396E">
              <w:t>related changes</w:t>
            </w:r>
          </w:p>
        </w:tc>
      </w:tr>
      <w:tr w:rsidR="00211D51" w:rsidRPr="00215D48" w14:paraId="09051BC4" w14:textId="77777777" w:rsidTr="00211D51">
        <w:tc>
          <w:tcPr>
            <w:tcW w:w="1013" w:type="pct"/>
          </w:tcPr>
          <w:p w14:paraId="7B57F747" w14:textId="77777777" w:rsidR="00211D51" w:rsidRPr="00215D48" w:rsidRDefault="00211D51" w:rsidP="00211D51">
            <w:r>
              <w:t>ARTG</w:t>
            </w:r>
          </w:p>
        </w:tc>
        <w:tc>
          <w:tcPr>
            <w:tcW w:w="3987" w:type="pct"/>
            <w:gridSpan w:val="2"/>
          </w:tcPr>
          <w:p w14:paraId="78B669C8" w14:textId="77777777" w:rsidR="00211D51" w:rsidRPr="00215D48" w:rsidRDefault="00211D51" w:rsidP="00211D51">
            <w:r w:rsidRPr="00460036">
              <w:t>Australian Register of Therapeutic Goods</w:t>
            </w:r>
          </w:p>
        </w:tc>
      </w:tr>
      <w:tr w:rsidR="00211D51" w:rsidRPr="00215D48" w14:paraId="5B02FCD0" w14:textId="77777777" w:rsidTr="00211D51">
        <w:tc>
          <w:tcPr>
            <w:tcW w:w="1013" w:type="pct"/>
          </w:tcPr>
          <w:p w14:paraId="1FB9F52E" w14:textId="00C56802" w:rsidR="00211D51" w:rsidRDefault="00211D51" w:rsidP="00211D51">
            <w:r>
              <w:t>ASA</w:t>
            </w:r>
          </w:p>
        </w:tc>
        <w:tc>
          <w:tcPr>
            <w:tcW w:w="3987" w:type="pct"/>
            <w:gridSpan w:val="2"/>
          </w:tcPr>
          <w:p w14:paraId="3BFFAFAB" w14:textId="3033D1F2" w:rsidR="00211D51" w:rsidRDefault="00211D51" w:rsidP="00211D51">
            <w:r>
              <w:t>Australian specific annex</w:t>
            </w:r>
          </w:p>
        </w:tc>
      </w:tr>
      <w:tr w:rsidR="00211D51" w:rsidRPr="00215D48" w14:paraId="783DF3C3" w14:textId="77777777" w:rsidTr="00211D51">
        <w:tc>
          <w:tcPr>
            <w:tcW w:w="1013" w:type="pct"/>
          </w:tcPr>
          <w:p w14:paraId="1CA996E0" w14:textId="77777777" w:rsidR="00211D51" w:rsidRDefault="00211D51" w:rsidP="00211D51">
            <w:proofErr w:type="spellStart"/>
            <w:r w:rsidRPr="00540027">
              <w:t>AUC</w:t>
            </w:r>
            <w:r w:rsidRPr="00B74FCB">
              <w:rPr>
                <w:vertAlign w:val="subscript"/>
              </w:rPr>
              <w:t>ss</w:t>
            </w:r>
            <w:proofErr w:type="spellEnd"/>
          </w:p>
        </w:tc>
        <w:tc>
          <w:tcPr>
            <w:tcW w:w="3987" w:type="pct"/>
            <w:gridSpan w:val="2"/>
          </w:tcPr>
          <w:p w14:paraId="310DC4A6" w14:textId="77777777" w:rsidR="00211D51" w:rsidRDefault="00211D51" w:rsidP="00211D51">
            <w:r>
              <w:t>A</w:t>
            </w:r>
            <w:r w:rsidRPr="00B74FCB">
              <w:t xml:space="preserve">rea under the </w:t>
            </w:r>
            <w:r>
              <w:t xml:space="preserve">concentration time </w:t>
            </w:r>
            <w:r w:rsidRPr="00B74FCB">
              <w:t>curve at steady state</w:t>
            </w:r>
          </w:p>
        </w:tc>
      </w:tr>
      <w:tr w:rsidR="00211D51" w:rsidRPr="00215D48" w14:paraId="0D4D297B" w14:textId="77777777" w:rsidTr="00211D51">
        <w:tc>
          <w:tcPr>
            <w:tcW w:w="1013" w:type="pct"/>
          </w:tcPr>
          <w:p w14:paraId="7BBD6969" w14:textId="77777777" w:rsidR="00211D51" w:rsidRPr="00215D48" w:rsidRDefault="00211D51" w:rsidP="00211D51">
            <w:r>
              <w:t>Bcl-2</w:t>
            </w:r>
          </w:p>
        </w:tc>
        <w:tc>
          <w:tcPr>
            <w:tcW w:w="3987" w:type="pct"/>
            <w:gridSpan w:val="2"/>
          </w:tcPr>
          <w:p w14:paraId="2C81DECD" w14:textId="77777777" w:rsidR="00211D51" w:rsidRPr="00FD119B" w:rsidRDefault="00211D51" w:rsidP="00211D51">
            <w:r>
              <w:t>B-cell lymphoma-2</w:t>
            </w:r>
          </w:p>
        </w:tc>
      </w:tr>
      <w:tr w:rsidR="00211D51" w:rsidRPr="00215D48" w14:paraId="0997CD05" w14:textId="77777777" w:rsidTr="00211D51">
        <w:tc>
          <w:tcPr>
            <w:tcW w:w="1013" w:type="pct"/>
          </w:tcPr>
          <w:p w14:paraId="643D0057" w14:textId="77777777" w:rsidR="00211D51" w:rsidRDefault="00211D51" w:rsidP="00211D51">
            <w:r>
              <w:t>CLL</w:t>
            </w:r>
          </w:p>
        </w:tc>
        <w:tc>
          <w:tcPr>
            <w:tcW w:w="3987" w:type="pct"/>
            <w:gridSpan w:val="2"/>
          </w:tcPr>
          <w:p w14:paraId="1342ED57" w14:textId="77777777" w:rsidR="00211D51" w:rsidRDefault="00211D51" w:rsidP="00211D51">
            <w:r>
              <w:t>C</w:t>
            </w:r>
            <w:r w:rsidRPr="004427B0">
              <w:t>hronic lymphocytic leukaemia</w:t>
            </w:r>
          </w:p>
        </w:tc>
      </w:tr>
      <w:tr w:rsidR="00211D51" w:rsidRPr="00215D48" w14:paraId="05A1E97B" w14:textId="77777777" w:rsidTr="00211D51">
        <w:tc>
          <w:tcPr>
            <w:tcW w:w="1013" w:type="pct"/>
          </w:tcPr>
          <w:p w14:paraId="1FA0E4F4" w14:textId="77777777" w:rsidR="00211D51" w:rsidRDefault="00211D51" w:rsidP="00211D51">
            <w:r>
              <w:t>CR</w:t>
            </w:r>
          </w:p>
        </w:tc>
        <w:tc>
          <w:tcPr>
            <w:tcW w:w="3987" w:type="pct"/>
            <w:gridSpan w:val="2"/>
          </w:tcPr>
          <w:p w14:paraId="7A7C1797" w14:textId="77777777" w:rsidR="00211D51" w:rsidRDefault="00211D51" w:rsidP="00211D51">
            <w:r>
              <w:t>Complete remission</w:t>
            </w:r>
          </w:p>
        </w:tc>
      </w:tr>
      <w:tr w:rsidR="00211D51" w:rsidRPr="00215D48" w14:paraId="2FF89780" w14:textId="77777777" w:rsidTr="00211D51">
        <w:tc>
          <w:tcPr>
            <w:tcW w:w="1013" w:type="pct"/>
          </w:tcPr>
          <w:p w14:paraId="2F86BD45" w14:textId="77777777" w:rsidR="00211D51" w:rsidRDefault="00211D51" w:rsidP="00211D51">
            <w:proofErr w:type="spellStart"/>
            <w:r>
              <w:t>CRh</w:t>
            </w:r>
            <w:proofErr w:type="spellEnd"/>
          </w:p>
        </w:tc>
        <w:tc>
          <w:tcPr>
            <w:tcW w:w="3987" w:type="pct"/>
            <w:gridSpan w:val="2"/>
          </w:tcPr>
          <w:p w14:paraId="5F17D2A3" w14:textId="667A3EF8" w:rsidR="00211D51" w:rsidRDefault="00211D51" w:rsidP="00211D51">
            <w:r>
              <w:rPr>
                <w:sz w:val="23"/>
                <w:szCs w:val="23"/>
              </w:rPr>
              <w:t>C</w:t>
            </w:r>
            <w:r w:rsidRPr="00B74FCB">
              <w:rPr>
                <w:sz w:val="23"/>
                <w:szCs w:val="23"/>
              </w:rPr>
              <w:t>omplete remission with partial h</w:t>
            </w:r>
            <w:r w:rsidR="00264BBA">
              <w:rPr>
                <w:sz w:val="23"/>
                <w:szCs w:val="23"/>
              </w:rPr>
              <w:t>a</w:t>
            </w:r>
            <w:r w:rsidRPr="00B74FCB">
              <w:rPr>
                <w:sz w:val="23"/>
                <w:szCs w:val="23"/>
              </w:rPr>
              <w:t>ematologic recovery</w:t>
            </w:r>
          </w:p>
        </w:tc>
      </w:tr>
      <w:tr w:rsidR="00211D51" w:rsidRPr="00215D48" w14:paraId="4987F263" w14:textId="77777777" w:rsidTr="00211D51">
        <w:tc>
          <w:tcPr>
            <w:tcW w:w="1013" w:type="pct"/>
          </w:tcPr>
          <w:p w14:paraId="6ED8CCA2" w14:textId="77777777" w:rsidR="00211D51" w:rsidRDefault="00211D51" w:rsidP="00211D51">
            <w:r>
              <w:t>CRi</w:t>
            </w:r>
          </w:p>
        </w:tc>
        <w:tc>
          <w:tcPr>
            <w:tcW w:w="3987" w:type="pct"/>
            <w:gridSpan w:val="2"/>
          </w:tcPr>
          <w:p w14:paraId="0E2F5977" w14:textId="77777777" w:rsidR="00211D51" w:rsidRDefault="00211D51" w:rsidP="00211D51">
            <w:bookmarkStart w:id="8" w:name="_Hlk99110740"/>
            <w:r>
              <w:rPr>
                <w:sz w:val="23"/>
                <w:szCs w:val="23"/>
              </w:rPr>
              <w:t>C</w:t>
            </w:r>
            <w:r w:rsidRPr="00B74FCB">
              <w:rPr>
                <w:sz w:val="23"/>
                <w:szCs w:val="23"/>
              </w:rPr>
              <w:t>omplete remission with incomplete blood count recovery</w:t>
            </w:r>
            <w:bookmarkEnd w:id="8"/>
          </w:p>
        </w:tc>
      </w:tr>
      <w:tr w:rsidR="00211D51" w:rsidRPr="00215D48" w14:paraId="317F702D" w14:textId="77777777" w:rsidTr="00211D51">
        <w:tc>
          <w:tcPr>
            <w:tcW w:w="1013" w:type="pct"/>
          </w:tcPr>
          <w:p w14:paraId="7F6A96BA" w14:textId="77777777" w:rsidR="00211D51" w:rsidRDefault="00211D51" w:rsidP="00211D51">
            <w:r>
              <w:t>DLP</w:t>
            </w:r>
          </w:p>
        </w:tc>
        <w:tc>
          <w:tcPr>
            <w:tcW w:w="3987" w:type="pct"/>
            <w:gridSpan w:val="2"/>
          </w:tcPr>
          <w:p w14:paraId="37256AD0" w14:textId="77777777" w:rsidR="00211D51" w:rsidRPr="00460036" w:rsidRDefault="00211D51" w:rsidP="00211D51">
            <w:r>
              <w:t>Data lock point</w:t>
            </w:r>
          </w:p>
        </w:tc>
      </w:tr>
      <w:tr w:rsidR="00211D51" w:rsidRPr="00215D48" w14:paraId="68C28AB1" w14:textId="77777777" w:rsidTr="00211D51">
        <w:tc>
          <w:tcPr>
            <w:tcW w:w="1013" w:type="pct"/>
          </w:tcPr>
          <w:p w14:paraId="1A8789DE" w14:textId="77777777" w:rsidR="00211D51" w:rsidRDefault="00211D51" w:rsidP="00211D51">
            <w:r>
              <w:t>DOR</w:t>
            </w:r>
          </w:p>
        </w:tc>
        <w:tc>
          <w:tcPr>
            <w:tcW w:w="3987" w:type="pct"/>
            <w:gridSpan w:val="2"/>
          </w:tcPr>
          <w:p w14:paraId="5CC0BA93" w14:textId="77777777" w:rsidR="00211D51" w:rsidRDefault="00211D51" w:rsidP="00211D51">
            <w:r>
              <w:t>Duration of response</w:t>
            </w:r>
          </w:p>
        </w:tc>
      </w:tr>
      <w:tr w:rsidR="00211D51" w:rsidRPr="00215D48" w14:paraId="3869FB47" w14:textId="77777777" w:rsidTr="00211D51">
        <w:tc>
          <w:tcPr>
            <w:tcW w:w="1013" w:type="pct"/>
          </w:tcPr>
          <w:p w14:paraId="0A4F9AB8" w14:textId="77777777" w:rsidR="00211D51" w:rsidRDefault="00211D51" w:rsidP="00211D51">
            <w:r>
              <w:t>ECOG-PS</w:t>
            </w:r>
          </w:p>
        </w:tc>
        <w:tc>
          <w:tcPr>
            <w:tcW w:w="3987" w:type="pct"/>
            <w:gridSpan w:val="2"/>
          </w:tcPr>
          <w:p w14:paraId="2AEF4655" w14:textId="77777777" w:rsidR="00211D51" w:rsidRDefault="00211D51" w:rsidP="00211D51">
            <w:r w:rsidRPr="00252AA1">
              <w:t>Eastern Cooperative Oncology Group</w:t>
            </w:r>
            <w:r>
              <w:t xml:space="preserve"> performance score</w:t>
            </w:r>
          </w:p>
        </w:tc>
      </w:tr>
      <w:tr w:rsidR="00211D51" w:rsidRPr="00215D48" w14:paraId="280799A6" w14:textId="77777777" w:rsidTr="00211D51">
        <w:tc>
          <w:tcPr>
            <w:tcW w:w="1013" w:type="pct"/>
          </w:tcPr>
          <w:p w14:paraId="54D9A8CF" w14:textId="77777777" w:rsidR="00211D51" w:rsidRDefault="00211D51" w:rsidP="00211D51">
            <w:r>
              <w:t>EFS</w:t>
            </w:r>
          </w:p>
        </w:tc>
        <w:tc>
          <w:tcPr>
            <w:tcW w:w="3987" w:type="pct"/>
            <w:gridSpan w:val="2"/>
          </w:tcPr>
          <w:p w14:paraId="3D2DFB1F" w14:textId="77777777" w:rsidR="00211D51" w:rsidRDefault="00211D51" w:rsidP="00211D51">
            <w:r>
              <w:t>E</w:t>
            </w:r>
            <w:r w:rsidRPr="00BD3FB4">
              <w:t>vent free survival</w:t>
            </w:r>
          </w:p>
        </w:tc>
      </w:tr>
      <w:tr w:rsidR="00211D51" w:rsidRPr="00215D48" w14:paraId="51646AC1" w14:textId="77777777" w:rsidTr="00211D51">
        <w:tc>
          <w:tcPr>
            <w:tcW w:w="1013" w:type="pct"/>
          </w:tcPr>
          <w:p w14:paraId="469E306C" w14:textId="77777777" w:rsidR="00211D51" w:rsidRDefault="00211D51" w:rsidP="00211D51">
            <w:r>
              <w:t>E-R</w:t>
            </w:r>
          </w:p>
        </w:tc>
        <w:tc>
          <w:tcPr>
            <w:tcW w:w="3987" w:type="pct"/>
            <w:gridSpan w:val="2"/>
          </w:tcPr>
          <w:p w14:paraId="3DB48523" w14:textId="77777777" w:rsidR="00211D51" w:rsidRDefault="00211D51" w:rsidP="00211D51">
            <w:r>
              <w:t>E</w:t>
            </w:r>
            <w:r w:rsidRPr="00540027">
              <w:t>xposure-response</w:t>
            </w:r>
          </w:p>
        </w:tc>
      </w:tr>
      <w:tr w:rsidR="00211D51" w:rsidRPr="00215D48" w14:paraId="3C693E9E" w14:textId="77777777" w:rsidTr="00211D51">
        <w:tc>
          <w:tcPr>
            <w:tcW w:w="1013" w:type="pct"/>
          </w:tcPr>
          <w:p w14:paraId="14603C31" w14:textId="77777777" w:rsidR="00211D51" w:rsidRPr="00215D48" w:rsidRDefault="00211D51" w:rsidP="00211D51">
            <w:r>
              <w:t>EU</w:t>
            </w:r>
          </w:p>
        </w:tc>
        <w:tc>
          <w:tcPr>
            <w:tcW w:w="3987" w:type="pct"/>
            <w:gridSpan w:val="2"/>
          </w:tcPr>
          <w:p w14:paraId="4AF1E19E" w14:textId="77777777" w:rsidR="00211D51" w:rsidRPr="00FD119B" w:rsidRDefault="00211D51" w:rsidP="00211D51">
            <w:r>
              <w:t>European Union</w:t>
            </w:r>
          </w:p>
        </w:tc>
      </w:tr>
      <w:tr w:rsidR="00211D51" w:rsidRPr="00215D48" w14:paraId="6476B995" w14:textId="77777777" w:rsidTr="00211D51">
        <w:tc>
          <w:tcPr>
            <w:tcW w:w="1013" w:type="pct"/>
          </w:tcPr>
          <w:p w14:paraId="2C941388" w14:textId="77777777" w:rsidR="00211D51" w:rsidRPr="00215D48" w:rsidRDefault="00211D51" w:rsidP="00211D51">
            <w:r>
              <w:t>FDA</w:t>
            </w:r>
          </w:p>
        </w:tc>
        <w:tc>
          <w:tcPr>
            <w:tcW w:w="3987" w:type="pct"/>
            <w:gridSpan w:val="2"/>
          </w:tcPr>
          <w:p w14:paraId="47BE23F8" w14:textId="77777777" w:rsidR="00211D51" w:rsidRPr="00FD119B" w:rsidRDefault="00211D51" w:rsidP="00211D51">
            <w:r w:rsidRPr="007F307C">
              <w:t>Food and Drug Administration</w:t>
            </w:r>
            <w:r>
              <w:t xml:space="preserve"> (United States of America)</w:t>
            </w:r>
          </w:p>
        </w:tc>
      </w:tr>
      <w:tr w:rsidR="00211D51" w:rsidRPr="00215D48" w14:paraId="1A28F69F" w14:textId="77777777" w:rsidTr="00211D51">
        <w:tc>
          <w:tcPr>
            <w:tcW w:w="1013" w:type="pct"/>
          </w:tcPr>
          <w:p w14:paraId="39BA76D3" w14:textId="77777777" w:rsidR="00211D51" w:rsidRDefault="00211D51" w:rsidP="00211D51">
            <w:r>
              <w:t>HMA</w:t>
            </w:r>
          </w:p>
        </w:tc>
        <w:tc>
          <w:tcPr>
            <w:tcW w:w="3987" w:type="pct"/>
            <w:gridSpan w:val="2"/>
          </w:tcPr>
          <w:p w14:paraId="416D537F" w14:textId="77777777" w:rsidR="00211D51" w:rsidRPr="00002104" w:rsidRDefault="00211D51" w:rsidP="00211D51">
            <w:r>
              <w:t>H</w:t>
            </w:r>
            <w:r w:rsidRPr="006D65DF">
              <w:t>ypomethylating agent</w:t>
            </w:r>
            <w:r>
              <w:t>s</w:t>
            </w:r>
          </w:p>
        </w:tc>
      </w:tr>
      <w:tr w:rsidR="00211D51" w:rsidRPr="00215D48" w14:paraId="5E02F6CE" w14:textId="77777777" w:rsidTr="00211D51">
        <w:tc>
          <w:tcPr>
            <w:tcW w:w="1013" w:type="pct"/>
          </w:tcPr>
          <w:p w14:paraId="3089F02E" w14:textId="77777777" w:rsidR="00211D51" w:rsidRDefault="00211D51" w:rsidP="00211D51">
            <w:r>
              <w:t>HR</w:t>
            </w:r>
          </w:p>
        </w:tc>
        <w:tc>
          <w:tcPr>
            <w:tcW w:w="3987" w:type="pct"/>
            <w:gridSpan w:val="2"/>
          </w:tcPr>
          <w:p w14:paraId="36CFD3F4" w14:textId="77777777" w:rsidR="00211D51" w:rsidRPr="00002104" w:rsidRDefault="00211D51" w:rsidP="00211D51">
            <w:r>
              <w:t>Hazard ratio</w:t>
            </w:r>
          </w:p>
        </w:tc>
      </w:tr>
      <w:tr w:rsidR="00211D51" w:rsidRPr="00215D48" w14:paraId="282622D2" w14:textId="77777777" w:rsidTr="00211D51">
        <w:tc>
          <w:tcPr>
            <w:tcW w:w="1013" w:type="pct"/>
          </w:tcPr>
          <w:p w14:paraId="32C31B66" w14:textId="77777777" w:rsidR="00211D51" w:rsidRDefault="00211D51" w:rsidP="00211D51">
            <w:r>
              <w:t>IVRS</w:t>
            </w:r>
          </w:p>
        </w:tc>
        <w:tc>
          <w:tcPr>
            <w:tcW w:w="3987" w:type="pct"/>
            <w:gridSpan w:val="2"/>
          </w:tcPr>
          <w:p w14:paraId="01FED460" w14:textId="77777777" w:rsidR="00211D51" w:rsidRDefault="00211D51" w:rsidP="00211D51">
            <w:r w:rsidRPr="00002104">
              <w:t>Interactive</w:t>
            </w:r>
            <w:r w:rsidRPr="00002104">
              <w:rPr>
                <w:spacing w:val="-1"/>
              </w:rPr>
              <w:t xml:space="preserve"> </w:t>
            </w:r>
            <w:r>
              <w:rPr>
                <w:spacing w:val="-1"/>
              </w:rPr>
              <w:t>v</w:t>
            </w:r>
            <w:r w:rsidRPr="00002104">
              <w:t>oice</w:t>
            </w:r>
            <w:r w:rsidRPr="00002104">
              <w:rPr>
                <w:spacing w:val="1"/>
              </w:rPr>
              <w:t xml:space="preserve"> </w:t>
            </w:r>
            <w:r>
              <w:rPr>
                <w:spacing w:val="1"/>
              </w:rPr>
              <w:t>r</w:t>
            </w:r>
            <w:r w:rsidRPr="00002104">
              <w:t>esponse</w:t>
            </w:r>
            <w:r w:rsidRPr="00002104">
              <w:rPr>
                <w:spacing w:val="1"/>
              </w:rPr>
              <w:t xml:space="preserve"> </w:t>
            </w:r>
            <w:r>
              <w:rPr>
                <w:spacing w:val="1"/>
              </w:rPr>
              <w:t>s</w:t>
            </w:r>
            <w:r w:rsidRPr="00002104">
              <w:t>ystem</w:t>
            </w:r>
          </w:p>
        </w:tc>
      </w:tr>
      <w:tr w:rsidR="00211D51" w:rsidRPr="00215D48" w14:paraId="4BD1EE91" w14:textId="77777777" w:rsidTr="00211D51">
        <w:tc>
          <w:tcPr>
            <w:tcW w:w="1013" w:type="pct"/>
          </w:tcPr>
          <w:p w14:paraId="5A1291C1" w14:textId="77777777" w:rsidR="00211D51" w:rsidRDefault="00211D51" w:rsidP="00211D51">
            <w:r>
              <w:t>IWRS</w:t>
            </w:r>
          </w:p>
        </w:tc>
        <w:tc>
          <w:tcPr>
            <w:tcW w:w="3987" w:type="pct"/>
            <w:gridSpan w:val="2"/>
          </w:tcPr>
          <w:p w14:paraId="156E8430" w14:textId="77777777" w:rsidR="00211D51" w:rsidRPr="00002104" w:rsidRDefault="00211D51" w:rsidP="00211D51">
            <w:r w:rsidRPr="00002104">
              <w:t>Interactive</w:t>
            </w:r>
            <w:r w:rsidRPr="00002104">
              <w:rPr>
                <w:spacing w:val="-1"/>
              </w:rPr>
              <w:t xml:space="preserve"> </w:t>
            </w:r>
            <w:r>
              <w:rPr>
                <w:spacing w:val="-1"/>
              </w:rPr>
              <w:t>w</w:t>
            </w:r>
            <w:r w:rsidRPr="00002104">
              <w:t>eb</w:t>
            </w:r>
            <w:r w:rsidRPr="00002104">
              <w:rPr>
                <w:spacing w:val="-1"/>
              </w:rPr>
              <w:t xml:space="preserve"> </w:t>
            </w:r>
            <w:r>
              <w:rPr>
                <w:spacing w:val="-1"/>
              </w:rPr>
              <w:t>r</w:t>
            </w:r>
            <w:r w:rsidRPr="00002104">
              <w:t>esponse</w:t>
            </w:r>
            <w:r w:rsidRPr="00002104">
              <w:rPr>
                <w:spacing w:val="-1"/>
              </w:rPr>
              <w:t xml:space="preserve"> </w:t>
            </w:r>
            <w:r>
              <w:rPr>
                <w:spacing w:val="-1"/>
              </w:rPr>
              <w:t>s</w:t>
            </w:r>
            <w:r w:rsidRPr="00002104">
              <w:t>ystem</w:t>
            </w:r>
          </w:p>
        </w:tc>
      </w:tr>
      <w:tr w:rsidR="00211D51" w:rsidRPr="00215D48" w14:paraId="3CC1D2C5" w14:textId="77777777" w:rsidTr="00211D51">
        <w:tc>
          <w:tcPr>
            <w:tcW w:w="1013" w:type="pct"/>
          </w:tcPr>
          <w:p w14:paraId="4FBA154E" w14:textId="77777777" w:rsidR="00211D51" w:rsidRDefault="00211D51" w:rsidP="00211D51">
            <w:r>
              <w:t>LDAC</w:t>
            </w:r>
          </w:p>
        </w:tc>
        <w:tc>
          <w:tcPr>
            <w:tcW w:w="3987" w:type="pct"/>
            <w:gridSpan w:val="2"/>
          </w:tcPr>
          <w:p w14:paraId="30D02901" w14:textId="77777777" w:rsidR="00211D51" w:rsidRDefault="00211D51" w:rsidP="00211D51">
            <w:r>
              <w:t>Low dose cytarabine</w:t>
            </w:r>
          </w:p>
        </w:tc>
      </w:tr>
      <w:tr w:rsidR="00211D51" w:rsidRPr="00215D48" w14:paraId="2F8E43D0" w14:textId="77777777" w:rsidTr="00211D51">
        <w:tc>
          <w:tcPr>
            <w:tcW w:w="1013" w:type="pct"/>
          </w:tcPr>
          <w:p w14:paraId="72BFAD60" w14:textId="77777777" w:rsidR="00211D51" w:rsidRPr="00215D48" w:rsidRDefault="00211D51" w:rsidP="00211D51">
            <w:r>
              <w:lastRenderedPageBreak/>
              <w:t>OCE</w:t>
            </w:r>
          </w:p>
        </w:tc>
        <w:tc>
          <w:tcPr>
            <w:tcW w:w="3987" w:type="pct"/>
            <w:gridSpan w:val="2"/>
          </w:tcPr>
          <w:p w14:paraId="3E6B2599" w14:textId="77777777" w:rsidR="00211D51" w:rsidRPr="00FD119B" w:rsidRDefault="00211D51" w:rsidP="00211D51">
            <w:r w:rsidRPr="007F307C">
              <w:t xml:space="preserve">Oncology </w:t>
            </w:r>
            <w:proofErr w:type="spellStart"/>
            <w:r w:rsidRPr="007F307C">
              <w:t>Center</w:t>
            </w:r>
            <w:proofErr w:type="spellEnd"/>
            <w:r w:rsidRPr="007F307C">
              <w:t xml:space="preserve"> of Excellence</w:t>
            </w:r>
            <w:r>
              <w:t xml:space="preserve"> (United States of America)</w:t>
            </w:r>
          </w:p>
        </w:tc>
      </w:tr>
      <w:tr w:rsidR="00211D51" w:rsidRPr="00215D48" w14:paraId="665C549A" w14:textId="77777777" w:rsidTr="00211D51">
        <w:tc>
          <w:tcPr>
            <w:tcW w:w="1013" w:type="pct"/>
          </w:tcPr>
          <w:p w14:paraId="7FCC453F" w14:textId="77777777" w:rsidR="00211D51" w:rsidRDefault="00211D51" w:rsidP="00211D51">
            <w:r>
              <w:t>OS</w:t>
            </w:r>
          </w:p>
        </w:tc>
        <w:tc>
          <w:tcPr>
            <w:tcW w:w="3987" w:type="pct"/>
            <w:gridSpan w:val="2"/>
          </w:tcPr>
          <w:p w14:paraId="5A89750D" w14:textId="77777777" w:rsidR="00211D51" w:rsidRDefault="00211D51" w:rsidP="00211D51">
            <w:r>
              <w:t>Overall survival</w:t>
            </w:r>
          </w:p>
        </w:tc>
      </w:tr>
      <w:tr w:rsidR="00211D51" w:rsidRPr="00215D48" w14:paraId="5648B28C" w14:textId="77777777" w:rsidTr="00211D51">
        <w:tc>
          <w:tcPr>
            <w:tcW w:w="1013" w:type="pct"/>
          </w:tcPr>
          <w:p w14:paraId="7F2692D3" w14:textId="77777777" w:rsidR="00211D51" w:rsidRPr="00215D48" w:rsidRDefault="00211D51" w:rsidP="00211D51">
            <w:r>
              <w:t>PI</w:t>
            </w:r>
          </w:p>
        </w:tc>
        <w:tc>
          <w:tcPr>
            <w:tcW w:w="3987" w:type="pct"/>
            <w:gridSpan w:val="2"/>
          </w:tcPr>
          <w:p w14:paraId="05DBA4AA" w14:textId="77777777" w:rsidR="00211D51" w:rsidRPr="00FD119B" w:rsidRDefault="00211D51" w:rsidP="00211D51">
            <w:r>
              <w:t>Product Information</w:t>
            </w:r>
          </w:p>
        </w:tc>
      </w:tr>
      <w:tr w:rsidR="00211D51" w:rsidRPr="00215D48" w14:paraId="6A967A07" w14:textId="77777777" w:rsidTr="00211D51">
        <w:tc>
          <w:tcPr>
            <w:tcW w:w="1013" w:type="pct"/>
          </w:tcPr>
          <w:p w14:paraId="3DF685D1" w14:textId="733D371C" w:rsidR="00211D51" w:rsidRDefault="008254CB" w:rsidP="00211D51">
            <w:r>
              <w:t>PK</w:t>
            </w:r>
          </w:p>
        </w:tc>
        <w:tc>
          <w:tcPr>
            <w:tcW w:w="3987" w:type="pct"/>
            <w:gridSpan w:val="2"/>
          </w:tcPr>
          <w:p w14:paraId="35787E6A" w14:textId="77777777" w:rsidR="00211D51" w:rsidRDefault="00211D51" w:rsidP="00211D51">
            <w:r>
              <w:t>Pharmacokinetic(s)</w:t>
            </w:r>
          </w:p>
        </w:tc>
      </w:tr>
      <w:tr w:rsidR="00211D51" w:rsidRPr="00215D48" w14:paraId="2E3788D5" w14:textId="77777777" w:rsidTr="00211D51">
        <w:tc>
          <w:tcPr>
            <w:tcW w:w="1013" w:type="pct"/>
          </w:tcPr>
          <w:p w14:paraId="29D4505C" w14:textId="77777777" w:rsidR="00211D51" w:rsidRDefault="00211D51" w:rsidP="00211D51">
            <w:r>
              <w:t>PT</w:t>
            </w:r>
          </w:p>
        </w:tc>
        <w:tc>
          <w:tcPr>
            <w:tcW w:w="3987" w:type="pct"/>
            <w:gridSpan w:val="2"/>
          </w:tcPr>
          <w:p w14:paraId="511BAFE3" w14:textId="77777777" w:rsidR="00211D51" w:rsidRPr="00002104" w:rsidRDefault="00211D51" w:rsidP="00211D51">
            <w:r>
              <w:t>Preferred Term</w:t>
            </w:r>
          </w:p>
        </w:tc>
      </w:tr>
      <w:tr w:rsidR="00211D51" w:rsidRPr="00215D48" w14:paraId="24ABC1CB" w14:textId="77777777" w:rsidTr="00211D51">
        <w:tc>
          <w:tcPr>
            <w:tcW w:w="1013" w:type="pct"/>
          </w:tcPr>
          <w:p w14:paraId="23892667" w14:textId="77777777" w:rsidR="00211D51" w:rsidRDefault="00211D51" w:rsidP="00211D51">
            <w:r>
              <w:t>RMP</w:t>
            </w:r>
          </w:p>
        </w:tc>
        <w:tc>
          <w:tcPr>
            <w:tcW w:w="3987" w:type="pct"/>
            <w:gridSpan w:val="2"/>
          </w:tcPr>
          <w:p w14:paraId="5F92FAC8" w14:textId="77777777" w:rsidR="00211D51" w:rsidRDefault="00211D51" w:rsidP="00211D51">
            <w:r>
              <w:t>Risk management plan</w:t>
            </w:r>
          </w:p>
        </w:tc>
      </w:tr>
      <w:tr w:rsidR="00211D51" w:rsidRPr="00215D48" w14:paraId="4B302F15" w14:textId="77777777" w:rsidTr="00211D51">
        <w:tc>
          <w:tcPr>
            <w:tcW w:w="1013" w:type="pct"/>
          </w:tcPr>
          <w:p w14:paraId="76ADA4BB" w14:textId="77777777" w:rsidR="00211D51" w:rsidRDefault="00211D51" w:rsidP="00211D51">
            <w:r>
              <w:t>SOC</w:t>
            </w:r>
          </w:p>
        </w:tc>
        <w:tc>
          <w:tcPr>
            <w:tcW w:w="3987" w:type="pct"/>
            <w:gridSpan w:val="2"/>
          </w:tcPr>
          <w:p w14:paraId="7E9592DD" w14:textId="77777777" w:rsidR="00211D51" w:rsidRPr="00002104" w:rsidRDefault="00211D51" w:rsidP="00211D51">
            <w:r>
              <w:t>System Organ Class</w:t>
            </w:r>
          </w:p>
        </w:tc>
      </w:tr>
      <w:tr w:rsidR="00211D51" w:rsidRPr="00215D48" w14:paraId="3948A9C7" w14:textId="77777777" w:rsidTr="00211D51">
        <w:tc>
          <w:tcPr>
            <w:tcW w:w="1013" w:type="pct"/>
          </w:tcPr>
          <w:p w14:paraId="128B09C8" w14:textId="77777777" w:rsidR="00211D51" w:rsidRDefault="00211D51" w:rsidP="00211D51">
            <w:r>
              <w:t>TGA</w:t>
            </w:r>
          </w:p>
        </w:tc>
        <w:tc>
          <w:tcPr>
            <w:tcW w:w="3987" w:type="pct"/>
            <w:gridSpan w:val="2"/>
          </w:tcPr>
          <w:p w14:paraId="7B02E644" w14:textId="77777777" w:rsidR="00211D51" w:rsidRDefault="00211D51" w:rsidP="00211D51">
            <w:r>
              <w:t>Therapeutic Goods Administration</w:t>
            </w:r>
          </w:p>
        </w:tc>
      </w:tr>
      <w:tr w:rsidR="00211D51" w:rsidRPr="00215D48" w14:paraId="4F2C46D7" w14:textId="77777777" w:rsidTr="00211D51">
        <w:tc>
          <w:tcPr>
            <w:tcW w:w="1013" w:type="pct"/>
          </w:tcPr>
          <w:p w14:paraId="33A60080" w14:textId="77777777" w:rsidR="00211D51" w:rsidRDefault="00211D51" w:rsidP="00211D51">
            <w:r>
              <w:t>TLS</w:t>
            </w:r>
          </w:p>
        </w:tc>
        <w:tc>
          <w:tcPr>
            <w:tcW w:w="3987" w:type="pct"/>
            <w:gridSpan w:val="2"/>
          </w:tcPr>
          <w:p w14:paraId="026DF3BD" w14:textId="5BBFE1B7" w:rsidR="00211D51" w:rsidRDefault="00211D51" w:rsidP="00211D51">
            <w:r>
              <w:t>T</w:t>
            </w:r>
            <w:r w:rsidRPr="00F8785F">
              <w:t>umo</w:t>
            </w:r>
            <w:r w:rsidR="008254CB">
              <w:t>u</w:t>
            </w:r>
            <w:r w:rsidRPr="00F8785F">
              <w:t>r lysis syndrome</w:t>
            </w:r>
          </w:p>
        </w:tc>
      </w:tr>
      <w:tr w:rsidR="00211D51" w:rsidRPr="00215D48" w14:paraId="248F3C8D" w14:textId="77777777" w:rsidTr="00211D51">
        <w:tc>
          <w:tcPr>
            <w:tcW w:w="1013" w:type="pct"/>
          </w:tcPr>
          <w:p w14:paraId="70A69440" w14:textId="77777777" w:rsidR="00211D51" w:rsidRPr="00215D48" w:rsidRDefault="00211D51" w:rsidP="00211D51">
            <w:r>
              <w:t>US(A)</w:t>
            </w:r>
          </w:p>
        </w:tc>
        <w:tc>
          <w:tcPr>
            <w:tcW w:w="3987" w:type="pct"/>
            <w:gridSpan w:val="2"/>
          </w:tcPr>
          <w:p w14:paraId="41924C8B" w14:textId="77777777" w:rsidR="00211D51" w:rsidRPr="00FD119B" w:rsidRDefault="00211D51" w:rsidP="00211D51">
            <w:r>
              <w:t>United States of America</w:t>
            </w:r>
          </w:p>
        </w:tc>
      </w:tr>
    </w:tbl>
    <w:p w14:paraId="44BD5098" w14:textId="77777777" w:rsidR="00FD119B" w:rsidRPr="00FD119B" w:rsidRDefault="00FD119B" w:rsidP="00FD119B">
      <w:pPr>
        <w:spacing w:before="0" w:after="200" w:line="0" w:lineRule="auto"/>
        <w:rPr>
          <w:b/>
          <w:i/>
          <w:sz w:val="24"/>
          <w:szCs w:val="24"/>
        </w:rPr>
      </w:pPr>
      <w:r w:rsidRPr="00FD119B">
        <w:rPr>
          <w:b/>
          <w:i/>
          <w:sz w:val="24"/>
          <w:szCs w:val="24"/>
        </w:rPr>
        <w:br w:type="page"/>
      </w:r>
    </w:p>
    <w:p w14:paraId="2AE59D4A" w14:textId="77777777" w:rsidR="008E7846" w:rsidRDefault="00F53C07" w:rsidP="008E7846">
      <w:pPr>
        <w:pStyle w:val="Heading2"/>
      </w:pPr>
      <w:bookmarkStart w:id="9" w:name="_Toc101431965"/>
      <w:r>
        <w:lastRenderedPageBreak/>
        <w:t>I.</w:t>
      </w:r>
      <w:r w:rsidR="008E7846">
        <w:t xml:space="preserve"> Introduction to product submission</w:t>
      </w:r>
      <w:bookmarkEnd w:id="9"/>
      <w:bookmarkEnd w:id="2"/>
      <w:bookmarkEnd w:id="0"/>
    </w:p>
    <w:p w14:paraId="45CFF500" w14:textId="77777777" w:rsidR="008E7846" w:rsidRDefault="008E7846" w:rsidP="008E7846">
      <w:pPr>
        <w:pStyle w:val="Heading3"/>
        <w:rPr>
          <w:lang w:eastAsia="en-AU"/>
        </w:rPr>
      </w:pPr>
      <w:bookmarkStart w:id="10" w:name="_Toc247691502"/>
      <w:bookmarkStart w:id="11" w:name="_Toc314842483"/>
      <w:bookmarkStart w:id="12" w:name="_Toc101431966"/>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5E08E770" w14:textId="77777777" w:rsidTr="003735BC">
        <w:tc>
          <w:tcPr>
            <w:tcW w:w="2907" w:type="dxa"/>
          </w:tcPr>
          <w:p w14:paraId="55F6E806"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7C302503" w14:textId="668BA5AA" w:rsidR="008E7846" w:rsidRPr="003D1E62" w:rsidRDefault="00F321E4" w:rsidP="001B5C90">
            <w:r>
              <w:t>P</w:t>
            </w:r>
            <w:r w:rsidRPr="00F321E4">
              <w:t>rovisional registration to full registration</w:t>
            </w:r>
          </w:p>
        </w:tc>
      </w:tr>
      <w:tr w:rsidR="00460036" w:rsidRPr="003D1E62" w14:paraId="4550DB79" w14:textId="77777777" w:rsidTr="003735BC">
        <w:tc>
          <w:tcPr>
            <w:tcW w:w="2907" w:type="dxa"/>
          </w:tcPr>
          <w:p w14:paraId="16A39D90" w14:textId="70493F69" w:rsidR="00460036" w:rsidRPr="003D1E62" w:rsidRDefault="00460036" w:rsidP="003D1E62">
            <w:pPr>
              <w:rPr>
                <w:i/>
              </w:rPr>
            </w:pPr>
            <w:r w:rsidRPr="00460036">
              <w:rPr>
                <w:i/>
              </w:rPr>
              <w:t>Product name:</w:t>
            </w:r>
          </w:p>
        </w:tc>
        <w:tc>
          <w:tcPr>
            <w:tcW w:w="6307" w:type="dxa"/>
          </w:tcPr>
          <w:p w14:paraId="1DE06A0B" w14:textId="7B4FF3AD" w:rsidR="00460036" w:rsidRPr="003D1E62" w:rsidRDefault="00F321E4" w:rsidP="001B5C90">
            <w:proofErr w:type="spellStart"/>
            <w:r>
              <w:t>Venclexta</w:t>
            </w:r>
            <w:proofErr w:type="spellEnd"/>
          </w:p>
        </w:tc>
      </w:tr>
      <w:tr w:rsidR="00460036" w:rsidRPr="003D1E62" w14:paraId="6CF30CF6" w14:textId="77777777" w:rsidTr="003735BC">
        <w:tc>
          <w:tcPr>
            <w:tcW w:w="2907" w:type="dxa"/>
          </w:tcPr>
          <w:p w14:paraId="4A0082A1" w14:textId="01DABD3E" w:rsidR="00460036" w:rsidRPr="003D1E62" w:rsidRDefault="00460036" w:rsidP="003D1E62">
            <w:pPr>
              <w:rPr>
                <w:i/>
              </w:rPr>
            </w:pPr>
            <w:r w:rsidRPr="00460036">
              <w:rPr>
                <w:i/>
              </w:rPr>
              <w:t>Active ingredient:</w:t>
            </w:r>
          </w:p>
        </w:tc>
        <w:tc>
          <w:tcPr>
            <w:tcW w:w="6307" w:type="dxa"/>
          </w:tcPr>
          <w:p w14:paraId="10A033E2" w14:textId="6A998ADD" w:rsidR="00460036" w:rsidRPr="003D1E62" w:rsidRDefault="00F321E4" w:rsidP="001B5C90">
            <w:proofErr w:type="spellStart"/>
            <w:r>
              <w:t>Venetoclax</w:t>
            </w:r>
            <w:proofErr w:type="spellEnd"/>
          </w:p>
        </w:tc>
      </w:tr>
      <w:tr w:rsidR="008E7846" w:rsidRPr="003D1E62" w14:paraId="14EAA6F0" w14:textId="77777777" w:rsidTr="003735BC">
        <w:tc>
          <w:tcPr>
            <w:tcW w:w="2907" w:type="dxa"/>
          </w:tcPr>
          <w:p w14:paraId="43452B7C" w14:textId="77777777" w:rsidR="008E7846" w:rsidRPr="003D1E62" w:rsidRDefault="008E7846" w:rsidP="003D1E62">
            <w:r w:rsidRPr="003D1E62">
              <w:rPr>
                <w:i/>
              </w:rPr>
              <w:t>Decision</w:t>
            </w:r>
            <w:r w:rsidRPr="003D1E62">
              <w:t>:</w:t>
            </w:r>
          </w:p>
        </w:tc>
        <w:tc>
          <w:tcPr>
            <w:tcW w:w="6307" w:type="dxa"/>
          </w:tcPr>
          <w:p w14:paraId="4FA20019" w14:textId="5636F36B" w:rsidR="008E7846" w:rsidRPr="003D1E62" w:rsidRDefault="00460036" w:rsidP="001B5C90">
            <w:r w:rsidRPr="00460036">
              <w:t>Approved</w:t>
            </w:r>
          </w:p>
        </w:tc>
      </w:tr>
      <w:tr w:rsidR="008E7846" w:rsidRPr="003D1E62" w14:paraId="097D2E21" w14:textId="77777777" w:rsidTr="003735BC">
        <w:tc>
          <w:tcPr>
            <w:tcW w:w="2907" w:type="dxa"/>
          </w:tcPr>
          <w:p w14:paraId="0912EF3A"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367033BA" w14:textId="47DAD7CF" w:rsidR="008E7846" w:rsidRPr="003D1E62" w:rsidRDefault="00F321E4" w:rsidP="001B5C90">
            <w:r>
              <w:t>24 September 2021</w:t>
            </w:r>
          </w:p>
        </w:tc>
      </w:tr>
      <w:tr w:rsidR="00ED2922" w:rsidRPr="003D1E62" w14:paraId="3DC0142D" w14:textId="77777777" w:rsidTr="003735BC">
        <w:tc>
          <w:tcPr>
            <w:tcW w:w="2907" w:type="dxa"/>
          </w:tcPr>
          <w:p w14:paraId="225F6D60" w14:textId="77777777" w:rsidR="00ED2922" w:rsidRPr="00441C3F" w:rsidRDefault="00ED2922" w:rsidP="001B5C90">
            <w:pPr>
              <w:rPr>
                <w:i/>
              </w:rPr>
            </w:pPr>
            <w:r w:rsidRPr="00441C3F">
              <w:rPr>
                <w:i/>
              </w:rPr>
              <w:t>Date of entry onto ARTG</w:t>
            </w:r>
            <w:r w:rsidR="00500337">
              <w:rPr>
                <w:i/>
              </w:rPr>
              <w:t>:</w:t>
            </w:r>
          </w:p>
        </w:tc>
        <w:tc>
          <w:tcPr>
            <w:tcW w:w="6307" w:type="dxa"/>
          </w:tcPr>
          <w:p w14:paraId="41F3B6FE" w14:textId="3F6F3B45" w:rsidR="00ED2922" w:rsidRPr="00441C3F" w:rsidRDefault="00F321E4" w:rsidP="00D153D8">
            <w:pPr>
              <w:rPr>
                <w:i/>
              </w:rPr>
            </w:pPr>
            <w:r>
              <w:t>28 September 2021</w:t>
            </w:r>
          </w:p>
        </w:tc>
      </w:tr>
      <w:tr w:rsidR="00500337" w:rsidRPr="003D1E62" w14:paraId="30297CD0" w14:textId="77777777" w:rsidTr="003735BC">
        <w:tc>
          <w:tcPr>
            <w:tcW w:w="2907" w:type="dxa"/>
          </w:tcPr>
          <w:p w14:paraId="0CD2DD64" w14:textId="6E68AB44" w:rsidR="00500337" w:rsidRPr="00441C3F" w:rsidRDefault="00500337" w:rsidP="001B5C90">
            <w:pPr>
              <w:rPr>
                <w:i/>
              </w:rPr>
            </w:pPr>
            <w:r>
              <w:rPr>
                <w:i/>
              </w:rPr>
              <w:t>ARTG numbers:</w:t>
            </w:r>
          </w:p>
        </w:tc>
        <w:tc>
          <w:tcPr>
            <w:tcW w:w="6307" w:type="dxa"/>
          </w:tcPr>
          <w:p w14:paraId="1083ED0B" w14:textId="0F052C36" w:rsidR="00500337" w:rsidRPr="00441C3F" w:rsidRDefault="00F321E4" w:rsidP="00EC463D">
            <w:r>
              <w:t>267441, 267442, 267443, 267444 and 267445</w:t>
            </w:r>
          </w:p>
        </w:tc>
      </w:tr>
      <w:tr w:rsidR="003735BC" w:rsidRPr="003D1E62" w14:paraId="277DCF08" w14:textId="77777777" w:rsidTr="003735BC">
        <w:tc>
          <w:tcPr>
            <w:tcW w:w="2907" w:type="dxa"/>
          </w:tcPr>
          <w:p w14:paraId="42A60BC8"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1"/>
            </w:r>
          </w:p>
        </w:tc>
        <w:tc>
          <w:tcPr>
            <w:tcW w:w="6307" w:type="dxa"/>
          </w:tcPr>
          <w:p w14:paraId="771ED7C9" w14:textId="7F3B4A14" w:rsidR="003735BC" w:rsidRDefault="003735BC" w:rsidP="003735BC">
            <w:r>
              <w:t>Yes</w:t>
            </w:r>
          </w:p>
          <w:p w14:paraId="722F9BED" w14:textId="24DF088A" w:rsidR="003735BC" w:rsidRPr="00487162" w:rsidRDefault="003735BC" w:rsidP="003735BC">
            <w:r>
              <w:t xml:space="preserve">This product will remain in the scheme for 5 years, starting on the date the product is first supplied in </w:t>
            </w:r>
            <w:r w:rsidRPr="00D453FA">
              <w:t>Australia</w:t>
            </w:r>
          </w:p>
        </w:tc>
      </w:tr>
      <w:tr w:rsidR="008E7846" w:rsidRPr="00487162" w14:paraId="52FA77EF" w14:textId="77777777" w:rsidTr="00BF1190">
        <w:tc>
          <w:tcPr>
            <w:tcW w:w="2907" w:type="dxa"/>
          </w:tcPr>
          <w:p w14:paraId="566A794E"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5AD8121C" w14:textId="77777777" w:rsidR="00DB5DB7" w:rsidRDefault="00DB5DB7" w:rsidP="00DB5DB7">
            <w:r>
              <w:t>AbbVie Pty Ltd</w:t>
            </w:r>
          </w:p>
          <w:p w14:paraId="18C5ABB4" w14:textId="77777777" w:rsidR="008254CB" w:rsidRDefault="008254CB" w:rsidP="00DB5DB7">
            <w:r>
              <w:t xml:space="preserve">241 </w:t>
            </w:r>
            <w:proofErr w:type="spellStart"/>
            <w:r>
              <w:t>O’Riordan</w:t>
            </w:r>
            <w:proofErr w:type="spellEnd"/>
            <w:r>
              <w:t xml:space="preserve"> Street</w:t>
            </w:r>
          </w:p>
          <w:p w14:paraId="4DBC7C54" w14:textId="2F2AD1F7" w:rsidR="008E7846" w:rsidRPr="00487162" w:rsidRDefault="00DB5DB7" w:rsidP="00DB5DB7">
            <w:r>
              <w:t>Mascot NSW 2020</w:t>
            </w:r>
          </w:p>
        </w:tc>
      </w:tr>
      <w:tr w:rsidR="008E7846" w:rsidRPr="00487162" w14:paraId="26A34591" w14:textId="77777777" w:rsidTr="00BF1190">
        <w:tc>
          <w:tcPr>
            <w:tcW w:w="2907" w:type="dxa"/>
          </w:tcPr>
          <w:p w14:paraId="6DD7E85C" w14:textId="3E3EF25B" w:rsidR="008E7846" w:rsidRPr="00487162" w:rsidRDefault="001B5C90" w:rsidP="00E45619">
            <w:pPr>
              <w:rPr>
                <w:i/>
              </w:rPr>
            </w:pPr>
            <w:r>
              <w:rPr>
                <w:i/>
              </w:rPr>
              <w:t>Dose form:</w:t>
            </w:r>
          </w:p>
        </w:tc>
        <w:tc>
          <w:tcPr>
            <w:tcW w:w="6307" w:type="dxa"/>
          </w:tcPr>
          <w:p w14:paraId="0EF9F7C7" w14:textId="0598426B" w:rsidR="008E7846" w:rsidRPr="00487162" w:rsidRDefault="00DB5DB7" w:rsidP="00E45619">
            <w:r>
              <w:t>Film coated tablet</w:t>
            </w:r>
          </w:p>
        </w:tc>
      </w:tr>
      <w:tr w:rsidR="008E7846" w:rsidRPr="00487162" w14:paraId="136A746E" w14:textId="77777777" w:rsidTr="00BF1190">
        <w:tc>
          <w:tcPr>
            <w:tcW w:w="2907" w:type="dxa"/>
          </w:tcPr>
          <w:p w14:paraId="60B08EF6" w14:textId="47130553" w:rsidR="008E7846" w:rsidRPr="00487162" w:rsidRDefault="00324E45" w:rsidP="00E45619">
            <w:pPr>
              <w:rPr>
                <w:i/>
              </w:rPr>
            </w:pPr>
            <w:r>
              <w:rPr>
                <w:i/>
              </w:rPr>
              <w:t>Strengths:</w:t>
            </w:r>
          </w:p>
        </w:tc>
        <w:tc>
          <w:tcPr>
            <w:tcW w:w="6307" w:type="dxa"/>
          </w:tcPr>
          <w:p w14:paraId="7069518D" w14:textId="2684EFCB" w:rsidR="008E7846" w:rsidRPr="00487162" w:rsidRDefault="00DB5DB7" w:rsidP="00E45619">
            <w:r>
              <w:t xml:space="preserve">10 mg, 50 </w:t>
            </w:r>
            <w:proofErr w:type="gramStart"/>
            <w:r>
              <w:t>mg</w:t>
            </w:r>
            <w:proofErr w:type="gramEnd"/>
            <w:r>
              <w:t xml:space="preserve"> and 100 mg</w:t>
            </w:r>
          </w:p>
        </w:tc>
      </w:tr>
      <w:tr w:rsidR="008E7846" w:rsidRPr="00487162" w14:paraId="7DED7584" w14:textId="77777777" w:rsidTr="00BF1190">
        <w:tc>
          <w:tcPr>
            <w:tcW w:w="2907" w:type="dxa"/>
          </w:tcPr>
          <w:p w14:paraId="76014A25" w14:textId="45893F34" w:rsidR="008E7846" w:rsidRPr="00487162" w:rsidRDefault="008E7846" w:rsidP="00E45619">
            <w:pPr>
              <w:rPr>
                <w:i/>
              </w:rPr>
            </w:pPr>
            <w:r w:rsidRPr="00487162">
              <w:rPr>
                <w:i/>
              </w:rPr>
              <w:t>Containe</w:t>
            </w:r>
            <w:r w:rsidR="00DB5DB7">
              <w:rPr>
                <w:i/>
              </w:rPr>
              <w:t>rs</w:t>
            </w:r>
            <w:r w:rsidRPr="00487162">
              <w:rPr>
                <w:i/>
              </w:rPr>
              <w:t>:</w:t>
            </w:r>
          </w:p>
        </w:tc>
        <w:tc>
          <w:tcPr>
            <w:tcW w:w="6307" w:type="dxa"/>
          </w:tcPr>
          <w:p w14:paraId="2A865166" w14:textId="380FA9D3" w:rsidR="008E7846" w:rsidRPr="00487162" w:rsidRDefault="00DB5DB7" w:rsidP="00E45619">
            <w:r>
              <w:t>Blister pack and bottle</w:t>
            </w:r>
          </w:p>
        </w:tc>
      </w:tr>
      <w:tr w:rsidR="008E7846" w:rsidRPr="00487162" w14:paraId="31126B71" w14:textId="77777777" w:rsidTr="00BF1190">
        <w:tc>
          <w:tcPr>
            <w:tcW w:w="2907" w:type="dxa"/>
          </w:tcPr>
          <w:p w14:paraId="19C24363" w14:textId="509D1312" w:rsidR="008E7846" w:rsidRPr="00487162" w:rsidRDefault="008E7846" w:rsidP="00E45619">
            <w:pPr>
              <w:rPr>
                <w:i/>
              </w:rPr>
            </w:pPr>
            <w:r w:rsidRPr="00487162">
              <w:rPr>
                <w:i/>
              </w:rPr>
              <w:t>Pack size</w:t>
            </w:r>
            <w:r w:rsidR="008622C0">
              <w:rPr>
                <w:i/>
              </w:rPr>
              <w:t>s</w:t>
            </w:r>
            <w:r w:rsidRPr="00487162">
              <w:rPr>
                <w:i/>
              </w:rPr>
              <w:t>:</w:t>
            </w:r>
          </w:p>
        </w:tc>
        <w:tc>
          <w:tcPr>
            <w:tcW w:w="6307" w:type="dxa"/>
          </w:tcPr>
          <w:p w14:paraId="38633888" w14:textId="2CBB8855" w:rsidR="008E7846" w:rsidRDefault="009A37AA" w:rsidP="00E45619">
            <w:r>
              <w:t xml:space="preserve">Starting pack: </w:t>
            </w:r>
            <w:r w:rsidR="00DB5DB7">
              <w:t>42 tablets (</w:t>
            </w:r>
            <w:r w:rsidR="008254CB">
              <w:t xml:space="preserve">comprised of </w:t>
            </w:r>
            <w:r w:rsidR="00DB5DB7">
              <w:t>14 x 10 m</w:t>
            </w:r>
            <w:r w:rsidR="008254CB">
              <w:t>g tablets, 7 x 50 mg tablets, 7 </w:t>
            </w:r>
            <w:r w:rsidR="00DB5DB7">
              <w:t xml:space="preserve">x 100 mg tablets, </w:t>
            </w:r>
            <w:r w:rsidR="008254CB">
              <w:t xml:space="preserve">and </w:t>
            </w:r>
            <w:r w:rsidR="00DB5DB7">
              <w:t>14 x 100 mg</w:t>
            </w:r>
            <w:r>
              <w:t xml:space="preserve"> tablets</w:t>
            </w:r>
            <w:r w:rsidR="00DB5DB7">
              <w:t>)</w:t>
            </w:r>
          </w:p>
          <w:p w14:paraId="33E48127" w14:textId="1E47F02B" w:rsidR="00DB5DB7" w:rsidRDefault="009A37AA" w:rsidP="00E45619">
            <w:r>
              <w:t>10 mg blister pack</w:t>
            </w:r>
            <w:r w:rsidR="008254CB">
              <w:t>s</w:t>
            </w:r>
            <w:r>
              <w:t>: 2</w:t>
            </w:r>
            <w:r w:rsidR="00DB5DB7">
              <w:t xml:space="preserve"> and </w:t>
            </w:r>
            <w:r>
              <w:t>14</w:t>
            </w:r>
            <w:r w:rsidR="00DB5DB7">
              <w:t xml:space="preserve"> tablets</w:t>
            </w:r>
          </w:p>
          <w:p w14:paraId="42780EA8" w14:textId="3DFAD288" w:rsidR="009A37AA" w:rsidRDefault="008254CB" w:rsidP="00E45619">
            <w:r>
              <w:t>50 mg blister packs</w:t>
            </w:r>
            <w:r w:rsidR="009A37AA">
              <w:t xml:space="preserve"> 1 and 7 tablets</w:t>
            </w:r>
          </w:p>
          <w:p w14:paraId="7B0E17DF" w14:textId="352D7DF0" w:rsidR="00DB5DB7" w:rsidRDefault="009A37AA" w:rsidP="00E45619">
            <w:r>
              <w:t>100 mg blister pack</w:t>
            </w:r>
            <w:r w:rsidR="008254CB">
              <w:t>s</w:t>
            </w:r>
            <w:r>
              <w:t>: 1, 7, 14 and 112 tablets</w:t>
            </w:r>
          </w:p>
          <w:p w14:paraId="4C9FFF50" w14:textId="11F4A01E" w:rsidR="009A37AA" w:rsidRPr="00487162" w:rsidRDefault="009A37AA" w:rsidP="00E45619">
            <w:r>
              <w:t>100 mg bottle: 120 and 180 tablets</w:t>
            </w:r>
          </w:p>
        </w:tc>
      </w:tr>
      <w:tr w:rsidR="008E7846" w:rsidRPr="00487162" w14:paraId="0BA29DFB" w14:textId="77777777" w:rsidTr="00BF1190">
        <w:tc>
          <w:tcPr>
            <w:tcW w:w="2907" w:type="dxa"/>
          </w:tcPr>
          <w:p w14:paraId="2AB09D8D"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3E739235" w14:textId="77777777" w:rsidR="00537A80" w:rsidRPr="008622C0" w:rsidRDefault="00537A80" w:rsidP="00537A80">
            <w:pPr>
              <w:rPr>
                <w:i/>
                <w:iCs/>
                <w:lang w:eastAsia="ja-JP"/>
              </w:rPr>
            </w:pPr>
            <w:r w:rsidRPr="008622C0">
              <w:rPr>
                <w:i/>
                <w:iCs/>
                <w:lang w:eastAsia="ja-JP"/>
              </w:rPr>
              <w:t>Acute Myeloid Leukaemia</w:t>
            </w:r>
          </w:p>
          <w:p w14:paraId="5498F959" w14:textId="683914F9" w:rsidR="00537A80" w:rsidRPr="00537A80" w:rsidRDefault="00537A80" w:rsidP="00537A80">
            <w:pPr>
              <w:rPr>
                <w:lang w:eastAsia="ja-JP"/>
              </w:rPr>
            </w:pPr>
            <w:proofErr w:type="spellStart"/>
            <w:r w:rsidRPr="00537A80">
              <w:rPr>
                <w:i/>
                <w:iCs/>
                <w:lang w:eastAsia="ja-JP"/>
              </w:rPr>
              <w:t>Venclexta</w:t>
            </w:r>
            <w:proofErr w:type="spellEnd"/>
            <w:r w:rsidRPr="00537A80">
              <w:rPr>
                <w:i/>
                <w:iCs/>
                <w:lang w:eastAsia="ja-JP"/>
              </w:rPr>
              <w:t xml:space="preserve">, in combination with </w:t>
            </w:r>
            <w:proofErr w:type="spellStart"/>
            <w:r w:rsidRPr="00537A80">
              <w:rPr>
                <w:i/>
                <w:iCs/>
                <w:lang w:eastAsia="ja-JP"/>
              </w:rPr>
              <w:t>azacitidine</w:t>
            </w:r>
            <w:proofErr w:type="spellEnd"/>
            <w:r w:rsidRPr="00537A80">
              <w:rPr>
                <w:i/>
                <w:iCs/>
                <w:lang w:eastAsia="ja-JP"/>
              </w:rPr>
              <w:t xml:space="preserve"> or low-dose cytarabine, is indicated for the treatment of adult patients with newly diagnosed acute myeloid leukaemia (AML) who are ineligible for intensive chemotherapy.</w:t>
            </w:r>
          </w:p>
        </w:tc>
      </w:tr>
      <w:tr w:rsidR="008E7846" w:rsidRPr="00487162" w14:paraId="180AC212" w14:textId="77777777" w:rsidTr="00BF1190">
        <w:tc>
          <w:tcPr>
            <w:tcW w:w="2907" w:type="dxa"/>
          </w:tcPr>
          <w:p w14:paraId="78936712" w14:textId="450BA695" w:rsidR="008E7846" w:rsidRPr="00487162" w:rsidRDefault="008E7846" w:rsidP="00E45619">
            <w:pPr>
              <w:rPr>
                <w:i/>
              </w:rPr>
            </w:pPr>
            <w:r w:rsidRPr="00487162">
              <w:rPr>
                <w:i/>
              </w:rPr>
              <w:lastRenderedPageBreak/>
              <w:t>Route of administration:</w:t>
            </w:r>
          </w:p>
        </w:tc>
        <w:tc>
          <w:tcPr>
            <w:tcW w:w="6307" w:type="dxa"/>
          </w:tcPr>
          <w:p w14:paraId="49E602EB" w14:textId="7C61A46E" w:rsidR="008E7846" w:rsidRPr="00487162" w:rsidRDefault="00537A80" w:rsidP="00E45619">
            <w:r>
              <w:t>Oral</w:t>
            </w:r>
          </w:p>
        </w:tc>
      </w:tr>
      <w:tr w:rsidR="008E7846" w:rsidRPr="00487162" w14:paraId="02032CA4" w14:textId="77777777" w:rsidTr="00BF1190">
        <w:tc>
          <w:tcPr>
            <w:tcW w:w="2907" w:type="dxa"/>
          </w:tcPr>
          <w:p w14:paraId="6FC3F810" w14:textId="77777777" w:rsidR="008E7846" w:rsidRPr="00487162" w:rsidRDefault="008E7846" w:rsidP="00E45619">
            <w:pPr>
              <w:rPr>
                <w:i/>
              </w:rPr>
            </w:pPr>
            <w:r w:rsidRPr="00487162">
              <w:rPr>
                <w:i/>
              </w:rPr>
              <w:t>Dosage:</w:t>
            </w:r>
          </w:p>
        </w:tc>
        <w:tc>
          <w:tcPr>
            <w:tcW w:w="6307" w:type="dxa"/>
          </w:tcPr>
          <w:p w14:paraId="4C10819C" w14:textId="63B9F64B" w:rsidR="008E7846" w:rsidRDefault="00930ECC" w:rsidP="00930ECC">
            <w:r>
              <w:t xml:space="preserve">The dose of </w:t>
            </w:r>
            <w:proofErr w:type="spellStart"/>
            <w:r>
              <w:t>Venclexta</w:t>
            </w:r>
            <w:proofErr w:type="spellEnd"/>
            <w:r>
              <w:t xml:space="preserve"> depends upon the combination agent. The </w:t>
            </w:r>
            <w:proofErr w:type="spellStart"/>
            <w:r>
              <w:t>Venclexta</w:t>
            </w:r>
            <w:proofErr w:type="spellEnd"/>
            <w:r>
              <w:t xml:space="preserve"> dosing schedule is listed in the Product Information.</w:t>
            </w:r>
          </w:p>
          <w:p w14:paraId="30492AFE" w14:textId="77777777" w:rsidR="00460036" w:rsidRPr="00487162" w:rsidRDefault="00460036" w:rsidP="00E45619">
            <w:r w:rsidRPr="00460036">
              <w:t>For further information regarding dosage, refer to the Product Information.</w:t>
            </w:r>
          </w:p>
        </w:tc>
      </w:tr>
      <w:tr w:rsidR="00460036" w:rsidRPr="00487162" w14:paraId="329FBF87" w14:textId="77777777" w:rsidTr="00BF1190">
        <w:tc>
          <w:tcPr>
            <w:tcW w:w="2907" w:type="dxa"/>
          </w:tcPr>
          <w:p w14:paraId="4ED4454D" w14:textId="77777777" w:rsidR="00460036" w:rsidRPr="00487162" w:rsidRDefault="00460036" w:rsidP="00E45619">
            <w:pPr>
              <w:rPr>
                <w:i/>
              </w:rPr>
            </w:pPr>
            <w:r w:rsidRPr="00460036">
              <w:rPr>
                <w:i/>
              </w:rPr>
              <w:t>Pregnancy category</w:t>
            </w:r>
            <w:r>
              <w:rPr>
                <w:i/>
              </w:rPr>
              <w:t>:</w:t>
            </w:r>
          </w:p>
        </w:tc>
        <w:tc>
          <w:tcPr>
            <w:tcW w:w="6307" w:type="dxa"/>
          </w:tcPr>
          <w:p w14:paraId="0A9C6B0F" w14:textId="4DFA1004" w:rsidR="00930ECC" w:rsidRDefault="00930ECC" w:rsidP="00460036">
            <w:r>
              <w:t>C</w:t>
            </w:r>
          </w:p>
          <w:p w14:paraId="0D45531B" w14:textId="196C0D72" w:rsidR="00930ECC" w:rsidRDefault="00930ECC" w:rsidP="00460036">
            <w:r w:rsidRPr="00930ECC">
              <w:t xml:space="preserve">Drugs which, owing to their pharmacological effects, have </w:t>
            </w:r>
            <w:proofErr w:type="gramStart"/>
            <w:r w:rsidRPr="00930ECC">
              <w:t>caused</w:t>
            </w:r>
            <w:proofErr w:type="gramEnd"/>
            <w:r w:rsidRPr="00930ECC">
              <w:t xml:space="preserve"> or may be suspected of causing, harmful effects on the human fetus or neonate without causing malformations. These effects may be reversible. Accompanying texts should be consulted for further details.</w:t>
            </w:r>
          </w:p>
          <w:p w14:paraId="4B205668" w14:textId="0EB681C0" w:rsidR="00460036" w:rsidRPr="00487162" w:rsidRDefault="00460036"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35837F87" w14:textId="77777777" w:rsidR="008E7846" w:rsidRDefault="008E7846" w:rsidP="008E7846">
      <w:pPr>
        <w:pStyle w:val="Heading3"/>
      </w:pPr>
      <w:bookmarkStart w:id="13" w:name="_Toc247691503"/>
      <w:bookmarkStart w:id="14" w:name="_Toc314842484"/>
      <w:bookmarkStart w:id="15" w:name="_Toc101431967"/>
      <w:r>
        <w:t>Product background</w:t>
      </w:r>
      <w:bookmarkEnd w:id="13"/>
      <w:bookmarkEnd w:id="14"/>
      <w:bookmarkEnd w:id="15"/>
    </w:p>
    <w:p w14:paraId="10C01D96" w14:textId="193A64DC" w:rsidR="008E7846" w:rsidRPr="00B21B0B" w:rsidRDefault="00250271" w:rsidP="00940A89">
      <w:r w:rsidRPr="00B21B0B">
        <w:t xml:space="preserve">This AusPAR describes the application by </w:t>
      </w:r>
      <w:r w:rsidR="00930ECC" w:rsidRPr="00B21B0B">
        <w:t>AbbVie Pty Ltd</w:t>
      </w:r>
      <w:r w:rsidRPr="00B21B0B">
        <w:t xml:space="preserve"> (the sponsor) to register </w:t>
      </w:r>
      <w:proofErr w:type="spellStart"/>
      <w:r w:rsidR="00930ECC" w:rsidRPr="00B21B0B">
        <w:t>Venclexta</w:t>
      </w:r>
      <w:proofErr w:type="spellEnd"/>
      <w:r w:rsidRPr="00B21B0B">
        <w:t xml:space="preserve"> (</w:t>
      </w:r>
      <w:proofErr w:type="spellStart"/>
      <w:r w:rsidR="00930ECC" w:rsidRPr="00B21B0B">
        <w:t>venetoclax</w:t>
      </w:r>
      <w:proofErr w:type="spellEnd"/>
      <w:r w:rsidRPr="00B21B0B">
        <w:t xml:space="preserve">) </w:t>
      </w:r>
      <w:r w:rsidR="00930ECC" w:rsidRPr="00B21B0B">
        <w:t>10 mg, 50 mg and 100 mg</w:t>
      </w:r>
      <w:r w:rsidRPr="00B21B0B">
        <w:t xml:space="preserve">, </w:t>
      </w:r>
      <w:r w:rsidR="00930ECC" w:rsidRPr="00B21B0B">
        <w:t>film coated tablet</w:t>
      </w:r>
      <w:r w:rsidR="008254CB" w:rsidRPr="00B21B0B">
        <w:t>s</w:t>
      </w:r>
      <w:r w:rsidRPr="00B21B0B">
        <w:t xml:space="preserve"> for the following proposed indication</w:t>
      </w:r>
      <w:r w:rsidR="00CF5DAD" w:rsidRPr="00B21B0B">
        <w:t>:</w:t>
      </w:r>
    </w:p>
    <w:p w14:paraId="08E4647B" w14:textId="77777777" w:rsidR="00BC1EC4" w:rsidRPr="00BC1EC4" w:rsidRDefault="00BC1EC4" w:rsidP="00BC1EC4">
      <w:pPr>
        <w:ind w:left="720"/>
        <w:rPr>
          <w:i/>
          <w:iCs/>
        </w:rPr>
      </w:pPr>
      <w:r w:rsidRPr="00BC1EC4">
        <w:rPr>
          <w:i/>
          <w:iCs/>
        </w:rPr>
        <w:t>Acute Myeloid Leukaemia</w:t>
      </w:r>
    </w:p>
    <w:p w14:paraId="4598042B" w14:textId="348B446E" w:rsidR="00BC1EC4" w:rsidRPr="00BC1EC4" w:rsidRDefault="00BC1EC4" w:rsidP="00BC1EC4">
      <w:pPr>
        <w:ind w:left="720"/>
        <w:rPr>
          <w:i/>
          <w:iCs/>
        </w:rPr>
      </w:pPr>
      <w:proofErr w:type="spellStart"/>
      <w:r w:rsidRPr="00BC1EC4">
        <w:rPr>
          <w:i/>
          <w:iCs/>
        </w:rPr>
        <w:t>Venclexta</w:t>
      </w:r>
      <w:proofErr w:type="spellEnd"/>
      <w:r w:rsidRPr="00BC1EC4">
        <w:rPr>
          <w:i/>
          <w:iCs/>
        </w:rPr>
        <w:t xml:space="preserve"> is indicated, as part of combination therapy, for the treatment of adult patients with newly diagnosed acute myeloid leukaemia (AML) who are ineligible for intensive chemotherapy.</w:t>
      </w:r>
    </w:p>
    <w:p w14:paraId="28437EC2" w14:textId="26908C4C" w:rsidR="00E068E2" w:rsidRDefault="00E068E2" w:rsidP="00E068E2">
      <w:proofErr w:type="spellStart"/>
      <w:r>
        <w:t>Venetoclax</w:t>
      </w:r>
      <w:proofErr w:type="spellEnd"/>
      <w:r>
        <w:t xml:space="preserve"> is a potent, highly selective, orally bioavailable, small molecule B-cell lymphoma</w:t>
      </w:r>
      <w:r w:rsidR="00DA0D04">
        <w:t>-</w:t>
      </w:r>
      <w:r>
        <w:t>2 (Bcl-2) family inhibitor, designed to bind competitively to Bcl-2, thereby liberating pro-apoptotic proteins to trigger apoptosis in cancer cells. Anti-apoptotic Bcl-2 family members are associated with tumour initiation, disease progression, and chemotherapy resistance, as well as autoimmunity. Overexpression of Bcl-2 is a major contributor to the pathogenesis of some haematological malignancies. Antagonism of the action of these proteins may enhance response to therapy and overcome resistance, and so are potential targets for anti-tumour therapy.</w:t>
      </w:r>
    </w:p>
    <w:p w14:paraId="40629E4F" w14:textId="48E38EAC" w:rsidR="00E068E2" w:rsidRDefault="00E068E2" w:rsidP="00E068E2">
      <w:r>
        <w:t xml:space="preserve">Acute </w:t>
      </w:r>
      <w:r w:rsidR="00DA0D04">
        <w:t>m</w:t>
      </w:r>
      <w:r>
        <w:t xml:space="preserve">yeloid </w:t>
      </w:r>
      <w:r w:rsidR="00DA0D04">
        <w:t>l</w:t>
      </w:r>
      <w:r>
        <w:t xml:space="preserve">eukaemia (AML) is a heterogeneous group of aggressive haematological cancers that arise </w:t>
      </w:r>
      <w:r w:rsidR="00574381">
        <w:t>from</w:t>
      </w:r>
      <w:r>
        <w:t xml:space="preserve"> clonal expansion of malignant haematopoietic precursor cells in bone marrow, peripheral </w:t>
      </w:r>
      <w:proofErr w:type="gramStart"/>
      <w:r>
        <w:t>blood</w:t>
      </w:r>
      <w:proofErr w:type="gramEnd"/>
      <w:r>
        <w:t xml:space="preserve"> and occasionally extramedullary tissues, leading to a disruption of normal haematopoiesis.</w:t>
      </w:r>
    </w:p>
    <w:p w14:paraId="226021A1" w14:textId="77777777" w:rsidR="00E068E2" w:rsidRDefault="00E068E2" w:rsidP="00E068E2">
      <w:r>
        <w:t>It is broadly categorised as one of the following:</w:t>
      </w:r>
    </w:p>
    <w:p w14:paraId="5CF6EAAA" w14:textId="0CF122A9" w:rsidR="00E068E2" w:rsidRPr="00DA0D04" w:rsidRDefault="00E068E2" w:rsidP="00DA0D04">
      <w:pPr>
        <w:pStyle w:val="ListBullet"/>
      </w:pPr>
      <w:r w:rsidRPr="00DA0D04">
        <w:t>AML with recurrent genetic abnormalities</w:t>
      </w:r>
      <w:r w:rsidR="00DA0D04">
        <w:t>,</w:t>
      </w:r>
    </w:p>
    <w:p w14:paraId="0795590C" w14:textId="19CB6AEA" w:rsidR="00E068E2" w:rsidRPr="00DA0D04" w:rsidRDefault="00E068E2" w:rsidP="00DA0D04">
      <w:pPr>
        <w:pStyle w:val="ListBullet"/>
      </w:pPr>
      <w:r w:rsidRPr="00DA0D04">
        <w:t>AML with myelodysplasia-related features, without a history of prior cytotoxic therapy</w:t>
      </w:r>
      <w:r w:rsidR="00DA0D04">
        <w:t>,</w:t>
      </w:r>
    </w:p>
    <w:p w14:paraId="0785DA4F" w14:textId="73969A53" w:rsidR="00E068E2" w:rsidRPr="00DA0D04" w:rsidRDefault="00DA0D04" w:rsidP="00DA0D04">
      <w:pPr>
        <w:pStyle w:val="ListBullet"/>
      </w:pPr>
      <w:r>
        <w:t>t</w:t>
      </w:r>
      <w:r w:rsidR="00E068E2" w:rsidRPr="00DA0D04">
        <w:t xml:space="preserve">herapy-related myeloid neoplasm (AML and </w:t>
      </w:r>
      <w:r w:rsidRPr="00DA0D04">
        <w:t>myelodysplastic syndromes</w:t>
      </w:r>
      <w:r w:rsidR="00E068E2" w:rsidRPr="00DA0D04">
        <w:t>)</w:t>
      </w:r>
      <w:r>
        <w:t>,</w:t>
      </w:r>
    </w:p>
    <w:p w14:paraId="3514BDF9" w14:textId="1744AC51" w:rsidR="00E068E2" w:rsidRPr="00DA0D04" w:rsidRDefault="00E068E2" w:rsidP="00DA0D04">
      <w:pPr>
        <w:pStyle w:val="ListBullet"/>
      </w:pPr>
      <w:r w:rsidRPr="00DA0D04">
        <w:lastRenderedPageBreak/>
        <w:t>AML not otherwise specified</w:t>
      </w:r>
      <w:r w:rsidR="00DA0D04">
        <w:t>,</w:t>
      </w:r>
    </w:p>
    <w:p w14:paraId="77C8D8EA" w14:textId="0F6D9FE1" w:rsidR="00E068E2" w:rsidRPr="00DA0D04" w:rsidRDefault="00DA0D04" w:rsidP="00DA0D04">
      <w:pPr>
        <w:pStyle w:val="ListBullet"/>
      </w:pPr>
      <w:r>
        <w:t>m</w:t>
      </w:r>
      <w:r w:rsidR="00E068E2" w:rsidRPr="00DA0D04">
        <w:t>yeloid sarcoma</w:t>
      </w:r>
      <w:r>
        <w:t>, and</w:t>
      </w:r>
    </w:p>
    <w:p w14:paraId="6F367294" w14:textId="0D4E2E61" w:rsidR="00E068E2" w:rsidRPr="00DA0D04" w:rsidRDefault="00DA0D04" w:rsidP="00DA0D04">
      <w:pPr>
        <w:pStyle w:val="ListBullet"/>
      </w:pPr>
      <w:r>
        <w:t>m</w:t>
      </w:r>
      <w:r w:rsidR="00E068E2" w:rsidRPr="00DA0D04">
        <w:t>yeloid proliferations related to Down syndrome</w:t>
      </w:r>
      <w:r>
        <w:t>.</w:t>
      </w:r>
    </w:p>
    <w:p w14:paraId="412F1B3D" w14:textId="7D729B38" w:rsidR="00E068E2" w:rsidRDefault="00E068E2" w:rsidP="00E068E2">
      <w:r>
        <w:t xml:space="preserve">The median age of patients is approximately 65 to 70 years and the incidence </w:t>
      </w:r>
      <w:proofErr w:type="gramStart"/>
      <w:r w:rsidR="00DA0D04">
        <w:t>increase</w:t>
      </w:r>
      <w:r w:rsidR="00B21B0B">
        <w:t>s</w:t>
      </w:r>
      <w:proofErr w:type="gramEnd"/>
      <w:r>
        <w:t xml:space="preserve"> with ag</w:t>
      </w:r>
      <w:r w:rsidR="00B21B0B">
        <w:t>e</w:t>
      </w:r>
      <w:r>
        <w:t xml:space="preserve"> and is considered a life ending disease for many patients. Older patients tend to have a lower percentage of favourable cytogenetics, a higher percentage of unfavourable cytogenetics, a higher incidence of multi-drug resistance, a higher incidence of treatment resistant disease, lower complete response rates, shorter remission durations and shorter median overall survival. In addition, older adults are more likely to have co-morbidities that impact treatments that may be offered, and performance score acts independently of age in influencing prognosis.</w:t>
      </w:r>
      <w:r>
        <w:rPr>
          <w:rStyle w:val="FootnoteReference"/>
        </w:rPr>
        <w:footnoteReference w:id="2"/>
      </w:r>
      <w:r>
        <w:t xml:space="preserve"> Generally th</w:t>
      </w:r>
      <w:r w:rsidR="008254CB">
        <w:t>e prognosis is poor, with the 5</w:t>
      </w:r>
      <w:r w:rsidR="008254CB">
        <w:noBreakHyphen/>
      </w:r>
      <w:r>
        <w:t xml:space="preserve">year survival </w:t>
      </w:r>
      <w:r w:rsidR="008254CB">
        <w:t xml:space="preserve">rates being between </w:t>
      </w:r>
      <w:r>
        <w:t>5 to 8%.</w:t>
      </w:r>
    </w:p>
    <w:p w14:paraId="5B692895" w14:textId="15F8A8F6" w:rsidR="00E068E2" w:rsidRDefault="00E068E2" w:rsidP="00E068E2">
      <w:r>
        <w:t>Clinical guidelines recommend a range of therapies for patients newly diagnosed with AML who are ineligible for intensive chemotherapy regimens.</w:t>
      </w:r>
    </w:p>
    <w:p w14:paraId="3994AF39" w14:textId="23DC560D" w:rsidR="00DC54FD" w:rsidRDefault="00DC54FD" w:rsidP="00DC54FD">
      <w:r w:rsidRPr="007F307C">
        <w:t>This evaluation was facilitated through Project Orbis,</w:t>
      </w:r>
      <w:r>
        <w:rPr>
          <w:rStyle w:val="FootnoteReference"/>
        </w:rPr>
        <w:footnoteReference w:id="3"/>
      </w:r>
      <w:r w:rsidRPr="007F307C">
        <w:t xml:space="preserve"> an initiative of the United States (US) Food and Drug Administration (FDA) Oncology </w:t>
      </w:r>
      <w:proofErr w:type="spellStart"/>
      <w:r w:rsidRPr="007F307C">
        <w:t>Center</w:t>
      </w:r>
      <w:proofErr w:type="spellEnd"/>
      <w:r w:rsidRPr="007F307C">
        <w:t xml:space="preserve"> of Excellence (OCE). Under this project, the </w:t>
      </w:r>
      <w:r w:rsidRPr="00D963A6">
        <w:t xml:space="preserve">FDA, Health Canada, National Health Surveillance Agency (Brazil), </w:t>
      </w:r>
      <w:proofErr w:type="spellStart"/>
      <w:r w:rsidRPr="00D963A6">
        <w:t>Swissmedic</w:t>
      </w:r>
      <w:proofErr w:type="spellEnd"/>
      <w:r w:rsidRPr="00D963A6">
        <w:t xml:space="preserve"> (Switzerland),</w:t>
      </w:r>
      <w:r w:rsidR="00D963A6" w:rsidRPr="00D963A6">
        <w:t xml:space="preserve"> </w:t>
      </w:r>
      <w:r w:rsidRPr="00D963A6">
        <w:t xml:space="preserve">and the </w:t>
      </w:r>
      <w:r>
        <w:t>TGA collaboratively reviewed the application. This innovative evaluation process provided a framework for process alignment and management of evaluation issues in real-time across jurisdictions.</w:t>
      </w:r>
    </w:p>
    <w:p w14:paraId="1812EF3B" w14:textId="77777777" w:rsidR="00DC54FD" w:rsidRDefault="00DC54FD" w:rsidP="00DC54FD">
      <w:r>
        <w:t>Each regulator agency maintained its regulatory process to make independent decisions about the approval (market authorisation).</w:t>
      </w:r>
    </w:p>
    <w:p w14:paraId="69C9B793" w14:textId="77777777" w:rsidR="008E7846" w:rsidRPr="003F31A2" w:rsidRDefault="00386150" w:rsidP="008E7846">
      <w:pPr>
        <w:pStyle w:val="Heading3"/>
      </w:pPr>
      <w:bookmarkStart w:id="16" w:name="_Toc314842485"/>
      <w:bookmarkStart w:id="17" w:name="_Toc247691504"/>
      <w:bookmarkStart w:id="18" w:name="_Toc101431968"/>
      <w:r>
        <w:t>Regulatory s</w:t>
      </w:r>
      <w:r w:rsidR="008E7846">
        <w:t>tatus</w:t>
      </w:r>
      <w:bookmarkEnd w:id="16"/>
      <w:bookmarkEnd w:id="17"/>
      <w:bookmarkEnd w:id="18"/>
    </w:p>
    <w:p w14:paraId="1A6F9C98" w14:textId="126CA370" w:rsidR="00006FAB" w:rsidRDefault="00006FAB" w:rsidP="00006FAB">
      <w:bookmarkStart w:id="19" w:name="_Toc247691505"/>
      <w:bookmarkStart w:id="20" w:name="_Toc314842486"/>
      <w:r>
        <w:t xml:space="preserve">The product received initial </w:t>
      </w:r>
      <w:r w:rsidR="00C95519">
        <w:t xml:space="preserve">provisional </w:t>
      </w:r>
      <w:r>
        <w:t>registration on the Australian Register of Therapeutic Goods (ARTG) o</w:t>
      </w:r>
      <w:r w:rsidR="00E068E2">
        <w:t>n 5 February 2020</w:t>
      </w:r>
      <w:r w:rsidR="00C95519">
        <w:t>.</w:t>
      </w:r>
    </w:p>
    <w:p w14:paraId="7AD7B648" w14:textId="77777777" w:rsidR="00C95519" w:rsidRPr="00C95519" w:rsidRDefault="00C95519" w:rsidP="00C95519">
      <w:pPr>
        <w:ind w:left="720"/>
        <w:rPr>
          <w:i/>
          <w:iCs/>
        </w:rPr>
      </w:pPr>
      <w:r w:rsidRPr="00C95519">
        <w:rPr>
          <w:i/>
          <w:iCs/>
        </w:rPr>
        <w:t>Acute Myeloid Leukaemia</w:t>
      </w:r>
    </w:p>
    <w:p w14:paraId="6337247E" w14:textId="109A5A76" w:rsidR="00C95519" w:rsidRPr="00C95519" w:rsidRDefault="00C95519" w:rsidP="00C95519">
      <w:pPr>
        <w:ind w:left="720"/>
        <w:rPr>
          <w:i/>
          <w:iCs/>
        </w:rPr>
      </w:pPr>
      <w:proofErr w:type="spellStart"/>
      <w:r w:rsidRPr="00C95519">
        <w:rPr>
          <w:i/>
          <w:iCs/>
        </w:rPr>
        <w:t>V</w:t>
      </w:r>
      <w:r>
        <w:rPr>
          <w:i/>
          <w:iCs/>
        </w:rPr>
        <w:t>enclexta</w:t>
      </w:r>
      <w:proofErr w:type="spellEnd"/>
      <w:r w:rsidRPr="00C95519">
        <w:rPr>
          <w:i/>
          <w:iCs/>
        </w:rPr>
        <w:t>, as part of combination therapy, is indicated for the treatment of newly diagnosed adult patients with Acute Myeloid Leukaemia (AML) who are ineligible for intensive chemotherapy.</w:t>
      </w:r>
    </w:p>
    <w:p w14:paraId="67F22AC4" w14:textId="0A88D06E" w:rsidR="00C95519" w:rsidRPr="00C95519" w:rsidRDefault="00C95519" w:rsidP="00C95519">
      <w:pPr>
        <w:ind w:left="720"/>
        <w:rPr>
          <w:i/>
          <w:iCs/>
        </w:rPr>
      </w:pPr>
      <w:r w:rsidRPr="00C95519">
        <w:rPr>
          <w:i/>
          <w:iCs/>
        </w:rPr>
        <w:t>This medicine has provisional approval in Australia for the treatment of newly diagnosed patients with AML who are ineligible for intensive chemotherapy. The decision to approve this indication has been made on the basis of interim data (overall response rate and duration of response). Continued approval of this indication depends on verification and description of benefit in confirmatory trials.</w:t>
      </w:r>
    </w:p>
    <w:p w14:paraId="3F64A9DA" w14:textId="0716CF0B" w:rsidR="00A67BD5" w:rsidRDefault="00006FAB" w:rsidP="00A67BD5">
      <w:r w:rsidRPr="00DA0D04">
        <w:t>At the time the TGA considered this</w:t>
      </w:r>
      <w:r w:rsidR="008254CB">
        <w:t xml:space="preserve"> application, </w:t>
      </w:r>
      <w:r w:rsidRPr="00DA0D04">
        <w:t>similar application</w:t>
      </w:r>
      <w:r w:rsidR="008254CB">
        <w:t>s</w:t>
      </w:r>
      <w:r w:rsidRPr="00DA0D04">
        <w:t xml:space="preserve"> had been approved</w:t>
      </w:r>
      <w:r w:rsidR="00A67BD5" w:rsidRPr="00DA0D04">
        <w:t xml:space="preserve"> in the United States</w:t>
      </w:r>
      <w:r w:rsidR="006D65DF" w:rsidRPr="00DA0D04">
        <w:t xml:space="preserve"> of America (USA)</w:t>
      </w:r>
      <w:r w:rsidR="00A67BD5" w:rsidRPr="00DA0D04">
        <w:t xml:space="preserve">, Australia, Canada, Switzerland and Brazil </w:t>
      </w:r>
      <w:proofErr w:type="gramStart"/>
      <w:r w:rsidR="00A67BD5" w:rsidRPr="00DA0D04">
        <w:t>was</w:t>
      </w:r>
      <w:proofErr w:type="gramEnd"/>
      <w:r w:rsidR="00A67BD5" w:rsidRPr="00DA0D04">
        <w:t xml:space="preserve"> reviewed under Project Orbis. Approvals for the United States, Canada, </w:t>
      </w:r>
      <w:proofErr w:type="gramStart"/>
      <w:r w:rsidR="00A67BD5" w:rsidRPr="00DA0D04">
        <w:t>Switzerland</w:t>
      </w:r>
      <w:proofErr w:type="gramEnd"/>
      <w:r w:rsidR="00A67BD5" w:rsidRPr="00DA0D04">
        <w:t xml:space="preserve"> and Brazil have been received with the approval details provided in the below </w:t>
      </w:r>
      <w:r w:rsidR="00DA0D04" w:rsidRPr="00DA0D04">
        <w:fldChar w:fldCharType="begin"/>
      </w:r>
      <w:r w:rsidR="00DA0D04" w:rsidRPr="00DA0D04">
        <w:instrText xml:space="preserve"> REF _Ref99097638 \h </w:instrText>
      </w:r>
      <w:r w:rsidR="00DA0D04">
        <w:instrText xml:space="preserve"> \* MERGEFORMAT </w:instrText>
      </w:r>
      <w:r w:rsidR="00DA0D04" w:rsidRPr="00DA0D04">
        <w:fldChar w:fldCharType="separate"/>
      </w:r>
      <w:r w:rsidR="00211D51">
        <w:t xml:space="preserve">Table </w:t>
      </w:r>
      <w:r w:rsidR="00211D51">
        <w:rPr>
          <w:noProof/>
        </w:rPr>
        <w:t>1</w:t>
      </w:r>
      <w:r w:rsidR="00DA0D04" w:rsidRPr="00DA0D04">
        <w:fldChar w:fldCharType="end"/>
      </w:r>
      <w:r w:rsidR="00A67BD5" w:rsidRPr="00DA0D04">
        <w:t>.</w:t>
      </w:r>
      <w:r w:rsidR="008254CB">
        <w:t xml:space="preserve"> </w:t>
      </w:r>
      <w:proofErr w:type="spellStart"/>
      <w:r w:rsidR="008254CB">
        <w:t>Venclexta</w:t>
      </w:r>
      <w:proofErr w:type="spellEnd"/>
      <w:r w:rsidR="008254CB">
        <w:t xml:space="preserve"> has</w:t>
      </w:r>
      <w:r w:rsidR="00DA0D04" w:rsidRPr="00DA0D04">
        <w:t xml:space="preserve"> also approved in the European Union (EU)</w:t>
      </w:r>
      <w:r w:rsidR="008254CB">
        <w:t xml:space="preserve"> for a similar indication</w:t>
      </w:r>
      <w:r w:rsidR="00DA0D04" w:rsidRPr="00DA0D04">
        <w:t>.</w:t>
      </w:r>
    </w:p>
    <w:p w14:paraId="7A7E0ABC" w14:textId="60BA6C86" w:rsidR="00324E45" w:rsidRPr="00F0146F" w:rsidRDefault="00324E45" w:rsidP="00324E45">
      <w:pPr>
        <w:pStyle w:val="TableTitle"/>
      </w:pPr>
      <w:bookmarkStart w:id="21" w:name="_Ref99097638"/>
      <w:r>
        <w:lastRenderedPageBreak/>
        <w:t xml:space="preserve">Table </w:t>
      </w:r>
      <w:fldSimple w:instr=" SEQ Table \* ARABIC ">
        <w:r w:rsidR="007E2134">
          <w:rPr>
            <w:noProof/>
          </w:rPr>
          <w:t>1</w:t>
        </w:r>
      </w:fldSimple>
      <w:bookmarkEnd w:id="21"/>
      <w:r>
        <w:t>: International regulatory status</w:t>
      </w:r>
    </w:p>
    <w:tbl>
      <w:tblPr>
        <w:tblStyle w:val="TableTGAblue"/>
        <w:tblW w:w="0" w:type="auto"/>
        <w:tblLook w:val="04A0" w:firstRow="1" w:lastRow="0" w:firstColumn="1" w:lastColumn="0" w:noHBand="0" w:noVBand="1"/>
      </w:tblPr>
      <w:tblGrid>
        <w:gridCol w:w="1614"/>
        <w:gridCol w:w="1887"/>
        <w:gridCol w:w="2201"/>
        <w:gridCol w:w="2792"/>
      </w:tblGrid>
      <w:tr w:rsidR="00A67BD5" w14:paraId="7F76B76A" w14:textId="77777777" w:rsidTr="00A66A20">
        <w:trPr>
          <w:cnfStyle w:val="100000000000" w:firstRow="1" w:lastRow="0" w:firstColumn="0" w:lastColumn="0" w:oddVBand="0" w:evenVBand="0" w:oddHBand="0" w:evenHBand="0" w:firstRowFirstColumn="0" w:firstRowLastColumn="0" w:lastRowFirstColumn="0" w:lastRowLastColumn="0"/>
        </w:trPr>
        <w:tc>
          <w:tcPr>
            <w:tcW w:w="1615" w:type="dxa"/>
            <w:tcBorders>
              <w:top w:val="single" w:sz="4" w:space="0" w:color="auto"/>
              <w:left w:val="single" w:sz="4" w:space="0" w:color="auto"/>
              <w:bottom w:val="single" w:sz="4" w:space="0" w:color="auto"/>
              <w:right w:val="single" w:sz="4" w:space="0" w:color="auto"/>
            </w:tcBorders>
          </w:tcPr>
          <w:p w14:paraId="506EBA58" w14:textId="77777777" w:rsidR="00006FAB" w:rsidRDefault="00006FAB" w:rsidP="00006FAB">
            <w:pPr>
              <w:ind w:left="0" w:right="0"/>
            </w:pPr>
            <w:r>
              <w:t>Region</w:t>
            </w:r>
          </w:p>
        </w:tc>
        <w:tc>
          <w:tcPr>
            <w:tcW w:w="1890" w:type="dxa"/>
            <w:tcBorders>
              <w:top w:val="single" w:sz="4" w:space="0" w:color="auto"/>
              <w:left w:val="single" w:sz="4" w:space="0" w:color="auto"/>
              <w:bottom w:val="single" w:sz="4" w:space="0" w:color="auto"/>
              <w:right w:val="single" w:sz="4" w:space="0" w:color="auto"/>
            </w:tcBorders>
          </w:tcPr>
          <w:p w14:paraId="42EF991C" w14:textId="77777777" w:rsidR="00006FAB" w:rsidRDefault="00006FAB" w:rsidP="00006FAB">
            <w:pPr>
              <w:ind w:left="0" w:right="0"/>
            </w:pPr>
            <w:r>
              <w:t>Submission date</w:t>
            </w:r>
          </w:p>
        </w:tc>
        <w:tc>
          <w:tcPr>
            <w:tcW w:w="2197" w:type="dxa"/>
            <w:tcBorders>
              <w:top w:val="single" w:sz="4" w:space="0" w:color="auto"/>
              <w:left w:val="single" w:sz="4" w:space="0" w:color="auto"/>
              <w:bottom w:val="single" w:sz="4" w:space="0" w:color="auto"/>
              <w:right w:val="single" w:sz="4" w:space="0" w:color="auto"/>
            </w:tcBorders>
          </w:tcPr>
          <w:p w14:paraId="7CD1AA86" w14:textId="77777777" w:rsidR="00006FAB" w:rsidRDefault="00006FAB" w:rsidP="00006FAB">
            <w:pPr>
              <w:ind w:left="0" w:right="0"/>
            </w:pPr>
            <w:r>
              <w:t>Status</w:t>
            </w:r>
          </w:p>
        </w:tc>
        <w:tc>
          <w:tcPr>
            <w:tcW w:w="2792" w:type="dxa"/>
            <w:tcBorders>
              <w:top w:val="single" w:sz="4" w:space="0" w:color="auto"/>
              <w:left w:val="single" w:sz="4" w:space="0" w:color="auto"/>
              <w:bottom w:val="single" w:sz="4" w:space="0" w:color="auto"/>
              <w:right w:val="single" w:sz="4" w:space="0" w:color="auto"/>
            </w:tcBorders>
          </w:tcPr>
          <w:p w14:paraId="1287D157" w14:textId="77777777" w:rsidR="00006FAB" w:rsidRDefault="00006FAB" w:rsidP="00006FAB">
            <w:pPr>
              <w:ind w:left="0" w:right="0"/>
            </w:pPr>
            <w:r>
              <w:t>Approved indications</w:t>
            </w:r>
          </w:p>
        </w:tc>
      </w:tr>
      <w:tr w:rsidR="00A67BD5" w14:paraId="497F6768" w14:textId="77777777" w:rsidTr="00A66A20">
        <w:tc>
          <w:tcPr>
            <w:tcW w:w="1615" w:type="dxa"/>
            <w:tcBorders>
              <w:top w:val="single" w:sz="4" w:space="0" w:color="auto"/>
            </w:tcBorders>
          </w:tcPr>
          <w:p w14:paraId="08676249" w14:textId="020CA2E0" w:rsidR="00006FAB" w:rsidRDefault="00C95519" w:rsidP="00006FAB">
            <w:pPr>
              <w:ind w:left="0" w:right="0"/>
            </w:pPr>
            <w:r>
              <w:t>European Union via centralised procedure</w:t>
            </w:r>
          </w:p>
        </w:tc>
        <w:tc>
          <w:tcPr>
            <w:tcW w:w="1890" w:type="dxa"/>
            <w:tcBorders>
              <w:top w:val="single" w:sz="4" w:space="0" w:color="auto"/>
            </w:tcBorders>
          </w:tcPr>
          <w:p w14:paraId="013238E8" w14:textId="01D30D06" w:rsidR="00006FAB" w:rsidRDefault="00C95519" w:rsidP="00006FAB">
            <w:pPr>
              <w:ind w:left="0" w:right="0"/>
            </w:pPr>
            <w:r>
              <w:t>23 June 2020</w:t>
            </w:r>
          </w:p>
        </w:tc>
        <w:tc>
          <w:tcPr>
            <w:tcW w:w="2197" w:type="dxa"/>
            <w:tcBorders>
              <w:top w:val="single" w:sz="4" w:space="0" w:color="auto"/>
            </w:tcBorders>
          </w:tcPr>
          <w:p w14:paraId="7EBDBA19" w14:textId="19ECDEAC" w:rsidR="00006FAB" w:rsidRDefault="00006FAB" w:rsidP="00006FAB">
            <w:pPr>
              <w:ind w:left="0" w:right="0"/>
            </w:pPr>
            <w:r w:rsidRPr="00006FAB">
              <w:t xml:space="preserve">Approved on </w:t>
            </w:r>
            <w:r w:rsidR="00A66A20">
              <w:t>19 </w:t>
            </w:r>
            <w:r w:rsidR="00C95519">
              <w:t>M</w:t>
            </w:r>
            <w:r w:rsidR="00A66A20">
              <w:t>ay </w:t>
            </w:r>
            <w:r w:rsidR="00C95519">
              <w:t>2021</w:t>
            </w:r>
          </w:p>
        </w:tc>
        <w:tc>
          <w:tcPr>
            <w:tcW w:w="2792" w:type="dxa"/>
            <w:tcBorders>
              <w:top w:val="single" w:sz="4" w:space="0" w:color="auto"/>
            </w:tcBorders>
          </w:tcPr>
          <w:p w14:paraId="4F995C86" w14:textId="4A89979F" w:rsidR="00006FAB" w:rsidRPr="00C95519" w:rsidRDefault="00C95519" w:rsidP="00C95519">
            <w:pPr>
              <w:ind w:left="0"/>
              <w:rPr>
                <w:i/>
                <w:iCs/>
              </w:rPr>
            </w:pPr>
            <w:proofErr w:type="spellStart"/>
            <w:r w:rsidRPr="00C95519">
              <w:rPr>
                <w:i/>
                <w:iCs/>
              </w:rPr>
              <w:t>Venclyxto</w:t>
            </w:r>
            <w:proofErr w:type="spellEnd"/>
            <w:r w:rsidRPr="00C95519">
              <w:rPr>
                <w:i/>
                <w:iCs/>
              </w:rPr>
              <w:t xml:space="preserve"> in combination with a hypomethylating agent is indicated for the treatment of adult patients with newly diagnosed acute myeloid leukaemia (AML) who are ineligible for intensive chemotherapy.</w:t>
            </w:r>
          </w:p>
        </w:tc>
      </w:tr>
      <w:tr w:rsidR="00A67BD5" w14:paraId="5ED7620A" w14:textId="77777777" w:rsidTr="00A66A20">
        <w:tc>
          <w:tcPr>
            <w:tcW w:w="1615" w:type="dxa"/>
          </w:tcPr>
          <w:p w14:paraId="37AEDBBF" w14:textId="0477F28C" w:rsidR="00006FAB" w:rsidRDefault="00C95519" w:rsidP="00006FAB">
            <w:pPr>
              <w:ind w:left="0" w:right="0"/>
            </w:pPr>
            <w:r>
              <w:t>United States of America</w:t>
            </w:r>
          </w:p>
        </w:tc>
        <w:tc>
          <w:tcPr>
            <w:tcW w:w="1890" w:type="dxa"/>
          </w:tcPr>
          <w:p w14:paraId="4A30F57E" w14:textId="6F53ADA7" w:rsidR="00006FAB" w:rsidRDefault="00C95519" w:rsidP="00006FAB">
            <w:pPr>
              <w:ind w:left="0" w:right="0"/>
            </w:pPr>
            <w:r>
              <w:t>22 May 2020</w:t>
            </w:r>
          </w:p>
        </w:tc>
        <w:tc>
          <w:tcPr>
            <w:tcW w:w="2197" w:type="dxa"/>
          </w:tcPr>
          <w:p w14:paraId="5346CB13" w14:textId="4824964F" w:rsidR="00006FAB" w:rsidRDefault="008254CB" w:rsidP="00006FAB">
            <w:pPr>
              <w:ind w:left="0" w:right="0"/>
            </w:pPr>
            <w:r>
              <w:t>Approved 16 </w:t>
            </w:r>
            <w:r w:rsidR="00C95519">
              <w:t>October 2020 (Project Orbis)</w:t>
            </w:r>
          </w:p>
        </w:tc>
        <w:tc>
          <w:tcPr>
            <w:tcW w:w="2792" w:type="dxa"/>
          </w:tcPr>
          <w:p w14:paraId="5DE96BBF" w14:textId="169796C6" w:rsidR="00006FAB" w:rsidRPr="00C95519" w:rsidRDefault="00C95519" w:rsidP="00C95519">
            <w:pPr>
              <w:ind w:left="0"/>
              <w:rPr>
                <w:i/>
                <w:iCs/>
              </w:rPr>
            </w:pPr>
            <w:proofErr w:type="spellStart"/>
            <w:r w:rsidRPr="00C95519">
              <w:rPr>
                <w:i/>
                <w:iCs/>
              </w:rPr>
              <w:t>Venclexta</w:t>
            </w:r>
            <w:proofErr w:type="spellEnd"/>
            <w:r w:rsidRPr="00C95519">
              <w:rPr>
                <w:i/>
                <w:iCs/>
              </w:rPr>
              <w:t xml:space="preserve"> is indicated in combination with </w:t>
            </w:r>
            <w:proofErr w:type="spellStart"/>
            <w:r w:rsidRPr="00C95519">
              <w:rPr>
                <w:i/>
                <w:iCs/>
              </w:rPr>
              <w:t>azacitidine</w:t>
            </w:r>
            <w:proofErr w:type="spellEnd"/>
            <w:r w:rsidRPr="00C95519">
              <w:rPr>
                <w:i/>
                <w:iCs/>
              </w:rPr>
              <w:t>, or decitabine, or low-dose cytarabine for the treatment of newly</w:t>
            </w:r>
            <w:r w:rsidR="00062EB6">
              <w:rPr>
                <w:i/>
                <w:iCs/>
              </w:rPr>
              <w:t xml:space="preserve"> </w:t>
            </w:r>
            <w:r w:rsidRPr="00C95519">
              <w:rPr>
                <w:i/>
                <w:iCs/>
              </w:rPr>
              <w:t>diagnosed acute myeloid leukemia (AML) in adults 75 years or older, or who have comorbidities that preclude use of intensive induction chemotherapy.</w:t>
            </w:r>
          </w:p>
        </w:tc>
      </w:tr>
      <w:tr w:rsidR="00A67BD5" w14:paraId="3177A740" w14:textId="77777777" w:rsidTr="00A66A20">
        <w:tc>
          <w:tcPr>
            <w:tcW w:w="1615" w:type="dxa"/>
          </w:tcPr>
          <w:p w14:paraId="11FB1285" w14:textId="6F306D42" w:rsidR="00C95519" w:rsidRDefault="00C95519" w:rsidP="00C95519">
            <w:pPr>
              <w:ind w:left="0"/>
            </w:pPr>
            <w:r>
              <w:t>Canada</w:t>
            </w:r>
          </w:p>
        </w:tc>
        <w:tc>
          <w:tcPr>
            <w:tcW w:w="1890" w:type="dxa"/>
          </w:tcPr>
          <w:p w14:paraId="6802232C" w14:textId="59305C09" w:rsidR="00C95519" w:rsidRDefault="00C95519" w:rsidP="00A67BD5">
            <w:pPr>
              <w:ind w:left="0"/>
            </w:pPr>
            <w:r>
              <w:t>12 June 2020</w:t>
            </w:r>
          </w:p>
        </w:tc>
        <w:tc>
          <w:tcPr>
            <w:tcW w:w="2197" w:type="dxa"/>
          </w:tcPr>
          <w:p w14:paraId="350C4B4B" w14:textId="1F7DA822" w:rsidR="00C95519" w:rsidRDefault="00C95519" w:rsidP="00A67BD5">
            <w:pPr>
              <w:ind w:left="0"/>
            </w:pPr>
            <w:r>
              <w:t>4 December 2020 (Project Orbis)</w:t>
            </w:r>
          </w:p>
        </w:tc>
        <w:tc>
          <w:tcPr>
            <w:tcW w:w="2792" w:type="dxa"/>
          </w:tcPr>
          <w:p w14:paraId="2C47A2B7" w14:textId="5E0590F9" w:rsidR="00C95519" w:rsidRPr="00C95519" w:rsidRDefault="00C95519" w:rsidP="00C95519">
            <w:pPr>
              <w:ind w:left="0"/>
              <w:rPr>
                <w:i/>
                <w:iCs/>
              </w:rPr>
            </w:pPr>
            <w:proofErr w:type="spellStart"/>
            <w:r w:rsidRPr="00C95519">
              <w:rPr>
                <w:i/>
                <w:iCs/>
              </w:rPr>
              <w:t>V</w:t>
            </w:r>
            <w:r>
              <w:rPr>
                <w:i/>
                <w:iCs/>
              </w:rPr>
              <w:t>enclexta</w:t>
            </w:r>
            <w:proofErr w:type="spellEnd"/>
            <w:r w:rsidRPr="00C95519">
              <w:rPr>
                <w:i/>
                <w:iCs/>
              </w:rPr>
              <w:t>, in combination</w:t>
            </w:r>
            <w:r>
              <w:rPr>
                <w:i/>
                <w:iCs/>
              </w:rPr>
              <w:t xml:space="preserve"> </w:t>
            </w:r>
            <w:r w:rsidRPr="00C95519">
              <w:rPr>
                <w:i/>
                <w:iCs/>
              </w:rPr>
              <w:t xml:space="preserve">with </w:t>
            </w:r>
            <w:proofErr w:type="spellStart"/>
            <w:r w:rsidRPr="00C95519">
              <w:rPr>
                <w:i/>
                <w:iCs/>
              </w:rPr>
              <w:t>azacitidine</w:t>
            </w:r>
            <w:proofErr w:type="spellEnd"/>
            <w:r w:rsidRPr="00C95519">
              <w:rPr>
                <w:i/>
                <w:iCs/>
              </w:rPr>
              <w:t xml:space="preserve"> or low-dose</w:t>
            </w:r>
            <w:r>
              <w:rPr>
                <w:i/>
                <w:iCs/>
              </w:rPr>
              <w:t xml:space="preserve"> </w:t>
            </w:r>
            <w:r w:rsidRPr="00C95519">
              <w:rPr>
                <w:i/>
                <w:iCs/>
              </w:rPr>
              <w:t>cytarabine, is indicated for the</w:t>
            </w:r>
            <w:r>
              <w:rPr>
                <w:i/>
                <w:iCs/>
              </w:rPr>
              <w:t xml:space="preserve"> </w:t>
            </w:r>
            <w:r w:rsidRPr="00C95519">
              <w:rPr>
                <w:i/>
                <w:iCs/>
              </w:rPr>
              <w:t>treatment of patients with newly</w:t>
            </w:r>
            <w:r>
              <w:rPr>
                <w:i/>
                <w:iCs/>
              </w:rPr>
              <w:t xml:space="preserve"> </w:t>
            </w:r>
            <w:r w:rsidRPr="00C95519">
              <w:rPr>
                <w:i/>
                <w:iCs/>
              </w:rPr>
              <w:t>diagnosed acute myeloid leukemia</w:t>
            </w:r>
            <w:r>
              <w:rPr>
                <w:i/>
                <w:iCs/>
              </w:rPr>
              <w:t xml:space="preserve"> </w:t>
            </w:r>
            <w:r w:rsidRPr="00C95519">
              <w:rPr>
                <w:i/>
                <w:iCs/>
              </w:rPr>
              <w:t>(AML) who are 75 years or older,</w:t>
            </w:r>
            <w:r>
              <w:rPr>
                <w:i/>
                <w:iCs/>
              </w:rPr>
              <w:t xml:space="preserve"> </w:t>
            </w:r>
            <w:r w:rsidRPr="00C95519">
              <w:rPr>
                <w:i/>
                <w:iCs/>
              </w:rPr>
              <w:t>or who have comorbidities that</w:t>
            </w:r>
            <w:r>
              <w:rPr>
                <w:i/>
                <w:iCs/>
              </w:rPr>
              <w:t xml:space="preserve"> </w:t>
            </w:r>
            <w:r w:rsidRPr="00C95519">
              <w:rPr>
                <w:i/>
                <w:iCs/>
              </w:rPr>
              <w:t>preclude use of intensive induction</w:t>
            </w:r>
            <w:r>
              <w:rPr>
                <w:i/>
                <w:iCs/>
              </w:rPr>
              <w:t xml:space="preserve"> </w:t>
            </w:r>
            <w:r w:rsidRPr="00C95519">
              <w:rPr>
                <w:i/>
                <w:iCs/>
              </w:rPr>
              <w:t>chemotherapy.</w:t>
            </w:r>
          </w:p>
          <w:p w14:paraId="33B13CD6" w14:textId="108A1DB0" w:rsidR="00C95519" w:rsidRPr="00C95519" w:rsidRDefault="00C95519" w:rsidP="00C95519">
            <w:pPr>
              <w:ind w:left="0"/>
              <w:rPr>
                <w:i/>
                <w:iCs/>
              </w:rPr>
            </w:pPr>
            <w:r w:rsidRPr="00C95519">
              <w:rPr>
                <w:i/>
                <w:iCs/>
              </w:rPr>
              <w:t>Clinical effectiveness of</w:t>
            </w:r>
            <w:r>
              <w:rPr>
                <w:i/>
                <w:iCs/>
              </w:rPr>
              <w:t xml:space="preserve"> </w:t>
            </w:r>
            <w:proofErr w:type="spellStart"/>
            <w:r w:rsidRPr="00C95519">
              <w:rPr>
                <w:i/>
                <w:iCs/>
              </w:rPr>
              <w:t>V</w:t>
            </w:r>
            <w:r>
              <w:rPr>
                <w:i/>
                <w:iCs/>
              </w:rPr>
              <w:t>encl</w:t>
            </w:r>
            <w:r w:rsidR="00A67BD5">
              <w:rPr>
                <w:i/>
                <w:iCs/>
              </w:rPr>
              <w:t>exta</w:t>
            </w:r>
            <w:proofErr w:type="spellEnd"/>
            <w:r w:rsidRPr="00C95519">
              <w:rPr>
                <w:i/>
                <w:iCs/>
              </w:rPr>
              <w:t xml:space="preserve"> in combination</w:t>
            </w:r>
            <w:r>
              <w:rPr>
                <w:i/>
                <w:iCs/>
              </w:rPr>
              <w:t xml:space="preserve"> </w:t>
            </w:r>
            <w:r w:rsidRPr="00C95519">
              <w:rPr>
                <w:i/>
                <w:iCs/>
              </w:rPr>
              <w:t>with low-dose cytarabine is based</w:t>
            </w:r>
            <w:r>
              <w:rPr>
                <w:i/>
                <w:iCs/>
              </w:rPr>
              <w:t xml:space="preserve"> </w:t>
            </w:r>
            <w:r w:rsidRPr="00C95519">
              <w:rPr>
                <w:i/>
                <w:iCs/>
              </w:rPr>
              <w:t>on response rates and transfusion</w:t>
            </w:r>
            <w:r>
              <w:rPr>
                <w:i/>
                <w:iCs/>
              </w:rPr>
              <w:t xml:space="preserve"> </w:t>
            </w:r>
            <w:r w:rsidRPr="00C95519">
              <w:rPr>
                <w:i/>
                <w:iCs/>
              </w:rPr>
              <w:t>independence results (see</w:t>
            </w:r>
            <w:r>
              <w:rPr>
                <w:i/>
                <w:iCs/>
              </w:rPr>
              <w:t xml:space="preserve"> </w:t>
            </w:r>
            <w:r w:rsidRPr="00C95519">
              <w:rPr>
                <w:i/>
                <w:iCs/>
              </w:rPr>
              <w:t>C</w:t>
            </w:r>
            <w:r w:rsidR="00A67BD5">
              <w:rPr>
                <w:i/>
                <w:iCs/>
              </w:rPr>
              <w:t>linical trials</w:t>
            </w:r>
            <w:r w:rsidRPr="00C95519">
              <w:rPr>
                <w:i/>
                <w:iCs/>
              </w:rPr>
              <w:t>).</w:t>
            </w:r>
          </w:p>
        </w:tc>
      </w:tr>
      <w:tr w:rsidR="00A67BD5" w14:paraId="1207B352" w14:textId="77777777" w:rsidTr="00A66A20">
        <w:tc>
          <w:tcPr>
            <w:tcW w:w="1615" w:type="dxa"/>
          </w:tcPr>
          <w:p w14:paraId="76A67ABC" w14:textId="7FAED373" w:rsidR="00C95519" w:rsidRDefault="00A67BD5" w:rsidP="00A67BD5">
            <w:pPr>
              <w:ind w:left="0"/>
            </w:pPr>
            <w:r>
              <w:t>New Zealand</w:t>
            </w:r>
          </w:p>
        </w:tc>
        <w:tc>
          <w:tcPr>
            <w:tcW w:w="1890" w:type="dxa"/>
          </w:tcPr>
          <w:p w14:paraId="6BBF7A9A" w14:textId="2E4293A4" w:rsidR="00C95519" w:rsidRDefault="00A67BD5" w:rsidP="00A67BD5">
            <w:pPr>
              <w:ind w:left="0"/>
            </w:pPr>
            <w:r>
              <w:t>29 June 2020</w:t>
            </w:r>
          </w:p>
        </w:tc>
        <w:tc>
          <w:tcPr>
            <w:tcW w:w="2197" w:type="dxa"/>
          </w:tcPr>
          <w:p w14:paraId="2BCF4CF9" w14:textId="70641133" w:rsidR="00C95519" w:rsidRDefault="008254CB" w:rsidP="00A67BD5">
            <w:pPr>
              <w:ind w:left="0"/>
            </w:pPr>
            <w:r>
              <w:t>Approved on 20 </w:t>
            </w:r>
            <w:r w:rsidR="00A67BD5">
              <w:t>August 2020</w:t>
            </w:r>
          </w:p>
        </w:tc>
        <w:tc>
          <w:tcPr>
            <w:tcW w:w="2792" w:type="dxa"/>
          </w:tcPr>
          <w:p w14:paraId="4AC8BD01" w14:textId="7B5BC8D7" w:rsidR="00C95519" w:rsidRPr="00C95519" w:rsidRDefault="00A67BD5" w:rsidP="00A67BD5">
            <w:pPr>
              <w:ind w:left="0"/>
              <w:rPr>
                <w:i/>
                <w:iCs/>
              </w:rPr>
            </w:pPr>
            <w:proofErr w:type="spellStart"/>
            <w:r w:rsidRPr="00A67BD5">
              <w:rPr>
                <w:i/>
                <w:iCs/>
              </w:rPr>
              <w:t>V</w:t>
            </w:r>
            <w:r>
              <w:rPr>
                <w:i/>
                <w:iCs/>
              </w:rPr>
              <w:t>enclexta</w:t>
            </w:r>
            <w:proofErr w:type="spellEnd"/>
            <w:r w:rsidRPr="00A67BD5">
              <w:rPr>
                <w:i/>
                <w:iCs/>
              </w:rPr>
              <w:t xml:space="preserve"> is indicated for the</w:t>
            </w:r>
            <w:r>
              <w:rPr>
                <w:i/>
                <w:iCs/>
              </w:rPr>
              <w:t xml:space="preserve"> </w:t>
            </w:r>
            <w:r w:rsidRPr="00A67BD5">
              <w:rPr>
                <w:i/>
                <w:iCs/>
              </w:rPr>
              <w:t>treatment of adult patients with</w:t>
            </w:r>
            <w:r>
              <w:rPr>
                <w:i/>
                <w:iCs/>
              </w:rPr>
              <w:t xml:space="preserve"> </w:t>
            </w:r>
            <w:r w:rsidRPr="00A67BD5">
              <w:rPr>
                <w:i/>
                <w:iCs/>
              </w:rPr>
              <w:t>newly diagnosed acute myeloid</w:t>
            </w:r>
            <w:r>
              <w:rPr>
                <w:i/>
                <w:iCs/>
              </w:rPr>
              <w:t xml:space="preserve"> </w:t>
            </w:r>
            <w:r w:rsidRPr="00A67BD5">
              <w:rPr>
                <w:i/>
                <w:iCs/>
              </w:rPr>
              <w:t>leukaemia (AML) who are</w:t>
            </w:r>
            <w:r>
              <w:rPr>
                <w:i/>
                <w:iCs/>
              </w:rPr>
              <w:t xml:space="preserve"> </w:t>
            </w:r>
            <w:r w:rsidRPr="00A67BD5">
              <w:rPr>
                <w:i/>
                <w:iCs/>
              </w:rPr>
              <w:t>ineligible for intensive</w:t>
            </w:r>
            <w:r>
              <w:rPr>
                <w:i/>
                <w:iCs/>
              </w:rPr>
              <w:t xml:space="preserve"> </w:t>
            </w:r>
            <w:r w:rsidRPr="00A67BD5">
              <w:rPr>
                <w:i/>
                <w:iCs/>
              </w:rPr>
              <w:t>chemotherapy.</w:t>
            </w:r>
          </w:p>
        </w:tc>
      </w:tr>
      <w:tr w:rsidR="00A67BD5" w14:paraId="46BE3619" w14:textId="77777777" w:rsidTr="00A66A20">
        <w:tc>
          <w:tcPr>
            <w:tcW w:w="1615" w:type="dxa"/>
          </w:tcPr>
          <w:p w14:paraId="5264C1FD" w14:textId="252C32B6" w:rsidR="00C95519" w:rsidRDefault="00A67BD5" w:rsidP="00A67BD5">
            <w:pPr>
              <w:ind w:left="0"/>
            </w:pPr>
            <w:r>
              <w:lastRenderedPageBreak/>
              <w:t>Singapore</w:t>
            </w:r>
          </w:p>
        </w:tc>
        <w:tc>
          <w:tcPr>
            <w:tcW w:w="1890" w:type="dxa"/>
          </w:tcPr>
          <w:p w14:paraId="7E72F4FA" w14:textId="25BF3739" w:rsidR="00C95519" w:rsidRDefault="00A67BD5" w:rsidP="00A67BD5">
            <w:pPr>
              <w:ind w:left="0"/>
            </w:pPr>
            <w:r>
              <w:t>26 February 2019</w:t>
            </w:r>
          </w:p>
        </w:tc>
        <w:tc>
          <w:tcPr>
            <w:tcW w:w="2197" w:type="dxa"/>
          </w:tcPr>
          <w:p w14:paraId="1B2D1482" w14:textId="0432C086" w:rsidR="00C95519" w:rsidRDefault="00A67BD5" w:rsidP="00A67BD5">
            <w:pPr>
              <w:ind w:left="0"/>
            </w:pPr>
            <w:r>
              <w:t xml:space="preserve">Approved </w:t>
            </w:r>
            <w:r w:rsidR="008254CB">
              <w:t>on 4 </w:t>
            </w:r>
            <w:r>
              <w:t>March 2021</w:t>
            </w:r>
          </w:p>
        </w:tc>
        <w:tc>
          <w:tcPr>
            <w:tcW w:w="2792" w:type="dxa"/>
          </w:tcPr>
          <w:p w14:paraId="2B78721B" w14:textId="39F1CF52" w:rsidR="00C95519" w:rsidRPr="00C95519" w:rsidRDefault="00A67BD5" w:rsidP="00A67BD5">
            <w:pPr>
              <w:ind w:left="0"/>
              <w:rPr>
                <w:i/>
                <w:iCs/>
              </w:rPr>
            </w:pPr>
            <w:proofErr w:type="spellStart"/>
            <w:r w:rsidRPr="00A67BD5">
              <w:rPr>
                <w:i/>
                <w:iCs/>
              </w:rPr>
              <w:t>V</w:t>
            </w:r>
            <w:r>
              <w:rPr>
                <w:i/>
                <w:iCs/>
              </w:rPr>
              <w:t>enclexta</w:t>
            </w:r>
            <w:proofErr w:type="spellEnd"/>
            <w:r w:rsidRPr="00A67BD5">
              <w:rPr>
                <w:i/>
                <w:iCs/>
              </w:rPr>
              <w:t xml:space="preserve"> is indicated, in</w:t>
            </w:r>
            <w:r>
              <w:rPr>
                <w:i/>
                <w:iCs/>
              </w:rPr>
              <w:t xml:space="preserve"> </w:t>
            </w:r>
            <w:r w:rsidRPr="00A67BD5">
              <w:rPr>
                <w:i/>
                <w:iCs/>
              </w:rPr>
              <w:t>combination with a</w:t>
            </w:r>
            <w:r>
              <w:rPr>
                <w:i/>
                <w:iCs/>
              </w:rPr>
              <w:t xml:space="preserve"> </w:t>
            </w:r>
            <w:r w:rsidRPr="00A67BD5">
              <w:rPr>
                <w:i/>
                <w:iCs/>
              </w:rPr>
              <w:t>hypomethylating agent or in</w:t>
            </w:r>
            <w:r>
              <w:rPr>
                <w:i/>
                <w:iCs/>
              </w:rPr>
              <w:t xml:space="preserve"> </w:t>
            </w:r>
            <w:r w:rsidRPr="00A67BD5">
              <w:rPr>
                <w:i/>
                <w:iCs/>
              </w:rPr>
              <w:t>combination with low-dose</w:t>
            </w:r>
            <w:r>
              <w:rPr>
                <w:i/>
                <w:iCs/>
              </w:rPr>
              <w:t xml:space="preserve"> </w:t>
            </w:r>
            <w:r w:rsidRPr="00A67BD5">
              <w:rPr>
                <w:i/>
                <w:iCs/>
              </w:rPr>
              <w:t>cytarabine, for the treatment of</w:t>
            </w:r>
            <w:r>
              <w:rPr>
                <w:i/>
                <w:iCs/>
              </w:rPr>
              <w:t xml:space="preserve"> </w:t>
            </w:r>
            <w:r w:rsidRPr="00A67BD5">
              <w:rPr>
                <w:i/>
                <w:iCs/>
              </w:rPr>
              <w:t>adult patients with newly</w:t>
            </w:r>
            <w:r>
              <w:rPr>
                <w:i/>
                <w:iCs/>
              </w:rPr>
              <w:t xml:space="preserve"> </w:t>
            </w:r>
            <w:r w:rsidRPr="00A67BD5">
              <w:rPr>
                <w:i/>
                <w:iCs/>
              </w:rPr>
              <w:t>diagnosed acute myeloid leukemia</w:t>
            </w:r>
            <w:r>
              <w:rPr>
                <w:i/>
                <w:iCs/>
              </w:rPr>
              <w:t xml:space="preserve"> </w:t>
            </w:r>
            <w:r w:rsidRPr="00A67BD5">
              <w:rPr>
                <w:i/>
                <w:iCs/>
              </w:rPr>
              <w:t>(AML) who are ineligible for</w:t>
            </w:r>
            <w:r>
              <w:rPr>
                <w:i/>
                <w:iCs/>
              </w:rPr>
              <w:t xml:space="preserve"> </w:t>
            </w:r>
            <w:r w:rsidRPr="00A67BD5">
              <w:rPr>
                <w:i/>
                <w:iCs/>
              </w:rPr>
              <w:t>intensive chemotherapy.</w:t>
            </w:r>
          </w:p>
        </w:tc>
      </w:tr>
      <w:tr w:rsidR="00A67BD5" w14:paraId="7AB89586" w14:textId="77777777" w:rsidTr="00A66A20">
        <w:tc>
          <w:tcPr>
            <w:tcW w:w="1615" w:type="dxa"/>
          </w:tcPr>
          <w:p w14:paraId="3D2B8BA5" w14:textId="1767323A" w:rsidR="00A67BD5" w:rsidRDefault="00A67BD5" w:rsidP="00A67BD5">
            <w:pPr>
              <w:ind w:left="0"/>
            </w:pPr>
            <w:r>
              <w:t>Switzerland</w:t>
            </w:r>
          </w:p>
        </w:tc>
        <w:tc>
          <w:tcPr>
            <w:tcW w:w="1890" w:type="dxa"/>
          </w:tcPr>
          <w:p w14:paraId="4A991148" w14:textId="48F24C71" w:rsidR="00A67BD5" w:rsidRDefault="00A67BD5" w:rsidP="00A67BD5">
            <w:pPr>
              <w:ind w:left="0"/>
            </w:pPr>
            <w:r>
              <w:t>29 May 2020</w:t>
            </w:r>
          </w:p>
        </w:tc>
        <w:tc>
          <w:tcPr>
            <w:tcW w:w="2197" w:type="dxa"/>
          </w:tcPr>
          <w:p w14:paraId="6D38D6EA" w14:textId="445CEB36" w:rsidR="00A67BD5" w:rsidRDefault="00A67BD5" w:rsidP="00A67BD5">
            <w:pPr>
              <w:ind w:left="0"/>
            </w:pPr>
            <w:r>
              <w:t xml:space="preserve">Approved </w:t>
            </w:r>
            <w:r w:rsidR="008254CB">
              <w:t>on 16 </w:t>
            </w:r>
            <w:r>
              <w:t>December 2020 (Project Orbis)</w:t>
            </w:r>
          </w:p>
        </w:tc>
        <w:tc>
          <w:tcPr>
            <w:tcW w:w="2792" w:type="dxa"/>
          </w:tcPr>
          <w:p w14:paraId="3899AE18" w14:textId="2766B039" w:rsidR="00A67BD5" w:rsidRPr="00C95519" w:rsidRDefault="00A67BD5" w:rsidP="00A67BD5">
            <w:pPr>
              <w:ind w:left="0"/>
              <w:rPr>
                <w:i/>
                <w:iCs/>
              </w:rPr>
            </w:pPr>
            <w:proofErr w:type="spellStart"/>
            <w:r w:rsidRPr="00A67BD5">
              <w:rPr>
                <w:i/>
                <w:iCs/>
              </w:rPr>
              <w:t>Venclyxto</w:t>
            </w:r>
            <w:proofErr w:type="spellEnd"/>
            <w:r w:rsidRPr="00A67BD5">
              <w:rPr>
                <w:i/>
                <w:iCs/>
              </w:rPr>
              <w:t xml:space="preserve"> in combination with</w:t>
            </w:r>
            <w:r>
              <w:rPr>
                <w:i/>
                <w:iCs/>
              </w:rPr>
              <w:t xml:space="preserve"> </w:t>
            </w:r>
            <w:proofErr w:type="spellStart"/>
            <w:r w:rsidRPr="00A67BD5">
              <w:rPr>
                <w:i/>
                <w:iCs/>
              </w:rPr>
              <w:t>azacitidine</w:t>
            </w:r>
            <w:proofErr w:type="spellEnd"/>
            <w:r w:rsidRPr="00A67BD5">
              <w:rPr>
                <w:i/>
                <w:iCs/>
              </w:rPr>
              <w:t xml:space="preserve"> or decitabine or low</w:t>
            </w:r>
            <w:r>
              <w:rPr>
                <w:i/>
                <w:iCs/>
              </w:rPr>
              <w:t xml:space="preserve"> </w:t>
            </w:r>
            <w:r w:rsidRPr="00A67BD5">
              <w:rPr>
                <w:i/>
                <w:iCs/>
              </w:rPr>
              <w:t>dose</w:t>
            </w:r>
            <w:r>
              <w:rPr>
                <w:i/>
                <w:iCs/>
              </w:rPr>
              <w:t xml:space="preserve"> </w:t>
            </w:r>
            <w:r w:rsidRPr="00A67BD5">
              <w:rPr>
                <w:i/>
                <w:iCs/>
              </w:rPr>
              <w:t>cytarabine is indicated for the</w:t>
            </w:r>
            <w:r>
              <w:rPr>
                <w:i/>
                <w:iCs/>
              </w:rPr>
              <w:t xml:space="preserve"> </w:t>
            </w:r>
            <w:r w:rsidRPr="00A67BD5">
              <w:rPr>
                <w:i/>
                <w:iCs/>
              </w:rPr>
              <w:t>treatment of adult patients with</w:t>
            </w:r>
            <w:r>
              <w:rPr>
                <w:i/>
                <w:iCs/>
              </w:rPr>
              <w:t xml:space="preserve"> </w:t>
            </w:r>
            <w:r w:rsidRPr="00A67BD5">
              <w:rPr>
                <w:i/>
                <w:iCs/>
              </w:rPr>
              <w:t>newly diagnosed acute myeloid</w:t>
            </w:r>
            <w:r>
              <w:rPr>
                <w:i/>
                <w:iCs/>
              </w:rPr>
              <w:t xml:space="preserve"> </w:t>
            </w:r>
            <w:r w:rsidRPr="00A67BD5">
              <w:rPr>
                <w:i/>
                <w:iCs/>
              </w:rPr>
              <w:t>leukaemia (AML) who are</w:t>
            </w:r>
            <w:r>
              <w:rPr>
                <w:i/>
                <w:iCs/>
              </w:rPr>
              <w:t xml:space="preserve"> </w:t>
            </w:r>
            <w:r w:rsidRPr="00A67BD5">
              <w:rPr>
                <w:i/>
                <w:iCs/>
              </w:rPr>
              <w:t>ineligible for intensive</w:t>
            </w:r>
            <w:r>
              <w:rPr>
                <w:i/>
                <w:iCs/>
              </w:rPr>
              <w:t xml:space="preserve"> </w:t>
            </w:r>
            <w:r w:rsidRPr="00A67BD5">
              <w:rPr>
                <w:i/>
                <w:iCs/>
              </w:rPr>
              <w:t>chemotherapy. Patients with acute</w:t>
            </w:r>
            <w:r>
              <w:rPr>
                <w:i/>
                <w:iCs/>
              </w:rPr>
              <w:t xml:space="preserve"> </w:t>
            </w:r>
            <w:r w:rsidRPr="00A67BD5">
              <w:rPr>
                <w:i/>
                <w:iCs/>
              </w:rPr>
              <w:t>promyelocytic leukaemia are</w:t>
            </w:r>
            <w:r>
              <w:rPr>
                <w:i/>
                <w:iCs/>
              </w:rPr>
              <w:t xml:space="preserve"> </w:t>
            </w:r>
            <w:r w:rsidRPr="00A67BD5">
              <w:rPr>
                <w:i/>
                <w:iCs/>
              </w:rPr>
              <w:t>excluded (see “clinical efficacy”</w:t>
            </w:r>
            <w:r>
              <w:rPr>
                <w:i/>
                <w:iCs/>
              </w:rPr>
              <w:t xml:space="preserve"> </w:t>
            </w:r>
            <w:r w:rsidRPr="00A67BD5">
              <w:rPr>
                <w:i/>
                <w:iCs/>
              </w:rPr>
              <w:t>and “dosage/administration”).</w:t>
            </w:r>
          </w:p>
        </w:tc>
      </w:tr>
      <w:tr w:rsidR="00A67BD5" w14:paraId="054D2529" w14:textId="77777777" w:rsidTr="00A66A20">
        <w:tc>
          <w:tcPr>
            <w:tcW w:w="1615" w:type="dxa"/>
          </w:tcPr>
          <w:p w14:paraId="7F5C9B30" w14:textId="03F7E3AE" w:rsidR="00A67BD5" w:rsidRDefault="00A67BD5" w:rsidP="00A67BD5">
            <w:pPr>
              <w:ind w:left="0"/>
            </w:pPr>
            <w:r>
              <w:t>Brazil</w:t>
            </w:r>
          </w:p>
        </w:tc>
        <w:tc>
          <w:tcPr>
            <w:tcW w:w="1890" w:type="dxa"/>
          </w:tcPr>
          <w:p w14:paraId="1EBA7374" w14:textId="73170E9F" w:rsidR="00A67BD5" w:rsidRDefault="00A67BD5" w:rsidP="00A67BD5">
            <w:pPr>
              <w:ind w:left="0"/>
            </w:pPr>
            <w:r>
              <w:t>8 June 2020</w:t>
            </w:r>
          </w:p>
        </w:tc>
        <w:tc>
          <w:tcPr>
            <w:tcW w:w="2197" w:type="dxa"/>
          </w:tcPr>
          <w:p w14:paraId="71EBFC15" w14:textId="2F914B80" w:rsidR="00A67BD5" w:rsidRDefault="008254CB" w:rsidP="00A67BD5">
            <w:pPr>
              <w:ind w:left="0"/>
            </w:pPr>
            <w:r>
              <w:t>Approved on 11 </w:t>
            </w:r>
            <w:r w:rsidR="00A66A20">
              <w:t>November </w:t>
            </w:r>
            <w:r w:rsidR="00A67BD5">
              <w:t>2020 (Project Orbis)</w:t>
            </w:r>
          </w:p>
        </w:tc>
        <w:tc>
          <w:tcPr>
            <w:tcW w:w="2792" w:type="dxa"/>
          </w:tcPr>
          <w:p w14:paraId="0532B4C2" w14:textId="741ED606" w:rsidR="00A67BD5" w:rsidRPr="00C95519" w:rsidRDefault="00A67BD5" w:rsidP="00A67BD5">
            <w:pPr>
              <w:ind w:left="0"/>
              <w:rPr>
                <w:i/>
                <w:iCs/>
              </w:rPr>
            </w:pPr>
            <w:proofErr w:type="spellStart"/>
            <w:r w:rsidRPr="00A67BD5">
              <w:rPr>
                <w:i/>
                <w:iCs/>
              </w:rPr>
              <w:t>V</w:t>
            </w:r>
            <w:r>
              <w:rPr>
                <w:i/>
                <w:iCs/>
              </w:rPr>
              <w:t>enclexta</w:t>
            </w:r>
            <w:proofErr w:type="spellEnd"/>
            <w:r w:rsidRPr="00A67BD5">
              <w:rPr>
                <w:i/>
                <w:iCs/>
              </w:rPr>
              <w:t xml:space="preserve"> (</w:t>
            </w:r>
            <w:proofErr w:type="spellStart"/>
            <w:r w:rsidRPr="00A67BD5">
              <w:rPr>
                <w:i/>
                <w:iCs/>
              </w:rPr>
              <w:t>venetoclax</w:t>
            </w:r>
            <w:proofErr w:type="spellEnd"/>
            <w:r w:rsidRPr="00A67BD5">
              <w:rPr>
                <w:i/>
                <w:iCs/>
              </w:rPr>
              <w:t>) in</w:t>
            </w:r>
            <w:r>
              <w:rPr>
                <w:i/>
                <w:iCs/>
              </w:rPr>
              <w:t xml:space="preserve"> </w:t>
            </w:r>
            <w:r w:rsidRPr="00A67BD5">
              <w:rPr>
                <w:i/>
                <w:iCs/>
              </w:rPr>
              <w:t>combination with the</w:t>
            </w:r>
            <w:r>
              <w:rPr>
                <w:i/>
                <w:iCs/>
              </w:rPr>
              <w:t xml:space="preserve"> </w:t>
            </w:r>
            <w:r w:rsidRPr="00A67BD5">
              <w:rPr>
                <w:i/>
                <w:iCs/>
              </w:rPr>
              <w:t xml:space="preserve">hypomethylating agents </w:t>
            </w:r>
            <w:proofErr w:type="spellStart"/>
            <w:r>
              <w:rPr>
                <w:i/>
                <w:iCs/>
              </w:rPr>
              <w:t>azac</w:t>
            </w:r>
            <w:r w:rsidR="00754DD4">
              <w:rPr>
                <w:i/>
                <w:iCs/>
              </w:rPr>
              <w:t>i</w:t>
            </w:r>
            <w:r>
              <w:rPr>
                <w:i/>
                <w:iCs/>
              </w:rPr>
              <w:t>tidine</w:t>
            </w:r>
            <w:proofErr w:type="spellEnd"/>
            <w:r>
              <w:rPr>
                <w:i/>
                <w:iCs/>
              </w:rPr>
              <w:t xml:space="preserve"> </w:t>
            </w:r>
            <w:r w:rsidRPr="00A67BD5">
              <w:rPr>
                <w:i/>
                <w:iCs/>
              </w:rPr>
              <w:t>or decitabine, or in combination</w:t>
            </w:r>
            <w:r>
              <w:rPr>
                <w:i/>
                <w:iCs/>
              </w:rPr>
              <w:t xml:space="preserve"> </w:t>
            </w:r>
            <w:r w:rsidRPr="00A67BD5">
              <w:rPr>
                <w:i/>
                <w:iCs/>
              </w:rPr>
              <w:t>with low-dose cytarabine is</w:t>
            </w:r>
            <w:r>
              <w:rPr>
                <w:i/>
                <w:iCs/>
              </w:rPr>
              <w:t xml:space="preserve"> </w:t>
            </w:r>
            <w:r w:rsidRPr="00A67BD5">
              <w:rPr>
                <w:i/>
                <w:iCs/>
              </w:rPr>
              <w:t>indicated for newly diagnosed</w:t>
            </w:r>
            <w:r>
              <w:rPr>
                <w:i/>
                <w:iCs/>
              </w:rPr>
              <w:t xml:space="preserve"> </w:t>
            </w:r>
            <w:r w:rsidRPr="00A67BD5">
              <w:rPr>
                <w:i/>
                <w:iCs/>
              </w:rPr>
              <w:t>patients with Acute Myeloid</w:t>
            </w:r>
            <w:r>
              <w:rPr>
                <w:i/>
                <w:iCs/>
              </w:rPr>
              <w:t xml:space="preserve"> </w:t>
            </w:r>
            <w:r w:rsidRPr="00A67BD5">
              <w:rPr>
                <w:i/>
                <w:iCs/>
              </w:rPr>
              <w:t>Leukemia (AML) and who are</w:t>
            </w:r>
            <w:r>
              <w:rPr>
                <w:i/>
                <w:iCs/>
              </w:rPr>
              <w:t xml:space="preserve"> </w:t>
            </w:r>
            <w:r w:rsidRPr="00A67BD5">
              <w:rPr>
                <w:i/>
                <w:iCs/>
              </w:rPr>
              <w:t>ineligible for intensive</w:t>
            </w:r>
            <w:r>
              <w:rPr>
                <w:i/>
                <w:iCs/>
              </w:rPr>
              <w:t xml:space="preserve"> </w:t>
            </w:r>
            <w:r w:rsidRPr="00A67BD5">
              <w:rPr>
                <w:i/>
                <w:iCs/>
              </w:rPr>
              <w:t>chemotherapy, by medical criteria</w:t>
            </w:r>
          </w:p>
        </w:tc>
      </w:tr>
    </w:tbl>
    <w:p w14:paraId="561ED8C7" w14:textId="4550A488" w:rsidR="00A67BD5" w:rsidRDefault="00A67BD5" w:rsidP="00A67BD5">
      <w:r>
        <w:t>No application for the product supported by the</w:t>
      </w:r>
      <w:r w:rsidR="00A66A20">
        <w:t xml:space="preserve"> randomised, Phase III studies (the VIALE</w:t>
      </w:r>
      <w:r w:rsidR="00A66A20">
        <w:noBreakHyphen/>
      </w:r>
      <w:r>
        <w:t>A and VIALE-C trials</w:t>
      </w:r>
      <w:r w:rsidR="00A66A20">
        <w:t>, submitted with this application)</w:t>
      </w:r>
      <w:r>
        <w:t xml:space="preserve"> has been rejected, </w:t>
      </w:r>
      <w:proofErr w:type="gramStart"/>
      <w:r>
        <w:t>withdrawn</w:t>
      </w:r>
      <w:proofErr w:type="gramEnd"/>
      <w:r>
        <w:t xml:space="preserve"> or repeatedly deferred in any country.</w:t>
      </w:r>
    </w:p>
    <w:p w14:paraId="07D909CE" w14:textId="78404EE0" w:rsidR="008E7846" w:rsidRDefault="008E7846" w:rsidP="00940A89">
      <w:pPr>
        <w:pStyle w:val="Heading3"/>
      </w:pPr>
      <w:bookmarkStart w:id="22" w:name="_Toc101431969"/>
      <w:r>
        <w:t>Product Information</w:t>
      </w:r>
      <w:bookmarkEnd w:id="19"/>
      <w:bookmarkEnd w:id="20"/>
      <w:bookmarkEnd w:id="22"/>
    </w:p>
    <w:p w14:paraId="2C59D417" w14:textId="247C48E0" w:rsidR="00940A89" w:rsidRDefault="006136D7" w:rsidP="00940A89">
      <w:bookmarkStart w:id="23" w:name="_Toc247691506"/>
      <w:bookmarkStart w:id="24"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3" w:history="1">
        <w:r w:rsidR="00441C3F" w:rsidRPr="00441C3F">
          <w:rPr>
            <w:rStyle w:val="Hyperlink"/>
          </w:rPr>
          <w:t>https://www.tga.gov.au/product-information-pi</w:t>
        </w:r>
      </w:hyperlink>
      <w:r w:rsidR="00441C3F">
        <w:t>&gt;</w:t>
      </w:r>
      <w:r w:rsidR="00940A89" w:rsidRPr="00940A89">
        <w:t>.</w:t>
      </w:r>
    </w:p>
    <w:p w14:paraId="2B30E164" w14:textId="77777777" w:rsidR="00500337" w:rsidRDefault="00500337" w:rsidP="00500337">
      <w:pPr>
        <w:pStyle w:val="Heading2"/>
      </w:pPr>
      <w:bookmarkStart w:id="25" w:name="_Toc504480011"/>
      <w:bookmarkStart w:id="26" w:name="_Toc101431970"/>
      <w:r>
        <w:lastRenderedPageBreak/>
        <w:t>II. Registration timeline</w:t>
      </w:r>
      <w:bookmarkEnd w:id="25"/>
      <w:bookmarkEnd w:id="26"/>
    </w:p>
    <w:p w14:paraId="0D437772" w14:textId="77777777" w:rsidR="00500337" w:rsidRDefault="00500337" w:rsidP="00500337">
      <w:r>
        <w:t xml:space="preserve">The following table captures the key steps and dates for this </w:t>
      </w:r>
      <w:proofErr w:type="gramStart"/>
      <w:r>
        <w:t>application</w:t>
      </w:r>
      <w:proofErr w:type="gramEnd"/>
      <w:r>
        <w:t xml:space="preserve"> and which are detailed and discussed in this AusPAR.</w:t>
      </w:r>
    </w:p>
    <w:p w14:paraId="0DDF2A25" w14:textId="25BBF99F" w:rsidR="00DA0D04" w:rsidRDefault="00DC54FD" w:rsidP="00DC54FD">
      <w:pPr>
        <w:pStyle w:val="TableTitle"/>
      </w:pPr>
      <w:r w:rsidRPr="00DC54FD">
        <w:t xml:space="preserve">Table </w:t>
      </w:r>
      <w:fldSimple w:instr=" SEQ Table \* ARABIC ">
        <w:r w:rsidR="007E2134">
          <w:rPr>
            <w:noProof/>
          </w:rPr>
          <w:t>2</w:t>
        </w:r>
      </w:fldSimple>
      <w:r>
        <w:t xml:space="preserve">: </w:t>
      </w:r>
      <w:r w:rsidRPr="006A58A8">
        <w:t>Timeline for Submission PM-20</w:t>
      </w:r>
      <w:r>
        <w:t>20</w:t>
      </w:r>
      <w:r w:rsidRPr="006A58A8">
        <w:t>-</w:t>
      </w:r>
      <w:r>
        <w:t>02543</w:t>
      </w:r>
      <w:r w:rsidRPr="006A58A8">
        <w:t>-1-</w:t>
      </w:r>
      <w:r>
        <w:t>6</w:t>
      </w:r>
    </w:p>
    <w:tbl>
      <w:tblPr>
        <w:tblStyle w:val="TableTGAblue"/>
        <w:tblW w:w="0" w:type="auto"/>
        <w:tblLook w:val="04A0" w:firstRow="1" w:lastRow="0" w:firstColumn="1" w:lastColumn="0" w:noHBand="0" w:noVBand="1"/>
      </w:tblPr>
      <w:tblGrid>
        <w:gridCol w:w="4585"/>
        <w:gridCol w:w="3909"/>
      </w:tblGrid>
      <w:tr w:rsidR="00500337" w14:paraId="6592C3DD" w14:textId="77777777" w:rsidTr="00A66A20">
        <w:trPr>
          <w:cnfStyle w:val="100000000000" w:firstRow="1" w:lastRow="0" w:firstColumn="0" w:lastColumn="0" w:oddVBand="0" w:evenVBand="0" w:oddHBand="0" w:evenHBand="0" w:firstRowFirstColumn="0" w:firstRowLastColumn="0" w:lastRowFirstColumn="0" w:lastRowLastColumn="0"/>
          <w:cantSplit/>
        </w:trPr>
        <w:tc>
          <w:tcPr>
            <w:tcW w:w="4585" w:type="dxa"/>
            <w:tcBorders>
              <w:top w:val="single" w:sz="4" w:space="0" w:color="auto"/>
              <w:left w:val="single" w:sz="4" w:space="0" w:color="auto"/>
              <w:bottom w:val="single" w:sz="4" w:space="0" w:color="auto"/>
              <w:right w:val="single" w:sz="4" w:space="0" w:color="auto"/>
            </w:tcBorders>
          </w:tcPr>
          <w:p w14:paraId="15AD8C42" w14:textId="77777777" w:rsidR="00500337" w:rsidRDefault="00500337" w:rsidP="00500337">
            <w:pPr>
              <w:ind w:left="0" w:right="0"/>
            </w:pPr>
            <w:r>
              <w:t>Description</w:t>
            </w:r>
          </w:p>
        </w:tc>
        <w:tc>
          <w:tcPr>
            <w:tcW w:w="3909" w:type="dxa"/>
            <w:tcBorders>
              <w:top w:val="single" w:sz="4" w:space="0" w:color="auto"/>
              <w:left w:val="single" w:sz="4" w:space="0" w:color="auto"/>
              <w:bottom w:val="single" w:sz="4" w:space="0" w:color="auto"/>
              <w:right w:val="single" w:sz="4" w:space="0" w:color="auto"/>
            </w:tcBorders>
          </w:tcPr>
          <w:p w14:paraId="3DEA6E35" w14:textId="77777777" w:rsidR="00500337" w:rsidRDefault="00500337" w:rsidP="00500337">
            <w:pPr>
              <w:ind w:left="0" w:right="0"/>
            </w:pPr>
            <w:r>
              <w:t>Date</w:t>
            </w:r>
          </w:p>
        </w:tc>
      </w:tr>
      <w:tr w:rsidR="00500337" w14:paraId="39B55892" w14:textId="77777777" w:rsidTr="00A66A20">
        <w:tc>
          <w:tcPr>
            <w:tcW w:w="4585" w:type="dxa"/>
            <w:tcBorders>
              <w:top w:val="single" w:sz="4" w:space="0" w:color="auto"/>
            </w:tcBorders>
          </w:tcPr>
          <w:p w14:paraId="23CE929F" w14:textId="2E3AF0EE" w:rsidR="00987C01" w:rsidRDefault="00500337" w:rsidP="00500337">
            <w:pPr>
              <w:ind w:left="0" w:right="0"/>
            </w:pPr>
            <w:r>
              <w:t>Designa</w:t>
            </w:r>
            <w:r w:rsidR="00E2010F">
              <w:t>tion: Provisional;</w:t>
            </w:r>
            <w:r w:rsidR="00E2010F">
              <w:rPr>
                <w:rStyle w:val="FootnoteReference"/>
              </w:rPr>
              <w:footnoteReference w:id="4"/>
            </w:r>
          </w:p>
          <w:p w14:paraId="22D56D72" w14:textId="60FF2666" w:rsidR="00500337" w:rsidRDefault="00E2010F" w:rsidP="00500337">
            <w:pPr>
              <w:ind w:left="0" w:right="0"/>
            </w:pPr>
            <w:r>
              <w:t xml:space="preserve">Determination: </w:t>
            </w:r>
            <w:r w:rsidR="00500337">
              <w:t>Orphan</w:t>
            </w:r>
            <w:r>
              <w:t>;</w:t>
            </w:r>
            <w:r>
              <w:rPr>
                <w:rStyle w:val="FootnoteReference"/>
              </w:rPr>
              <w:footnoteReference w:id="5"/>
            </w:r>
          </w:p>
          <w:p w14:paraId="4A70E29B" w14:textId="0EF531A8" w:rsidR="00987C01" w:rsidRDefault="00987C01" w:rsidP="00500337">
            <w:pPr>
              <w:ind w:left="0" w:right="0"/>
            </w:pPr>
            <w:r>
              <w:t>Orphan extension</w:t>
            </w:r>
          </w:p>
        </w:tc>
        <w:tc>
          <w:tcPr>
            <w:tcW w:w="3909" w:type="dxa"/>
            <w:tcBorders>
              <w:top w:val="single" w:sz="4" w:space="0" w:color="auto"/>
            </w:tcBorders>
          </w:tcPr>
          <w:p w14:paraId="46589194" w14:textId="6A4A84EA" w:rsidR="002D4B58" w:rsidRDefault="00987C01" w:rsidP="00500337">
            <w:pPr>
              <w:ind w:left="0" w:right="0"/>
            </w:pPr>
            <w:r>
              <w:t>17 September 2019</w:t>
            </w:r>
          </w:p>
          <w:p w14:paraId="5DAC7430" w14:textId="2E1CC012" w:rsidR="00987C01" w:rsidRDefault="00987C01" w:rsidP="00500337">
            <w:pPr>
              <w:ind w:left="0" w:right="0"/>
            </w:pPr>
            <w:r>
              <w:t>25 September 2019</w:t>
            </w:r>
          </w:p>
          <w:p w14:paraId="67B22EAC" w14:textId="53929286" w:rsidR="00987C01" w:rsidRDefault="00987C01" w:rsidP="00500337">
            <w:pPr>
              <w:ind w:left="0" w:right="0"/>
            </w:pPr>
            <w:r>
              <w:t>6 March 2020</w:t>
            </w:r>
          </w:p>
        </w:tc>
      </w:tr>
      <w:tr w:rsidR="00500337" w14:paraId="0F832962" w14:textId="77777777" w:rsidTr="00A66A20">
        <w:tc>
          <w:tcPr>
            <w:tcW w:w="4585" w:type="dxa"/>
          </w:tcPr>
          <w:p w14:paraId="7D13BBF1" w14:textId="77777777" w:rsidR="00500337" w:rsidRDefault="00500337" w:rsidP="00500337">
            <w:pPr>
              <w:ind w:left="0" w:right="0"/>
            </w:pPr>
            <w:r>
              <w:t>Submission dossier accepted and first round evaluation commenced</w:t>
            </w:r>
          </w:p>
        </w:tc>
        <w:tc>
          <w:tcPr>
            <w:tcW w:w="3909" w:type="dxa"/>
          </w:tcPr>
          <w:p w14:paraId="791E03C2" w14:textId="2088BBAC" w:rsidR="00500337" w:rsidRDefault="00E2010F" w:rsidP="00500337">
            <w:pPr>
              <w:ind w:left="0" w:right="0"/>
            </w:pPr>
            <w:r>
              <w:t>30 June 2020</w:t>
            </w:r>
          </w:p>
        </w:tc>
      </w:tr>
      <w:tr w:rsidR="00500337" w14:paraId="7FCC2513" w14:textId="77777777" w:rsidTr="00A66A20">
        <w:tc>
          <w:tcPr>
            <w:tcW w:w="4585" w:type="dxa"/>
          </w:tcPr>
          <w:p w14:paraId="35D74A7A" w14:textId="77777777" w:rsidR="00500337" w:rsidRDefault="00500337" w:rsidP="00500337">
            <w:pPr>
              <w:ind w:left="0" w:right="0"/>
            </w:pPr>
            <w:r>
              <w:t>First round evaluation completed</w:t>
            </w:r>
          </w:p>
        </w:tc>
        <w:tc>
          <w:tcPr>
            <w:tcW w:w="3909" w:type="dxa"/>
          </w:tcPr>
          <w:p w14:paraId="1F50F4CD" w14:textId="17C8CC4E" w:rsidR="00500337" w:rsidRDefault="00E2010F" w:rsidP="00500337">
            <w:pPr>
              <w:ind w:left="0" w:right="0"/>
            </w:pPr>
            <w:r>
              <w:t>30 November 2020</w:t>
            </w:r>
          </w:p>
        </w:tc>
      </w:tr>
      <w:tr w:rsidR="00500337" w14:paraId="6CF8BC86" w14:textId="77777777" w:rsidTr="00A66A20">
        <w:tc>
          <w:tcPr>
            <w:tcW w:w="4585" w:type="dxa"/>
          </w:tcPr>
          <w:p w14:paraId="55B74A7A" w14:textId="77777777" w:rsidR="00500337" w:rsidRDefault="00500337" w:rsidP="00500337">
            <w:pPr>
              <w:ind w:left="0" w:right="0"/>
            </w:pPr>
            <w:r>
              <w:t>Sponsor provides responses on questions raised in first round evaluation</w:t>
            </w:r>
          </w:p>
        </w:tc>
        <w:tc>
          <w:tcPr>
            <w:tcW w:w="3909" w:type="dxa"/>
          </w:tcPr>
          <w:p w14:paraId="73B11ED5" w14:textId="5CE53AE5" w:rsidR="00500337" w:rsidRDefault="00D5557B" w:rsidP="00500337">
            <w:pPr>
              <w:ind w:left="0" w:right="0"/>
            </w:pPr>
            <w:r>
              <w:t>22</w:t>
            </w:r>
            <w:r w:rsidR="00A66A20">
              <w:t xml:space="preserve"> </w:t>
            </w:r>
            <w:r>
              <w:t>December 2020</w:t>
            </w:r>
          </w:p>
        </w:tc>
      </w:tr>
      <w:tr w:rsidR="00500337" w14:paraId="5260662F" w14:textId="77777777" w:rsidTr="00A66A20">
        <w:tc>
          <w:tcPr>
            <w:tcW w:w="4585" w:type="dxa"/>
          </w:tcPr>
          <w:p w14:paraId="1D65574B" w14:textId="77777777" w:rsidR="00500337" w:rsidRDefault="00500337" w:rsidP="00500337">
            <w:pPr>
              <w:ind w:left="0" w:right="0"/>
            </w:pPr>
            <w:r>
              <w:t>Second round evaluation completed</w:t>
            </w:r>
          </w:p>
        </w:tc>
        <w:tc>
          <w:tcPr>
            <w:tcW w:w="3909" w:type="dxa"/>
          </w:tcPr>
          <w:p w14:paraId="53D2A067" w14:textId="7B159726" w:rsidR="00500337" w:rsidRDefault="00E2010F" w:rsidP="00500337">
            <w:pPr>
              <w:ind w:left="0" w:right="0"/>
            </w:pPr>
            <w:r>
              <w:t>8 February 2021</w:t>
            </w:r>
          </w:p>
        </w:tc>
      </w:tr>
      <w:tr w:rsidR="00500337" w14:paraId="16780194" w14:textId="77777777" w:rsidTr="00A66A20">
        <w:tc>
          <w:tcPr>
            <w:tcW w:w="4585" w:type="dxa"/>
          </w:tcPr>
          <w:p w14:paraId="573CFFF3" w14:textId="22AB3B66" w:rsidR="00500337" w:rsidRDefault="00324E45" w:rsidP="00500337">
            <w:pPr>
              <w:ind w:left="0" w:right="0"/>
            </w:pPr>
            <w:r>
              <w:t xml:space="preserve">Delegate’s Overall benefit-risk assessment </w:t>
            </w:r>
            <w:r w:rsidRPr="00E2010F">
              <w:rPr>
                <w:color w:val="auto"/>
              </w:rPr>
              <w:t>and request for Advisory Committee advice</w:t>
            </w:r>
          </w:p>
        </w:tc>
        <w:tc>
          <w:tcPr>
            <w:tcW w:w="3909" w:type="dxa"/>
          </w:tcPr>
          <w:p w14:paraId="5A33F62D" w14:textId="6A08C27F" w:rsidR="00500337" w:rsidRDefault="00E2010F" w:rsidP="00500337">
            <w:pPr>
              <w:ind w:left="0" w:right="0"/>
            </w:pPr>
            <w:r>
              <w:t>7 July 2021</w:t>
            </w:r>
          </w:p>
        </w:tc>
      </w:tr>
      <w:tr w:rsidR="00500337" w14:paraId="1DBA295C" w14:textId="77777777" w:rsidTr="00A66A20">
        <w:tc>
          <w:tcPr>
            <w:tcW w:w="4585" w:type="dxa"/>
          </w:tcPr>
          <w:p w14:paraId="14E14D74" w14:textId="77777777" w:rsidR="00500337" w:rsidRDefault="00500337" w:rsidP="00500337">
            <w:pPr>
              <w:ind w:left="0" w:right="0"/>
            </w:pPr>
            <w:r>
              <w:t>Sponsor’s pre-Advisory Committee response</w:t>
            </w:r>
          </w:p>
        </w:tc>
        <w:tc>
          <w:tcPr>
            <w:tcW w:w="3909" w:type="dxa"/>
          </w:tcPr>
          <w:p w14:paraId="226527F2" w14:textId="611137EF" w:rsidR="00500337" w:rsidRDefault="00D81EBC" w:rsidP="00500337">
            <w:pPr>
              <w:ind w:left="0" w:right="0"/>
            </w:pPr>
            <w:r>
              <w:t>19</w:t>
            </w:r>
            <w:r w:rsidR="00E2010F">
              <w:t xml:space="preserve"> July 2021</w:t>
            </w:r>
          </w:p>
        </w:tc>
      </w:tr>
      <w:tr w:rsidR="00500337" w14:paraId="10D32A6A" w14:textId="77777777" w:rsidTr="00A66A20">
        <w:tc>
          <w:tcPr>
            <w:tcW w:w="4585" w:type="dxa"/>
          </w:tcPr>
          <w:p w14:paraId="09D17BFA" w14:textId="77777777" w:rsidR="00500337" w:rsidRDefault="00500337" w:rsidP="00500337">
            <w:pPr>
              <w:ind w:left="0" w:right="0"/>
            </w:pPr>
            <w:r>
              <w:t>Advisory Committee meeting</w:t>
            </w:r>
          </w:p>
        </w:tc>
        <w:tc>
          <w:tcPr>
            <w:tcW w:w="3909" w:type="dxa"/>
          </w:tcPr>
          <w:p w14:paraId="448DD939" w14:textId="20C2B092" w:rsidR="00500337" w:rsidRDefault="00E2010F" w:rsidP="00500337">
            <w:pPr>
              <w:ind w:left="0" w:right="0"/>
            </w:pPr>
            <w:r>
              <w:t>5 and 6 August 2021</w:t>
            </w:r>
          </w:p>
        </w:tc>
      </w:tr>
      <w:tr w:rsidR="00500337" w14:paraId="136F7261" w14:textId="77777777" w:rsidTr="00A66A20">
        <w:tc>
          <w:tcPr>
            <w:tcW w:w="4585" w:type="dxa"/>
          </w:tcPr>
          <w:p w14:paraId="100EDBA9" w14:textId="77777777" w:rsidR="00500337" w:rsidRDefault="00500337" w:rsidP="00500337">
            <w:pPr>
              <w:ind w:left="0" w:right="0"/>
            </w:pPr>
            <w:r>
              <w:t>Registration decision (Outcome)</w:t>
            </w:r>
          </w:p>
        </w:tc>
        <w:tc>
          <w:tcPr>
            <w:tcW w:w="3909" w:type="dxa"/>
          </w:tcPr>
          <w:p w14:paraId="250D89E2" w14:textId="78F42D68" w:rsidR="00500337" w:rsidRDefault="00E2010F" w:rsidP="00500337">
            <w:pPr>
              <w:ind w:left="0" w:right="0"/>
            </w:pPr>
            <w:r>
              <w:t>24 September 2021</w:t>
            </w:r>
          </w:p>
        </w:tc>
      </w:tr>
      <w:tr w:rsidR="00500337" w14:paraId="4691C7B8" w14:textId="77777777" w:rsidTr="00A66A20">
        <w:tc>
          <w:tcPr>
            <w:tcW w:w="4585" w:type="dxa"/>
          </w:tcPr>
          <w:p w14:paraId="3583AD75" w14:textId="77777777" w:rsidR="00500337" w:rsidRDefault="00500337" w:rsidP="00500337">
            <w:pPr>
              <w:ind w:left="0" w:right="0"/>
            </w:pPr>
            <w:r>
              <w:t xml:space="preserve">Completion of administrative activities and registration on </w:t>
            </w:r>
            <w:r w:rsidR="00006FAB">
              <w:t xml:space="preserve">the </w:t>
            </w:r>
            <w:r>
              <w:t>ARTG</w:t>
            </w:r>
          </w:p>
        </w:tc>
        <w:tc>
          <w:tcPr>
            <w:tcW w:w="3909" w:type="dxa"/>
          </w:tcPr>
          <w:p w14:paraId="17A24084" w14:textId="1327DF93" w:rsidR="00500337" w:rsidRDefault="00E2010F" w:rsidP="00500337">
            <w:pPr>
              <w:ind w:left="0" w:right="0"/>
            </w:pPr>
            <w:r>
              <w:t>28 September 2021</w:t>
            </w:r>
          </w:p>
        </w:tc>
      </w:tr>
      <w:tr w:rsidR="00500337" w14:paraId="52013600" w14:textId="77777777" w:rsidTr="00A66A20">
        <w:tc>
          <w:tcPr>
            <w:tcW w:w="4585" w:type="dxa"/>
          </w:tcPr>
          <w:p w14:paraId="61A7A76C" w14:textId="77777777" w:rsidR="00500337" w:rsidRDefault="00500337" w:rsidP="00500337">
            <w:pPr>
              <w:ind w:left="0" w:right="0"/>
            </w:pPr>
            <w:r>
              <w:t>Number of working days from submission dossier acceptance to registration decision*</w:t>
            </w:r>
          </w:p>
        </w:tc>
        <w:tc>
          <w:tcPr>
            <w:tcW w:w="3909" w:type="dxa"/>
          </w:tcPr>
          <w:p w14:paraId="77CEC24F" w14:textId="6A19A60F" w:rsidR="00500337" w:rsidRDefault="00E2010F" w:rsidP="00500337">
            <w:pPr>
              <w:ind w:left="0" w:right="0"/>
            </w:pPr>
            <w:r>
              <w:t>254</w:t>
            </w:r>
          </w:p>
        </w:tc>
      </w:tr>
    </w:tbl>
    <w:p w14:paraId="13818E05" w14:textId="77777777" w:rsidR="00500337" w:rsidRDefault="00500337" w:rsidP="00500337">
      <w:pPr>
        <w:pStyle w:val="TableDescription"/>
      </w:pPr>
      <w:r>
        <w:t>*</w:t>
      </w:r>
      <w:r w:rsidR="006603BC" w:rsidRPr="006603BC">
        <w:t>Statutory timeframe for standard applications is 255 working days</w:t>
      </w:r>
    </w:p>
    <w:p w14:paraId="7A4B4C4D" w14:textId="77777777" w:rsidR="008E7846" w:rsidRPr="00792A32" w:rsidRDefault="00456765" w:rsidP="008E7846">
      <w:pPr>
        <w:pStyle w:val="Heading2"/>
      </w:pPr>
      <w:bookmarkStart w:id="27" w:name="_Toc196046504"/>
      <w:bookmarkStart w:id="28" w:name="_Toc247691527"/>
      <w:bookmarkStart w:id="29" w:name="_Toc314842510"/>
      <w:bookmarkStart w:id="30" w:name="_Toc101431971"/>
      <w:bookmarkStart w:id="31" w:name="_Toc163441390"/>
      <w:bookmarkEnd w:id="23"/>
      <w:bookmarkEnd w:id="24"/>
      <w:bookmarkEnd w:id="1"/>
      <w:r>
        <w:lastRenderedPageBreak/>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7"/>
      <w:bookmarkEnd w:id="28"/>
      <w:bookmarkEnd w:id="29"/>
      <w:bookmarkEnd w:id="30"/>
    </w:p>
    <w:p w14:paraId="35BB273A" w14:textId="77777777" w:rsidR="00006FAB" w:rsidRDefault="00006FAB" w:rsidP="00006FAB">
      <w:bookmarkStart w:id="32" w:name="_Toc247691528"/>
      <w:r>
        <w:t>The submission was summarised in the following Delegate’s overview and recommendations.</w:t>
      </w:r>
    </w:p>
    <w:p w14:paraId="1564698C" w14:textId="77777777" w:rsidR="00006FAB" w:rsidRDefault="00006FAB" w:rsidP="00006FAB">
      <w:r>
        <w:t>This section is a TGA summary of wording used in TGA’s evaluation report, which discussed numerous aspects of overseas evaluation reports and included some information that was commercial-in-confidence.</w:t>
      </w:r>
    </w:p>
    <w:p w14:paraId="3EB2ABCE" w14:textId="77777777" w:rsidR="00006FAB" w:rsidRDefault="00006FAB" w:rsidP="00006FAB">
      <w:r>
        <w:t>TGA guidance at pre-submission meetings is nonbinding and without prejudice.</w:t>
      </w:r>
    </w:p>
    <w:p w14:paraId="1B043CA5" w14:textId="5C4A1CA8" w:rsidR="00E362AD" w:rsidRPr="00E362AD" w:rsidRDefault="00A66A20" w:rsidP="00E362AD">
      <w:bookmarkStart w:id="33" w:name="_Toc314842511"/>
      <w:r>
        <w:t>The following gu</w:t>
      </w:r>
      <w:r w:rsidR="00E362AD" w:rsidRPr="00E362AD">
        <w:t>idance documents</w:t>
      </w:r>
      <w:r>
        <w:t xml:space="preserve"> were applicable to this submission:</w:t>
      </w:r>
    </w:p>
    <w:p w14:paraId="0C974662" w14:textId="0AD86E32" w:rsidR="00E362AD" w:rsidRPr="00E362AD" w:rsidRDefault="00E362AD" w:rsidP="00E362AD">
      <w:pPr>
        <w:pStyle w:val="ListBullet"/>
      </w:pPr>
      <w:r w:rsidRPr="00E362AD">
        <w:t>EMA/CHMP/703715/2012 Rev.2</w:t>
      </w:r>
      <w:r>
        <w:t xml:space="preserve"> </w:t>
      </w:r>
      <w:r w:rsidRPr="00E362AD">
        <w:t>Appendix 4</w:t>
      </w:r>
      <w:r>
        <w:t>: G</w:t>
      </w:r>
      <w:r w:rsidRPr="00E362AD">
        <w:t>uideline on the evaluation of anticancer medicinal products in man Condition specific guidance</w:t>
      </w:r>
    </w:p>
    <w:p w14:paraId="2273D92C" w14:textId="2AB86D2E" w:rsidR="00E362AD" w:rsidRPr="00E362AD" w:rsidRDefault="00E362AD" w:rsidP="00E362AD">
      <w:pPr>
        <w:pStyle w:val="ListBullet"/>
      </w:pPr>
      <w:r w:rsidRPr="00E362AD">
        <w:t>CPMP/ICH/379/95 ICH Topic E 7</w:t>
      </w:r>
      <w:r>
        <w:t xml:space="preserve">: </w:t>
      </w:r>
      <w:r w:rsidRPr="00E362AD">
        <w:t>Note for Guidance on Studies in Support of Special Populations: Geriatrics</w:t>
      </w:r>
    </w:p>
    <w:p w14:paraId="08BF3657" w14:textId="7FC72870" w:rsidR="00E362AD" w:rsidRDefault="00E362AD" w:rsidP="00E362AD">
      <w:pPr>
        <w:pStyle w:val="ListBullet"/>
        <w:rPr>
          <w:b/>
          <w:bCs/>
        </w:rPr>
      </w:pPr>
      <w:r w:rsidRPr="00E362AD">
        <w:t>EMA/CHMP/ICH/604661/2009 ICH topic E7: Studies in Support of Special Populations: Geriatrics</w:t>
      </w:r>
      <w:r>
        <w:t xml:space="preserve">, </w:t>
      </w:r>
      <w:r w:rsidRPr="00E362AD">
        <w:t>Questions and Answers</w:t>
      </w:r>
    </w:p>
    <w:p w14:paraId="6482672C" w14:textId="79493690" w:rsidR="008E7846" w:rsidRDefault="008E7846" w:rsidP="00E362AD">
      <w:pPr>
        <w:pStyle w:val="Heading3"/>
      </w:pPr>
      <w:bookmarkStart w:id="34" w:name="_Toc101431972"/>
      <w:r>
        <w:t>Quality</w:t>
      </w:r>
      <w:bookmarkEnd w:id="32"/>
      <w:bookmarkEnd w:id="33"/>
      <w:bookmarkEnd w:id="34"/>
    </w:p>
    <w:p w14:paraId="2A0554EE" w14:textId="053D4849" w:rsidR="00E45619" w:rsidRDefault="00E362AD" w:rsidP="00E362AD">
      <w:r w:rsidRPr="00E362AD">
        <w:t>No new quality data were included in this submission.</w:t>
      </w:r>
      <w:r>
        <w:t xml:space="preserve"> Thus, t</w:t>
      </w:r>
      <w:r w:rsidR="00006FAB">
        <w:t>here was no requirement for a quality evaluation in a submission of this type.</w:t>
      </w:r>
    </w:p>
    <w:p w14:paraId="29980A2D" w14:textId="77777777" w:rsidR="008E7846" w:rsidRDefault="008E7846" w:rsidP="008E7846">
      <w:pPr>
        <w:pStyle w:val="Heading3"/>
      </w:pPr>
      <w:bookmarkStart w:id="35" w:name="_Toc314842512"/>
      <w:bookmarkStart w:id="36" w:name="_Toc101431973"/>
      <w:r>
        <w:t>Nonclinical</w:t>
      </w:r>
      <w:bookmarkEnd w:id="35"/>
      <w:bookmarkEnd w:id="36"/>
    </w:p>
    <w:p w14:paraId="328C622D" w14:textId="4DC802BF" w:rsidR="008E7846" w:rsidRDefault="00E362AD" w:rsidP="00E362AD">
      <w:r w:rsidRPr="006D4871">
        <w:t>No new non-clinical data were included in this submission</w:t>
      </w:r>
      <w:r>
        <w:t>. Thus, t</w:t>
      </w:r>
      <w:r w:rsidR="00006FAB">
        <w:t>here was no requirement for a nonclinical evaluation in a submission of this type.</w:t>
      </w:r>
    </w:p>
    <w:p w14:paraId="4E9F18C9" w14:textId="77777777" w:rsidR="008E7846" w:rsidRDefault="008E7846" w:rsidP="008E7846">
      <w:pPr>
        <w:pStyle w:val="Heading3"/>
      </w:pPr>
      <w:bookmarkStart w:id="37" w:name="_Toc247691530"/>
      <w:bookmarkStart w:id="38" w:name="_Toc314842513"/>
      <w:bookmarkStart w:id="39" w:name="_Toc101431974"/>
      <w:r>
        <w:t>Clinical</w:t>
      </w:r>
      <w:bookmarkEnd w:id="37"/>
      <w:bookmarkEnd w:id="38"/>
      <w:bookmarkEnd w:id="39"/>
    </w:p>
    <w:p w14:paraId="19B35AFE" w14:textId="6406A276" w:rsidR="00F85B10" w:rsidRDefault="00F85B10" w:rsidP="00F85B10">
      <w:bookmarkStart w:id="40" w:name="_Toc314842514"/>
      <w:r>
        <w:t>The clinical dossier comprised</w:t>
      </w:r>
      <w:r w:rsidR="00A66A20">
        <w:t xml:space="preserve"> of</w:t>
      </w:r>
      <w:r>
        <w:t>:</w:t>
      </w:r>
    </w:p>
    <w:p w14:paraId="10B691C7" w14:textId="05EBE76F" w:rsidR="00F85B10" w:rsidRDefault="00A242AB" w:rsidP="00F85B10">
      <w:pPr>
        <w:pStyle w:val="ListBullet"/>
      </w:pPr>
      <w:r>
        <w:t>u</w:t>
      </w:r>
      <w:r w:rsidR="00F85B10">
        <w:t>pdated pharmacokinetic analyses</w:t>
      </w:r>
      <w:r>
        <w:t>,</w:t>
      </w:r>
    </w:p>
    <w:p w14:paraId="4703280E" w14:textId="782F202C" w:rsidR="00F85B10" w:rsidRDefault="00F85B10" w:rsidP="00F85B10">
      <w:pPr>
        <w:pStyle w:val="ListBullet"/>
      </w:pPr>
      <w:r>
        <w:t xml:space="preserve">VIALE-A trial, a Phase III study of </w:t>
      </w:r>
      <w:proofErr w:type="spellStart"/>
      <w:r>
        <w:t>ven</w:t>
      </w:r>
      <w:r w:rsidR="00A242AB">
        <w:t>e</w:t>
      </w:r>
      <w:r>
        <w:t>toclax</w:t>
      </w:r>
      <w:proofErr w:type="spellEnd"/>
      <w:r>
        <w:t xml:space="preserve"> in combination with </w:t>
      </w:r>
      <w:proofErr w:type="spellStart"/>
      <w:r w:rsidR="00A242AB">
        <w:t>azacitidine</w:t>
      </w:r>
      <w:proofErr w:type="spellEnd"/>
      <w:r w:rsidR="00A242AB">
        <w:t>,</w:t>
      </w:r>
    </w:p>
    <w:p w14:paraId="5F2473BB" w14:textId="40099808" w:rsidR="00F85B10" w:rsidRDefault="00F85B10" w:rsidP="00F85B10">
      <w:pPr>
        <w:pStyle w:val="ListBullet"/>
      </w:pPr>
      <w:r>
        <w:t xml:space="preserve">VIALE-C trial, a Phase III study of </w:t>
      </w:r>
      <w:proofErr w:type="spellStart"/>
      <w:r>
        <w:t>venetoclax</w:t>
      </w:r>
      <w:proofErr w:type="spellEnd"/>
      <w:r>
        <w:t xml:space="preserve"> in combination with low dose cytarabine</w:t>
      </w:r>
      <w:r w:rsidR="00A242AB">
        <w:t>,</w:t>
      </w:r>
    </w:p>
    <w:p w14:paraId="1478B430" w14:textId="44A2012C" w:rsidR="00F85B10" w:rsidRDefault="00A242AB" w:rsidP="00F85B10">
      <w:pPr>
        <w:pStyle w:val="ListBullet"/>
      </w:pPr>
      <w:r>
        <w:t>u</w:t>
      </w:r>
      <w:r w:rsidR="00F85B10">
        <w:t xml:space="preserve">pdates from the two studies that supported the provisional registration of </w:t>
      </w:r>
      <w:proofErr w:type="spellStart"/>
      <w:r w:rsidR="00F85B10">
        <w:t>venetoclax</w:t>
      </w:r>
      <w:proofErr w:type="spellEnd"/>
      <w:r w:rsidR="00F85B10">
        <w:t xml:space="preserve"> in AML</w:t>
      </w:r>
      <w:r w:rsidR="00A66A20">
        <w:t>:</w:t>
      </w:r>
    </w:p>
    <w:p w14:paraId="75A55473" w14:textId="53E02312" w:rsidR="00F85B10" w:rsidRDefault="00F85B10" w:rsidP="00F85B10">
      <w:pPr>
        <w:pStyle w:val="ListBullet2"/>
      </w:pPr>
      <w:r>
        <w:t xml:space="preserve">Study M14-358, a Phase </w:t>
      </w:r>
      <w:proofErr w:type="spellStart"/>
      <w:r>
        <w:t>Ib</w:t>
      </w:r>
      <w:proofErr w:type="spellEnd"/>
      <w:r>
        <w:t xml:space="preserve"> study of </w:t>
      </w:r>
      <w:proofErr w:type="spellStart"/>
      <w:r>
        <w:t>venetoclax</w:t>
      </w:r>
      <w:proofErr w:type="spellEnd"/>
      <w:r>
        <w:t xml:space="preserve"> in combination with </w:t>
      </w:r>
      <w:proofErr w:type="spellStart"/>
      <w:r>
        <w:t>azacitidine</w:t>
      </w:r>
      <w:proofErr w:type="spellEnd"/>
      <w:r>
        <w:t xml:space="preserve"> or decitabine</w:t>
      </w:r>
      <w:r w:rsidR="00A242AB">
        <w:t>.</w:t>
      </w:r>
    </w:p>
    <w:p w14:paraId="4CF3EB9D" w14:textId="56CFA496" w:rsidR="00F85B10" w:rsidRDefault="00F85B10" w:rsidP="00F85B10">
      <w:pPr>
        <w:pStyle w:val="ListBullet2"/>
      </w:pPr>
      <w:r>
        <w:t xml:space="preserve">Study M14-387, a Phase I/II study of </w:t>
      </w:r>
      <w:proofErr w:type="spellStart"/>
      <w:r>
        <w:t>venetoclax</w:t>
      </w:r>
      <w:proofErr w:type="spellEnd"/>
      <w:r>
        <w:t xml:space="preserve"> in combination with</w:t>
      </w:r>
      <w:r w:rsidR="00A242AB" w:rsidRPr="00A242AB">
        <w:t xml:space="preserve"> </w:t>
      </w:r>
      <w:r w:rsidR="00A242AB">
        <w:t>low dose cytarabine.</w:t>
      </w:r>
    </w:p>
    <w:p w14:paraId="08A9F994" w14:textId="77777777" w:rsidR="00F85B10" w:rsidRPr="00901283" w:rsidRDefault="00F85B10" w:rsidP="00D8772C">
      <w:pPr>
        <w:pStyle w:val="Heading4"/>
        <w:rPr>
          <w:i/>
          <w:color w:val="0070B5" w:themeColor="accent1" w:themeTint="BF"/>
        </w:rPr>
      </w:pPr>
      <w:r w:rsidRPr="00AA53F4">
        <w:t>Pharmacology</w:t>
      </w:r>
    </w:p>
    <w:p w14:paraId="7BD8483A" w14:textId="30333578" w:rsidR="00F85B10" w:rsidRDefault="00F85B10" w:rsidP="00A242AB">
      <w:r>
        <w:t xml:space="preserve">Aspects of the pharmacology of </w:t>
      </w:r>
      <w:proofErr w:type="spellStart"/>
      <w:r>
        <w:t>venetoclax</w:t>
      </w:r>
      <w:proofErr w:type="spellEnd"/>
      <w:r>
        <w:t xml:space="preserve"> were reviewed in </w:t>
      </w:r>
      <w:r w:rsidRPr="00B74FCB">
        <w:t>previous submissions.</w:t>
      </w:r>
      <w:bookmarkStart w:id="41" w:name="_Ref99101140"/>
      <w:r w:rsidR="00A229AC" w:rsidRPr="00B74FCB">
        <w:rPr>
          <w:rStyle w:val="FootnoteReference"/>
          <w:sz w:val="23"/>
          <w:szCs w:val="23"/>
        </w:rPr>
        <w:footnoteReference w:id="6"/>
      </w:r>
      <w:bookmarkEnd w:id="41"/>
      <w:r>
        <w:t xml:space="preserve"> Updated analyses and modelling were the focus of the </w:t>
      </w:r>
      <w:proofErr w:type="spellStart"/>
      <w:r>
        <w:t>venetoclax</w:t>
      </w:r>
      <w:proofErr w:type="spellEnd"/>
      <w:r>
        <w:t xml:space="preserve"> pharmacology component of this submission. The updated population </w:t>
      </w:r>
      <w:r w:rsidR="00A229AC">
        <w:t>pharmacokinetics (</w:t>
      </w:r>
      <w:r>
        <w:t>PK</w:t>
      </w:r>
      <w:r w:rsidR="00A229AC">
        <w:t>)</w:t>
      </w:r>
      <w:r>
        <w:t xml:space="preserve"> analysis </w:t>
      </w:r>
      <w:r>
        <w:lastRenderedPageBreak/>
        <w:t xml:space="preserve">did not necessitate modification of the previous conclusions that </w:t>
      </w:r>
      <w:proofErr w:type="spellStart"/>
      <w:r>
        <w:t>venetoclax</w:t>
      </w:r>
      <w:proofErr w:type="spellEnd"/>
      <w:r>
        <w:t xml:space="preserve"> dosing based on age, sex, weight, mild to moderate renal impairment, or mild to moderate hepatic impairment.</w:t>
      </w:r>
      <w:r w:rsidRPr="008827C2">
        <w:t xml:space="preserve"> </w:t>
      </w:r>
      <w:r w:rsidRPr="00883913">
        <w:t>No dose adjustment was considered necessary based on race after a detailed consideration in the submission and evaluation.</w:t>
      </w:r>
    </w:p>
    <w:p w14:paraId="3357D261" w14:textId="295255A9" w:rsidR="00F85B10" w:rsidRPr="00540027" w:rsidRDefault="00F85B10" w:rsidP="00A242AB">
      <w:r w:rsidRPr="00540027">
        <w:t xml:space="preserve">The clinical PK analyses that included information from </w:t>
      </w:r>
      <w:proofErr w:type="spellStart"/>
      <w:r w:rsidR="00A229AC" w:rsidRPr="00A229AC">
        <w:t>venetoclax</w:t>
      </w:r>
      <w:proofErr w:type="spellEnd"/>
      <w:r>
        <w:t xml:space="preserve"> combined with a hypomethylating agent, from </w:t>
      </w:r>
      <w:r w:rsidRPr="00540027">
        <w:t>VIALE-A</w:t>
      </w:r>
      <w:r w:rsidR="00A229AC">
        <w:t xml:space="preserve"> trial</w:t>
      </w:r>
      <w:r w:rsidRPr="00540027">
        <w:t xml:space="preserve"> and </w:t>
      </w:r>
      <w:r w:rsidR="00A229AC">
        <w:t xml:space="preserve">Study </w:t>
      </w:r>
      <w:r w:rsidRPr="00540027">
        <w:t xml:space="preserve">M14-358 or </w:t>
      </w:r>
      <w:r w:rsidR="00A242AB">
        <w:t xml:space="preserve">low dose cytarabine </w:t>
      </w:r>
      <w:r w:rsidRPr="00540027">
        <w:t xml:space="preserve">in VIALE-C </w:t>
      </w:r>
      <w:r w:rsidR="00A229AC">
        <w:t xml:space="preserve">trial </w:t>
      </w:r>
      <w:r w:rsidRPr="00540027">
        <w:t xml:space="preserve">and </w:t>
      </w:r>
      <w:r w:rsidR="00A229AC">
        <w:t xml:space="preserve">Study </w:t>
      </w:r>
      <w:r w:rsidRPr="00540027">
        <w:t>M14-387 indicated the exposures in newly diagnosed AML were similar to those previously reported.</w:t>
      </w:r>
    </w:p>
    <w:p w14:paraId="4B2EB013" w14:textId="6C9BB65F" w:rsidR="00F85B10" w:rsidRPr="00540027" w:rsidRDefault="00574381" w:rsidP="00A242AB">
      <w:r w:rsidRPr="00574381">
        <w:t xml:space="preserve">Within subjects receiving </w:t>
      </w:r>
      <w:proofErr w:type="spellStart"/>
      <w:r w:rsidRPr="00574381">
        <w:t>venetoclax</w:t>
      </w:r>
      <w:proofErr w:type="spellEnd"/>
      <w:r w:rsidRPr="00574381">
        <w:t xml:space="preserve"> in combination with </w:t>
      </w:r>
      <w:r w:rsidR="00A66A20" w:rsidRPr="00A66A20">
        <w:t>hypomethylating agents</w:t>
      </w:r>
      <w:r w:rsidR="00A66A20">
        <w:t xml:space="preserve"> </w:t>
      </w:r>
      <w:r w:rsidRPr="00574381">
        <w:t xml:space="preserve">or </w:t>
      </w:r>
      <w:r w:rsidR="00A66A20" w:rsidRPr="00A66A20">
        <w:t>low dose cytarabine</w:t>
      </w:r>
      <w:r w:rsidR="00A66A20">
        <w:t>,</w:t>
      </w:r>
      <w:r>
        <w:t xml:space="preserve"> t</w:t>
      </w:r>
      <w:r w:rsidR="00F85B10">
        <w:t>he</w:t>
      </w:r>
      <w:r w:rsidR="00F85B10" w:rsidRPr="00540027">
        <w:t xml:space="preserve"> updated </w:t>
      </w:r>
      <w:r w:rsidR="00F85B10">
        <w:t>analysis did not find</w:t>
      </w:r>
      <w:r w:rsidR="00F85B10" w:rsidRPr="00540027">
        <w:t xml:space="preserve"> exposure-response</w:t>
      </w:r>
      <w:r w:rsidR="00A66A20">
        <w:t xml:space="preserve"> </w:t>
      </w:r>
      <w:r w:rsidR="00F85B10" w:rsidRPr="00540027">
        <w:t xml:space="preserve">relationships between </w:t>
      </w:r>
      <w:r w:rsidR="00B74FCB" w:rsidRPr="00B74FCB">
        <w:t xml:space="preserve">area under the </w:t>
      </w:r>
      <w:r w:rsidR="00B74FCB">
        <w:t xml:space="preserve">concentration time </w:t>
      </w:r>
      <w:r w:rsidR="00B74FCB" w:rsidRPr="00B74FCB">
        <w:t xml:space="preserve">curve at steady state </w:t>
      </w:r>
      <w:r w:rsidR="00B74FCB">
        <w:t>(</w:t>
      </w:r>
      <w:proofErr w:type="spellStart"/>
      <w:r w:rsidR="00F85B10" w:rsidRPr="00540027">
        <w:t>AUC</w:t>
      </w:r>
      <w:r w:rsidR="00F85B10" w:rsidRPr="00B74FCB">
        <w:rPr>
          <w:vertAlign w:val="subscript"/>
        </w:rPr>
        <w:t>ss</w:t>
      </w:r>
      <w:proofErr w:type="spellEnd"/>
      <w:r w:rsidR="00B74FCB">
        <w:t>)</w:t>
      </w:r>
      <w:r w:rsidR="00F85B10" w:rsidRPr="00540027">
        <w:t xml:space="preserve"> and the </w:t>
      </w:r>
      <w:r w:rsidR="00F85B10">
        <w:t xml:space="preserve">efficacy </w:t>
      </w:r>
      <w:r w:rsidR="00F85B10" w:rsidRPr="00540027">
        <w:t xml:space="preserve">endpoints </w:t>
      </w:r>
      <w:r w:rsidR="00B74FCB">
        <w:t>c</w:t>
      </w:r>
      <w:r w:rsidR="00B74FCB" w:rsidRPr="00B74FCB">
        <w:t>omplete remission</w:t>
      </w:r>
      <w:r w:rsidR="00B74FCB">
        <w:t xml:space="preserve"> (CR)</w:t>
      </w:r>
      <w:r w:rsidR="00F85B10" w:rsidRPr="00540027">
        <w:t>, CR</w:t>
      </w:r>
      <w:r w:rsidR="00B74FCB">
        <w:t xml:space="preserve"> plus c</w:t>
      </w:r>
      <w:r w:rsidR="00B74FCB" w:rsidRPr="00B74FCB">
        <w:t xml:space="preserve">omplete remission with incomplete blood count recovery </w:t>
      </w:r>
      <w:r w:rsidR="00B74FCB">
        <w:t>(</w:t>
      </w:r>
      <w:r w:rsidR="00F85B10" w:rsidRPr="00540027">
        <w:t>CRi</w:t>
      </w:r>
      <w:r w:rsidR="00B74FCB">
        <w:t>)</w:t>
      </w:r>
      <w:r w:rsidR="00F85B10" w:rsidRPr="00540027">
        <w:t>, CR</w:t>
      </w:r>
      <w:r w:rsidR="00B74FCB">
        <w:t xml:space="preserve"> plus c</w:t>
      </w:r>
      <w:r w:rsidR="00B74FCB" w:rsidRPr="00B74FCB">
        <w:t>omplete remission with partial h</w:t>
      </w:r>
      <w:r w:rsidR="00F54723">
        <w:t>a</w:t>
      </w:r>
      <w:r w:rsidR="00B74FCB" w:rsidRPr="00B74FCB">
        <w:t xml:space="preserve">ematologic recovery </w:t>
      </w:r>
      <w:r w:rsidR="00B74FCB">
        <w:t>(</w:t>
      </w:r>
      <w:proofErr w:type="spellStart"/>
      <w:r w:rsidR="00F85B10" w:rsidRPr="00540027">
        <w:t>CRh</w:t>
      </w:r>
      <w:proofErr w:type="spellEnd"/>
      <w:r w:rsidR="00B74FCB">
        <w:t>)</w:t>
      </w:r>
      <w:r w:rsidR="00F85B10" w:rsidRPr="00540027">
        <w:t xml:space="preserve">, </w:t>
      </w:r>
      <w:r w:rsidR="00B74FCB">
        <w:t>overall survival (</w:t>
      </w:r>
      <w:r w:rsidR="00F85B10" w:rsidRPr="00540027">
        <w:t>OS</w:t>
      </w:r>
      <w:r w:rsidR="00B74FCB">
        <w:t>)</w:t>
      </w:r>
      <w:r w:rsidR="00F85B10" w:rsidRPr="00540027">
        <w:t xml:space="preserve">, </w:t>
      </w:r>
      <w:r w:rsidR="00B74FCB">
        <w:t>event free survival (</w:t>
      </w:r>
      <w:r w:rsidR="00F85B10" w:rsidRPr="00540027">
        <w:t>EFS</w:t>
      </w:r>
      <w:r w:rsidR="00B74FCB">
        <w:t>)</w:t>
      </w:r>
      <w:r w:rsidR="00F85B10" w:rsidRPr="00540027">
        <w:t xml:space="preserve">, or the probabilities of conversion to post baseline transfusion independence for both platelets and </w:t>
      </w:r>
      <w:r w:rsidR="00A66A20">
        <w:t>red blood cells</w:t>
      </w:r>
      <w:r w:rsidR="00F85B10" w:rsidRPr="00540027">
        <w:t xml:space="preserve"> at the </w:t>
      </w:r>
      <w:proofErr w:type="spellStart"/>
      <w:r w:rsidR="00F85B10" w:rsidRPr="00540027">
        <w:t>venetoclax</w:t>
      </w:r>
      <w:proofErr w:type="spellEnd"/>
      <w:r w:rsidR="00F85B10" w:rsidRPr="00540027">
        <w:t xml:space="preserve"> dosing in the AML studies.</w:t>
      </w:r>
      <w:r>
        <w:t xml:space="preserve">  </w:t>
      </w:r>
      <w:r w:rsidRPr="00574381">
        <w:t xml:space="preserve">For all efficacy variables evaluated, </w:t>
      </w:r>
      <w:proofErr w:type="spellStart"/>
      <w:r w:rsidRPr="00574381">
        <w:t>venetoclax</w:t>
      </w:r>
      <w:proofErr w:type="spellEnd"/>
      <w:r w:rsidRPr="00574381">
        <w:t xml:space="preserve"> </w:t>
      </w:r>
      <w:proofErr w:type="spellStart"/>
      <w:r w:rsidRPr="00574381">
        <w:t>AUC</w:t>
      </w:r>
      <w:r w:rsidRPr="00A66A20">
        <w:rPr>
          <w:vertAlign w:val="subscript"/>
        </w:rPr>
        <w:t>ss</w:t>
      </w:r>
      <w:proofErr w:type="spellEnd"/>
      <w:r w:rsidRPr="00574381">
        <w:t xml:space="preserve"> quartile plots showed a clear trend of higher efficacy with </w:t>
      </w:r>
      <w:proofErr w:type="spellStart"/>
      <w:r w:rsidRPr="00574381">
        <w:t>v</w:t>
      </w:r>
      <w:r w:rsidR="00A66A20">
        <w:t>enetoclax</w:t>
      </w:r>
      <w:proofErr w:type="spellEnd"/>
      <w:r w:rsidR="00A66A20">
        <w:t xml:space="preserve"> in combination with a hypomethylating agent </w:t>
      </w:r>
      <w:r w:rsidRPr="00574381">
        <w:t>(</w:t>
      </w:r>
      <w:r w:rsidR="00A66A20" w:rsidRPr="00A66A20">
        <w:t>azacytidine</w:t>
      </w:r>
      <w:r w:rsidR="00A66A20">
        <w:t xml:space="preserve"> </w:t>
      </w:r>
      <w:r w:rsidRPr="00574381">
        <w:t xml:space="preserve">or </w:t>
      </w:r>
      <w:proofErr w:type="spellStart"/>
      <w:r w:rsidR="00A66A20" w:rsidRPr="00A66A20">
        <w:t>dezocitidine</w:t>
      </w:r>
      <w:proofErr w:type="spellEnd"/>
      <w:r w:rsidRPr="00574381">
        <w:t xml:space="preserve">) or with </w:t>
      </w:r>
      <w:r w:rsidR="00F54723" w:rsidRPr="00A66A20">
        <w:t>low dose cytarabine</w:t>
      </w:r>
      <w:r w:rsidRPr="00574381">
        <w:t xml:space="preserve"> than placebo in combination with </w:t>
      </w:r>
      <w:r w:rsidR="00A66A20" w:rsidRPr="00A66A20">
        <w:t>azacytidine</w:t>
      </w:r>
      <w:r w:rsidR="00A66A20">
        <w:t xml:space="preserve"> </w:t>
      </w:r>
      <w:r w:rsidRPr="00574381">
        <w:t xml:space="preserve">or </w:t>
      </w:r>
      <w:r w:rsidR="00F54723">
        <w:t>cytarabine</w:t>
      </w:r>
      <w:r w:rsidRPr="00574381">
        <w:t>.</w:t>
      </w:r>
    </w:p>
    <w:p w14:paraId="5925A4C3" w14:textId="6F9A5B6F" w:rsidR="00F85B10" w:rsidRPr="00396328" w:rsidRDefault="00F85B10" w:rsidP="00A242AB">
      <w:r w:rsidRPr="00396328">
        <w:t xml:space="preserve">Consistent with previous findings </w:t>
      </w:r>
      <w:r>
        <w:t xml:space="preserve">of </w:t>
      </w:r>
      <w:r w:rsidRPr="00396328">
        <w:t xml:space="preserve">a flat or no apparent </w:t>
      </w:r>
      <w:r w:rsidR="00F54723">
        <w:t>exposure-response</w:t>
      </w:r>
      <w:r w:rsidRPr="00396328">
        <w:t xml:space="preserve"> relationship for </w:t>
      </w:r>
      <w:proofErr w:type="spellStart"/>
      <w:r w:rsidRPr="00396328">
        <w:t>venetoclax</w:t>
      </w:r>
      <w:proofErr w:type="spellEnd"/>
      <w:r w:rsidRPr="00396328">
        <w:t xml:space="preserve"> for safety, a shallow but not statistically significant </w:t>
      </w:r>
      <w:r w:rsidR="00F54723">
        <w:t xml:space="preserve">exposure-response </w:t>
      </w:r>
      <w:r w:rsidRPr="00396328">
        <w:t>relationship for treatment</w:t>
      </w:r>
      <w:r w:rsidR="00B74FCB">
        <w:t xml:space="preserve"> </w:t>
      </w:r>
      <w:r w:rsidRPr="00396328">
        <w:t xml:space="preserve">emergent Grade ≥ 3 neutropenia in patients receiving </w:t>
      </w:r>
      <w:proofErr w:type="spellStart"/>
      <w:r w:rsidRPr="00396328">
        <w:t>venetoclax</w:t>
      </w:r>
      <w:proofErr w:type="spellEnd"/>
      <w:r w:rsidRPr="00396328">
        <w:t xml:space="preserve"> 400</w:t>
      </w:r>
      <w:r w:rsidR="00DC54FD">
        <w:t> </w:t>
      </w:r>
      <w:r w:rsidR="00B74FCB">
        <w:t>mg</w:t>
      </w:r>
      <w:r w:rsidRPr="00396328">
        <w:t xml:space="preserve"> to 1200</w:t>
      </w:r>
      <w:r w:rsidR="00C7639C">
        <w:t xml:space="preserve"> </w:t>
      </w:r>
      <w:r w:rsidRPr="00396328">
        <w:t xml:space="preserve">mg </w:t>
      </w:r>
      <w:r w:rsidR="00B74FCB">
        <w:t>once per day</w:t>
      </w:r>
      <w:r w:rsidRPr="00396328">
        <w:t xml:space="preserve"> in combination with a </w:t>
      </w:r>
      <w:r>
        <w:t>h</w:t>
      </w:r>
      <w:r w:rsidRPr="00396328">
        <w:t>ypomethylating agent (Stud</w:t>
      </w:r>
      <w:r w:rsidR="00B74FCB">
        <w:t>y</w:t>
      </w:r>
      <w:r w:rsidRPr="00396328">
        <w:t xml:space="preserve"> M14-358 and VIALE-A</w:t>
      </w:r>
      <w:r w:rsidR="00B74FCB">
        <w:t xml:space="preserve"> trial</w:t>
      </w:r>
      <w:r w:rsidRPr="00396328">
        <w:t>).</w:t>
      </w:r>
    </w:p>
    <w:p w14:paraId="142EC135" w14:textId="1F75B6BF" w:rsidR="00F85B10" w:rsidRDefault="00F85B10" w:rsidP="00A242AB">
      <w:r w:rsidRPr="006E0319">
        <w:rPr>
          <w:rFonts w:asciiTheme="minorHAnsi" w:hAnsiTheme="minorHAnsi"/>
        </w:rPr>
        <w:t xml:space="preserve">The updated population PK analysis included data from </w:t>
      </w:r>
      <w:r w:rsidR="00B74FCB">
        <w:rPr>
          <w:rFonts w:asciiTheme="minorHAnsi" w:hAnsiTheme="minorHAnsi"/>
        </w:rPr>
        <w:t>six</w:t>
      </w:r>
      <w:r w:rsidRPr="006E0319">
        <w:rPr>
          <w:rFonts w:asciiTheme="minorHAnsi" w:hAnsiTheme="minorHAnsi"/>
        </w:rPr>
        <w:t xml:space="preserve"> patients with severe renal impairment (defined as </w:t>
      </w:r>
      <w:r w:rsidR="006D65DF">
        <w:rPr>
          <w:rFonts w:asciiTheme="minorHAnsi" w:hAnsiTheme="minorHAnsi"/>
        </w:rPr>
        <w:t>c</w:t>
      </w:r>
      <w:r w:rsidR="006D65DF" w:rsidRPr="006D65DF">
        <w:rPr>
          <w:rFonts w:asciiTheme="minorHAnsi" w:hAnsiTheme="minorHAnsi"/>
        </w:rPr>
        <w:t xml:space="preserve">reatinine </w:t>
      </w:r>
      <w:r w:rsidR="006D65DF">
        <w:rPr>
          <w:rFonts w:asciiTheme="minorHAnsi" w:hAnsiTheme="minorHAnsi"/>
        </w:rPr>
        <w:t>c</w:t>
      </w:r>
      <w:r w:rsidR="006D65DF" w:rsidRPr="006D65DF">
        <w:rPr>
          <w:rFonts w:asciiTheme="minorHAnsi" w:hAnsiTheme="minorHAnsi"/>
        </w:rPr>
        <w:t>learance</w:t>
      </w:r>
      <w:r w:rsidRPr="006E0319">
        <w:rPr>
          <w:rFonts w:asciiTheme="minorHAnsi" w:hAnsiTheme="minorHAnsi"/>
        </w:rPr>
        <w:t xml:space="preserve"> </w:t>
      </w:r>
      <w:r w:rsidR="00B74FCB">
        <w:rPr>
          <w:rFonts w:asciiTheme="minorHAnsi" w:hAnsiTheme="minorHAnsi"/>
        </w:rPr>
        <w:t xml:space="preserve">≥ </w:t>
      </w:r>
      <w:r w:rsidRPr="006E0319">
        <w:rPr>
          <w:rFonts w:asciiTheme="minorHAnsi" w:hAnsiTheme="minorHAnsi"/>
        </w:rPr>
        <w:t xml:space="preserve">15 mL/min and </w:t>
      </w:r>
      <w:r w:rsidR="00B74FCB">
        <w:rPr>
          <w:rFonts w:asciiTheme="minorHAnsi" w:hAnsiTheme="minorHAnsi"/>
        </w:rPr>
        <w:t>&lt;</w:t>
      </w:r>
      <w:r w:rsidRPr="006E0319">
        <w:rPr>
          <w:rFonts w:asciiTheme="minorHAnsi" w:hAnsiTheme="minorHAnsi"/>
        </w:rPr>
        <w:t xml:space="preserve"> 30 mL/min)</w:t>
      </w:r>
      <w:r>
        <w:rPr>
          <w:rFonts w:asciiTheme="minorHAnsi" w:hAnsiTheme="minorHAnsi"/>
        </w:rPr>
        <w:t xml:space="preserve">. The </w:t>
      </w:r>
      <w:proofErr w:type="spellStart"/>
      <w:r>
        <w:rPr>
          <w:rFonts w:asciiTheme="minorHAnsi" w:hAnsiTheme="minorHAnsi"/>
        </w:rPr>
        <w:t>AUS</w:t>
      </w:r>
      <w:r w:rsidRPr="00814FDE">
        <w:rPr>
          <w:rFonts w:asciiTheme="minorHAnsi" w:hAnsiTheme="minorHAnsi"/>
          <w:vertAlign w:val="subscript"/>
        </w:rPr>
        <w:t>ss</w:t>
      </w:r>
      <w:proofErr w:type="spellEnd"/>
      <w:r>
        <w:rPr>
          <w:rFonts w:asciiTheme="minorHAnsi" w:hAnsiTheme="minorHAnsi"/>
        </w:rPr>
        <w:t xml:space="preserve"> values are summarised in the </w:t>
      </w:r>
      <w:r w:rsidR="00B74FCB">
        <w:rPr>
          <w:rFonts w:asciiTheme="minorHAnsi" w:hAnsiTheme="minorHAnsi"/>
        </w:rPr>
        <w:fldChar w:fldCharType="begin"/>
      </w:r>
      <w:r w:rsidR="00B74FCB">
        <w:rPr>
          <w:rFonts w:asciiTheme="minorHAnsi" w:hAnsiTheme="minorHAnsi"/>
        </w:rPr>
        <w:instrText xml:space="preserve"> REF _Ref98326746 \h </w:instrText>
      </w:r>
      <w:r w:rsidR="00A242AB">
        <w:rPr>
          <w:rFonts w:asciiTheme="minorHAnsi" w:hAnsiTheme="minorHAnsi"/>
        </w:rPr>
        <w:instrText xml:space="preserve"> \* MERGEFORMAT </w:instrText>
      </w:r>
      <w:r w:rsidR="00B74FCB">
        <w:rPr>
          <w:rFonts w:asciiTheme="minorHAnsi" w:hAnsiTheme="minorHAnsi"/>
        </w:rPr>
      </w:r>
      <w:r w:rsidR="00B74FCB">
        <w:rPr>
          <w:rFonts w:asciiTheme="minorHAnsi" w:hAnsiTheme="minorHAnsi"/>
        </w:rPr>
        <w:fldChar w:fldCharType="separate"/>
      </w:r>
      <w:r w:rsidR="00211D51" w:rsidRPr="00B74FCB">
        <w:t xml:space="preserve">Figure </w:t>
      </w:r>
      <w:r w:rsidR="00211D51">
        <w:t>1</w:t>
      </w:r>
      <w:r w:rsidR="00B74FCB">
        <w:rPr>
          <w:rFonts w:asciiTheme="minorHAnsi" w:hAnsiTheme="minorHAnsi"/>
        </w:rPr>
        <w:fldChar w:fldCharType="end"/>
      </w:r>
      <w:r w:rsidR="00B74FCB">
        <w:rPr>
          <w:rFonts w:asciiTheme="minorHAnsi" w:hAnsiTheme="minorHAnsi"/>
        </w:rPr>
        <w:t xml:space="preserve"> </w:t>
      </w:r>
      <w:r>
        <w:rPr>
          <w:rFonts w:asciiTheme="minorHAnsi" w:hAnsiTheme="minorHAnsi"/>
        </w:rPr>
        <w:t>below.</w:t>
      </w:r>
    </w:p>
    <w:p w14:paraId="03339CEC" w14:textId="23547E96" w:rsidR="00F85B10" w:rsidRDefault="00B74FCB" w:rsidP="00B74FCB">
      <w:pPr>
        <w:pStyle w:val="FigureTitle"/>
      </w:pPr>
      <w:bookmarkStart w:id="42" w:name="_Ref98326746"/>
      <w:r w:rsidRPr="00B74FCB">
        <w:t xml:space="preserve">Figure </w:t>
      </w:r>
      <w:fldSimple w:instr=" SEQ Figure \* ARABIC ">
        <w:r w:rsidR="007E2134">
          <w:rPr>
            <w:noProof/>
          </w:rPr>
          <w:t>1</w:t>
        </w:r>
      </w:fldSimple>
      <w:bookmarkEnd w:id="42"/>
      <w:r>
        <w:t>: Dose normalised exposure by renal function</w:t>
      </w:r>
    </w:p>
    <w:p w14:paraId="6DD0F3B1" w14:textId="5B876119" w:rsidR="00B74FCB" w:rsidRDefault="00B74FCB" w:rsidP="00B74FCB">
      <w:r w:rsidRPr="009F0A1C">
        <w:rPr>
          <w:noProof/>
          <w:color w:val="7030A0"/>
          <w:sz w:val="23"/>
          <w:szCs w:val="23"/>
          <w:lang w:val="en-GB" w:eastAsia="en-GB"/>
        </w:rPr>
        <w:drawing>
          <wp:inline distT="0" distB="0" distL="0" distR="0" wp14:anchorId="39BE215C" wp14:editId="796A6CDD">
            <wp:extent cx="3093058" cy="3020876"/>
            <wp:effectExtent l="0" t="0" r="0" b="8255"/>
            <wp:docPr id="12" name="Picture 12" descr="Dose normalised exposure by renal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ose normalised exposure by renal function"/>
                    <pic:cNvPicPr>
                      <a:picLocks noChangeAspect="1" noChangeArrowheads="1"/>
                    </pic:cNvPicPr>
                  </pic:nvPicPr>
                  <pic:blipFill rotWithShape="1">
                    <a:blip r:embed="rId14">
                      <a:lum bright="-20000" contrast="40000"/>
                      <a:extLst>
                        <a:ext uri="{28A0092B-C50C-407E-A947-70E740481C1C}">
                          <a14:useLocalDpi xmlns:a14="http://schemas.microsoft.com/office/drawing/2010/main" val="0"/>
                        </a:ext>
                      </a:extLst>
                    </a:blip>
                    <a:srcRect l="33883" r="22089" b="20531"/>
                    <a:stretch/>
                  </pic:blipFill>
                  <pic:spPr bwMode="auto">
                    <a:xfrm>
                      <a:off x="0" y="0"/>
                      <a:ext cx="3112113" cy="3039486"/>
                    </a:xfrm>
                    <a:prstGeom prst="rect">
                      <a:avLst/>
                    </a:prstGeom>
                    <a:noFill/>
                    <a:ln>
                      <a:noFill/>
                    </a:ln>
                    <a:extLst>
                      <a:ext uri="{53640926-AAD7-44D8-BBD7-CCE9431645EC}">
                        <a14:shadowObscured xmlns:a14="http://schemas.microsoft.com/office/drawing/2010/main"/>
                      </a:ext>
                    </a:extLst>
                  </pic:spPr>
                </pic:pic>
              </a:graphicData>
            </a:graphic>
          </wp:inline>
        </w:drawing>
      </w:r>
    </w:p>
    <w:p w14:paraId="73A4F371" w14:textId="3FC6696A" w:rsidR="00B74FCB" w:rsidRDefault="00B74FCB" w:rsidP="00B74FCB">
      <w:pPr>
        <w:pStyle w:val="TableDescription"/>
      </w:pPr>
      <w:proofErr w:type="spellStart"/>
      <w:r>
        <w:t>AUC</w:t>
      </w:r>
      <w:r w:rsidRPr="00B74FCB">
        <w:rPr>
          <w:vertAlign w:val="subscript"/>
        </w:rPr>
        <w:t>ss</w:t>
      </w:r>
      <w:proofErr w:type="spellEnd"/>
      <w:r>
        <w:t xml:space="preserve"> = area under the concentration time curve at steady state</w:t>
      </w:r>
    </w:p>
    <w:p w14:paraId="39C6D06A" w14:textId="39F321C1" w:rsidR="00B74FCB" w:rsidRDefault="00B74FCB" w:rsidP="00B74FCB">
      <w:pPr>
        <w:pStyle w:val="TableDescription"/>
      </w:pPr>
      <w:r>
        <w:t xml:space="preserve">Note: </w:t>
      </w:r>
      <w:proofErr w:type="spellStart"/>
      <w:r>
        <w:t>Venetoclax</w:t>
      </w:r>
      <w:proofErr w:type="spellEnd"/>
      <w:r>
        <w:t xml:space="preserve"> </w:t>
      </w:r>
      <w:proofErr w:type="spellStart"/>
      <w:r>
        <w:t>AUC</w:t>
      </w:r>
      <w:r w:rsidRPr="00DC54FD">
        <w:rPr>
          <w:vertAlign w:val="subscript"/>
        </w:rPr>
        <w:t>ss</w:t>
      </w:r>
      <w:proofErr w:type="spellEnd"/>
      <w:r>
        <w:t xml:space="preserve"> values, normalised for designated cohort dose, are plotted versus categorical </w:t>
      </w:r>
      <w:proofErr w:type="spellStart"/>
      <w:r>
        <w:t>covarites</w:t>
      </w:r>
      <w:proofErr w:type="spellEnd"/>
      <w:r>
        <w:t>.</w:t>
      </w:r>
    </w:p>
    <w:p w14:paraId="3F62BEFB" w14:textId="30A0B6D0" w:rsidR="00B74FCB" w:rsidRDefault="00B74FCB" w:rsidP="00B74FCB">
      <w:pPr>
        <w:pStyle w:val="TableDescription"/>
      </w:pPr>
      <w:r>
        <w:t>Note: Normal (</w:t>
      </w:r>
      <w:r w:rsidR="00DC54FD">
        <w:t>n</w:t>
      </w:r>
      <w:r>
        <w:t xml:space="preserve"> = 224), Mild (</w:t>
      </w:r>
      <w:r w:rsidR="00DC54FD">
        <w:t xml:space="preserve">n </w:t>
      </w:r>
      <w:r>
        <w:t>= 321), Moderate (</w:t>
      </w:r>
      <w:r w:rsidR="00DC54FD">
        <w:t>n = 219), Severe (n = 6)</w:t>
      </w:r>
      <w:r w:rsidR="00F54723">
        <w:t xml:space="preserve"> renal impairment</w:t>
      </w:r>
    </w:p>
    <w:p w14:paraId="5D6AE80E" w14:textId="77777777" w:rsidR="00DC54FD" w:rsidRPr="00D8772C" w:rsidRDefault="00DC54FD" w:rsidP="00D8772C">
      <w:pPr>
        <w:pStyle w:val="Heading4"/>
      </w:pPr>
      <w:r w:rsidRPr="00D8772C">
        <w:lastRenderedPageBreak/>
        <w:t>Efficacy</w:t>
      </w:r>
    </w:p>
    <w:p w14:paraId="69553E25" w14:textId="523F318A" w:rsidR="00DC54FD" w:rsidRDefault="00DC54FD" w:rsidP="00D8772C">
      <w:pPr>
        <w:pStyle w:val="Heading5"/>
      </w:pPr>
      <w:r>
        <w:t>VIALE-A trial</w:t>
      </w:r>
    </w:p>
    <w:p w14:paraId="57F1A5E0" w14:textId="0B77851D" w:rsidR="00DC54FD" w:rsidRDefault="00DC54FD" w:rsidP="00DC54FD">
      <w:r>
        <w:t xml:space="preserve">This is an ongoing, Phase III, multicentre, multinational, randomised (2:1), </w:t>
      </w:r>
      <w:proofErr w:type="gramStart"/>
      <w:r>
        <w:t>placebo controlled</w:t>
      </w:r>
      <w:proofErr w:type="gramEnd"/>
      <w:r>
        <w:t xml:space="preserve"> trial of adults with newly diagnosed AML, aged ≥ 75 years or with co</w:t>
      </w:r>
      <w:r>
        <w:noBreakHyphen/>
        <w:t xml:space="preserve">morbidities ineligible for intensive chemotherapy, that compared </w:t>
      </w:r>
      <w:proofErr w:type="spellStart"/>
      <w:r>
        <w:t>ven</w:t>
      </w:r>
      <w:r w:rsidR="00A242AB">
        <w:t>e</w:t>
      </w:r>
      <w:r>
        <w:t>toclax</w:t>
      </w:r>
      <w:proofErr w:type="spellEnd"/>
      <w:r>
        <w:t xml:space="preserve"> in combination with </w:t>
      </w:r>
      <w:proofErr w:type="spellStart"/>
      <w:r>
        <w:t>azac</w:t>
      </w:r>
      <w:r w:rsidR="00754DD4">
        <w:t>i</w:t>
      </w:r>
      <w:r>
        <w:t>tidine</w:t>
      </w:r>
      <w:proofErr w:type="spellEnd"/>
      <w:r>
        <w:t xml:space="preserve"> (n = 286) with placebo in </w:t>
      </w:r>
      <w:r w:rsidR="00F54723">
        <w:t xml:space="preserve">combination with </w:t>
      </w:r>
      <w:proofErr w:type="spellStart"/>
      <w:r w:rsidR="00F54723">
        <w:t>azacitidine</w:t>
      </w:r>
      <w:proofErr w:type="spellEnd"/>
      <w:r w:rsidR="00F54723">
        <w:t xml:space="preserve"> (n = </w:t>
      </w:r>
      <w:r>
        <w:t>145)</w:t>
      </w:r>
      <w:r w:rsidR="00D963A6">
        <w:t xml:space="preserve"> (</w:t>
      </w:r>
      <w:r w:rsidR="00D963A6">
        <w:fldChar w:fldCharType="begin"/>
      </w:r>
      <w:r w:rsidR="00D963A6">
        <w:instrText xml:space="preserve"> REF _Ref98327704 \h </w:instrText>
      </w:r>
      <w:r w:rsidR="00D963A6">
        <w:fldChar w:fldCharType="separate"/>
      </w:r>
      <w:r w:rsidR="00211D51" w:rsidRPr="00D963A6">
        <w:t xml:space="preserve">Table </w:t>
      </w:r>
      <w:r w:rsidR="00211D51">
        <w:rPr>
          <w:noProof/>
        </w:rPr>
        <w:t>3</w:t>
      </w:r>
      <w:r w:rsidR="00D963A6">
        <w:fldChar w:fldCharType="end"/>
      </w:r>
      <w:r w:rsidR="00D963A6">
        <w:t>)</w:t>
      </w:r>
      <w:r w:rsidR="00A242AB">
        <w:t>.</w:t>
      </w:r>
    </w:p>
    <w:p w14:paraId="4DC39A52" w14:textId="7B846126" w:rsidR="00DC54FD" w:rsidRDefault="00DC54FD" w:rsidP="003A348E">
      <w:pPr>
        <w:pStyle w:val="TableTitle"/>
        <w:keepNext w:val="0"/>
        <w:keepLines/>
      </w:pPr>
      <w:bookmarkStart w:id="43" w:name="_Ref98327704"/>
      <w:r w:rsidRPr="00D963A6">
        <w:t xml:space="preserve">Table </w:t>
      </w:r>
      <w:fldSimple w:instr=" SEQ Table \* ARABIC ">
        <w:r w:rsidR="007E2134">
          <w:rPr>
            <w:noProof/>
          </w:rPr>
          <w:t>3</w:t>
        </w:r>
      </w:fldSimple>
      <w:bookmarkEnd w:id="43"/>
      <w:r w:rsidRPr="00D963A6">
        <w:t>:</w:t>
      </w:r>
      <w:r>
        <w:t xml:space="preserve"> </w:t>
      </w:r>
      <w:r w:rsidR="00D963A6">
        <w:t>VIALE-A trial Study design</w:t>
      </w:r>
    </w:p>
    <w:tbl>
      <w:tblPr>
        <w:tblStyle w:val="TableTGAblue1"/>
        <w:tblW w:w="4923" w:type="pct"/>
        <w:tblCellMar>
          <w:left w:w="28" w:type="dxa"/>
          <w:right w:w="28" w:type="dxa"/>
        </w:tblCellMar>
        <w:tblLook w:val="04A0" w:firstRow="1" w:lastRow="0" w:firstColumn="1" w:lastColumn="0" w:noHBand="0" w:noVBand="1"/>
      </w:tblPr>
      <w:tblGrid>
        <w:gridCol w:w="4021"/>
        <w:gridCol w:w="4332"/>
      </w:tblGrid>
      <w:tr w:rsidR="00D963A6" w:rsidRPr="000E6442" w14:paraId="690E9FE4" w14:textId="77777777" w:rsidTr="00C20E0F">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632BFC5B" w14:textId="77777777" w:rsidR="00D963A6" w:rsidRPr="000E6442" w:rsidRDefault="00D963A6" w:rsidP="003A348E">
            <w:pPr>
              <w:keepNext w:val="0"/>
              <w:keepLines/>
              <w:spacing w:before="0" w:after="0" w:line="240" w:lineRule="auto"/>
              <w:ind w:left="0" w:right="0"/>
              <w:contextualSpacing/>
              <w:rPr>
                <w:color w:val="4C8E3A" w:themeColor="accent6" w:themeTint="BF"/>
                <w:sz w:val="19"/>
                <w:szCs w:val="19"/>
                <w:lang w:eastAsia="en-US"/>
              </w:rPr>
            </w:pPr>
          </w:p>
          <w:p w14:paraId="297D2BDF" w14:textId="77777777" w:rsidR="00D963A6" w:rsidRPr="000E6442" w:rsidRDefault="00D963A6" w:rsidP="003A348E">
            <w:pPr>
              <w:keepNext w:val="0"/>
              <w:keepLines/>
              <w:spacing w:before="0" w:after="0" w:line="240" w:lineRule="auto"/>
              <w:ind w:left="0" w:right="0"/>
              <w:contextualSpacing/>
              <w:jc w:val="center"/>
              <w:rPr>
                <w:rFonts w:cs="Calibri"/>
                <w:sz w:val="19"/>
                <w:szCs w:val="19"/>
                <w:lang w:eastAsia="en-US"/>
              </w:rPr>
            </w:pPr>
            <w:r w:rsidRPr="000E6442">
              <w:rPr>
                <w:rFonts w:cs="Calibri"/>
                <w:sz w:val="19"/>
                <w:szCs w:val="19"/>
                <w:lang w:eastAsia="en-US"/>
              </w:rPr>
              <w:t>VIALE-A study design</w:t>
            </w:r>
          </w:p>
          <w:p w14:paraId="4208DCE2" w14:textId="77777777" w:rsidR="00D963A6" w:rsidRPr="000E6442" w:rsidRDefault="00D963A6" w:rsidP="003A348E">
            <w:pPr>
              <w:keepNext w:val="0"/>
              <w:keepLines/>
              <w:spacing w:before="0" w:after="0" w:line="240" w:lineRule="auto"/>
              <w:ind w:left="0" w:right="0"/>
              <w:contextualSpacing/>
              <w:rPr>
                <w:color w:val="4C8E3A" w:themeColor="accent6" w:themeTint="BF"/>
                <w:sz w:val="19"/>
                <w:szCs w:val="19"/>
                <w:lang w:eastAsia="en-US"/>
              </w:rPr>
            </w:pPr>
          </w:p>
        </w:tc>
      </w:tr>
      <w:tr w:rsidR="00D963A6" w:rsidRPr="000E6442" w14:paraId="27D10410" w14:textId="77777777" w:rsidTr="00C20E0F">
        <w:tc>
          <w:tcPr>
            <w:tcW w:w="5000" w:type="pct"/>
            <w:gridSpan w:val="2"/>
          </w:tcPr>
          <w:p w14:paraId="7118ED34" w14:textId="77777777" w:rsidR="00D963A6" w:rsidRPr="000E6442" w:rsidRDefault="00D963A6" w:rsidP="003A348E">
            <w:pPr>
              <w:pStyle w:val="Tabletext"/>
              <w:keepLines/>
              <w:rPr>
                <w:szCs w:val="19"/>
                <w:lang w:eastAsia="en-US"/>
              </w:rPr>
            </w:pPr>
            <w:r w:rsidRPr="000E6442">
              <w:rPr>
                <w:szCs w:val="19"/>
                <w:lang w:eastAsia="en-US"/>
              </w:rPr>
              <w:t>First patient first visit: 2 February 2017</w:t>
            </w:r>
          </w:p>
          <w:p w14:paraId="6450DC00" w14:textId="5BEDAF3D" w:rsidR="00D963A6" w:rsidRPr="000E6442" w:rsidRDefault="00D963A6" w:rsidP="003A348E">
            <w:pPr>
              <w:pStyle w:val="Tabletext"/>
              <w:keepLines/>
              <w:rPr>
                <w:szCs w:val="19"/>
                <w:lang w:eastAsia="en-US"/>
              </w:rPr>
            </w:pPr>
            <w:r w:rsidRPr="000E6442">
              <w:rPr>
                <w:szCs w:val="19"/>
                <w:lang w:eastAsia="en-US"/>
              </w:rPr>
              <w:t>Data cut-off</w:t>
            </w:r>
            <w:r w:rsidR="00C7639C">
              <w:rPr>
                <w:szCs w:val="19"/>
                <w:lang w:eastAsia="en-US"/>
              </w:rPr>
              <w:t xml:space="preserve"> </w:t>
            </w:r>
            <w:r w:rsidRPr="000E6442">
              <w:rPr>
                <w:szCs w:val="19"/>
                <w:lang w:eastAsia="en-US"/>
              </w:rPr>
              <w:t>date for this analysis 2: 4 January 2020, study ongoing</w:t>
            </w:r>
          </w:p>
          <w:p w14:paraId="0D14CC70" w14:textId="77777777" w:rsidR="00D963A6" w:rsidRPr="000E6442" w:rsidRDefault="00D963A6" w:rsidP="003A348E">
            <w:pPr>
              <w:pStyle w:val="Tabletext"/>
              <w:keepLines/>
              <w:rPr>
                <w:szCs w:val="19"/>
                <w:highlight w:val="yellow"/>
                <w:lang w:eastAsia="en-US"/>
              </w:rPr>
            </w:pPr>
            <w:r w:rsidRPr="000E6442">
              <w:rPr>
                <w:szCs w:val="19"/>
                <w:lang w:eastAsia="en-US"/>
              </w:rPr>
              <w:t>Clinical Study Report (CSR) date: 8 May 2020</w:t>
            </w:r>
          </w:p>
          <w:p w14:paraId="71F38F65" w14:textId="77777777" w:rsidR="00D963A6" w:rsidRPr="000E6442" w:rsidRDefault="00D963A6" w:rsidP="003A348E">
            <w:pPr>
              <w:pStyle w:val="Tabletext"/>
              <w:keepLines/>
              <w:rPr>
                <w:color w:val="4C8E3A" w:themeColor="accent6" w:themeTint="BF"/>
                <w:szCs w:val="19"/>
                <w:lang w:eastAsia="en-US"/>
              </w:rPr>
            </w:pPr>
            <w:r w:rsidRPr="000E6442">
              <w:rPr>
                <w:szCs w:val="19"/>
                <w:lang w:eastAsia="en-US"/>
              </w:rPr>
              <w:t xml:space="preserve">134 sites across 27 countries </w:t>
            </w:r>
          </w:p>
        </w:tc>
      </w:tr>
      <w:tr w:rsidR="00D963A6" w:rsidRPr="000E6442" w14:paraId="251DB859" w14:textId="77777777" w:rsidTr="00C20E0F">
        <w:tc>
          <w:tcPr>
            <w:tcW w:w="5000" w:type="pct"/>
            <w:gridSpan w:val="2"/>
          </w:tcPr>
          <w:p w14:paraId="3F903C91" w14:textId="51128D32" w:rsidR="00D963A6" w:rsidRPr="000E6442" w:rsidRDefault="00D963A6" w:rsidP="003A348E">
            <w:pPr>
              <w:pStyle w:val="Tabletext"/>
              <w:keepLines/>
              <w:rPr>
                <w:noProof/>
                <w:szCs w:val="19"/>
              </w:rPr>
            </w:pPr>
            <w:r w:rsidRPr="000E6442">
              <w:rPr>
                <w:szCs w:val="19"/>
              </w:rPr>
              <w:t xml:space="preserve">Summary of study, </w:t>
            </w:r>
            <w:proofErr w:type="gramStart"/>
            <w:r w:rsidRPr="000E6442">
              <w:rPr>
                <w:szCs w:val="19"/>
              </w:rPr>
              <w:t>treatment</w:t>
            </w:r>
            <w:proofErr w:type="gramEnd"/>
            <w:r w:rsidRPr="000E6442">
              <w:rPr>
                <w:szCs w:val="19"/>
              </w:rPr>
              <w:t xml:space="preserve"> and patient flow</w:t>
            </w:r>
          </w:p>
          <w:p w14:paraId="1B706AB5" w14:textId="5299C029" w:rsidR="00D963A6" w:rsidRPr="000E6442" w:rsidRDefault="00D963A6" w:rsidP="003A348E">
            <w:pPr>
              <w:pStyle w:val="ListBullet"/>
              <w:keepLines/>
              <w:rPr>
                <w:sz w:val="19"/>
                <w:szCs w:val="19"/>
              </w:rPr>
            </w:pPr>
            <w:r w:rsidRPr="000E6442">
              <w:rPr>
                <w:sz w:val="19"/>
                <w:szCs w:val="19"/>
              </w:rPr>
              <w:t>433 patients randomised, 431 for the efficacy analysis VEN+AZA (n</w:t>
            </w:r>
            <w:r w:rsidR="00995868">
              <w:rPr>
                <w:sz w:val="19"/>
                <w:szCs w:val="19"/>
              </w:rPr>
              <w:t xml:space="preserve"> </w:t>
            </w:r>
            <w:r w:rsidRPr="000E6442">
              <w:rPr>
                <w:sz w:val="19"/>
                <w:szCs w:val="19"/>
              </w:rPr>
              <w:t>=</w:t>
            </w:r>
            <w:r w:rsidR="00995868">
              <w:rPr>
                <w:sz w:val="19"/>
                <w:szCs w:val="19"/>
              </w:rPr>
              <w:t xml:space="preserve"> </w:t>
            </w:r>
            <w:r w:rsidRPr="000E6442">
              <w:rPr>
                <w:sz w:val="19"/>
                <w:szCs w:val="19"/>
              </w:rPr>
              <w:t>286), PBO+AZA (n</w:t>
            </w:r>
            <w:r w:rsidR="00995868">
              <w:rPr>
                <w:sz w:val="19"/>
                <w:szCs w:val="19"/>
              </w:rPr>
              <w:t xml:space="preserve"> </w:t>
            </w:r>
            <w:r w:rsidRPr="000E6442">
              <w:rPr>
                <w:sz w:val="19"/>
                <w:szCs w:val="19"/>
              </w:rPr>
              <w:t>=</w:t>
            </w:r>
            <w:r w:rsidR="00995868">
              <w:rPr>
                <w:sz w:val="19"/>
                <w:szCs w:val="19"/>
              </w:rPr>
              <w:t xml:space="preserve"> </w:t>
            </w:r>
            <w:r w:rsidRPr="000E6442">
              <w:rPr>
                <w:sz w:val="19"/>
                <w:szCs w:val="19"/>
              </w:rPr>
              <w:t xml:space="preserve">145). </w:t>
            </w:r>
          </w:p>
          <w:p w14:paraId="42BA6809" w14:textId="77777777" w:rsidR="00D963A6" w:rsidRPr="000E6442" w:rsidRDefault="00D963A6" w:rsidP="003A348E">
            <w:pPr>
              <w:pStyle w:val="ListBullet"/>
              <w:keepLines/>
              <w:rPr>
                <w:color w:val="12220E" w:themeColor="accent6" w:themeShade="80"/>
                <w:sz w:val="19"/>
                <w:szCs w:val="19"/>
              </w:rPr>
            </w:pPr>
            <w:r w:rsidRPr="000E6442">
              <w:rPr>
                <w:sz w:val="19"/>
                <w:szCs w:val="19"/>
              </w:rPr>
              <w:t xml:space="preserve">Treatment arms: </w:t>
            </w:r>
          </w:p>
          <w:p w14:paraId="043609A6" w14:textId="70693E70" w:rsidR="00D963A6" w:rsidRPr="000E6442" w:rsidRDefault="00D963A6" w:rsidP="003A348E">
            <w:pPr>
              <w:pStyle w:val="ListBullet2"/>
              <w:keepLines/>
              <w:rPr>
                <w:sz w:val="19"/>
                <w:szCs w:val="19"/>
              </w:rPr>
            </w:pPr>
            <w:r w:rsidRPr="000E6442">
              <w:rPr>
                <w:sz w:val="19"/>
                <w:szCs w:val="19"/>
              </w:rPr>
              <w:t xml:space="preserve">VEN dosing: 100 mg Day 1, 200 mg Day 2, 400 mg Day 3, then 400 mg </w:t>
            </w:r>
            <w:r w:rsidR="00C20E0F">
              <w:rPr>
                <w:sz w:val="19"/>
                <w:szCs w:val="19"/>
              </w:rPr>
              <w:t>once daily</w:t>
            </w:r>
            <w:r w:rsidRPr="000E6442">
              <w:rPr>
                <w:sz w:val="19"/>
                <w:szCs w:val="19"/>
              </w:rPr>
              <w:t xml:space="preserve"> each 28 day cycle</w:t>
            </w:r>
          </w:p>
          <w:p w14:paraId="281CD9C2" w14:textId="4EFAF350" w:rsidR="00D963A6" w:rsidRPr="000E6442" w:rsidRDefault="00D963A6" w:rsidP="003A348E">
            <w:pPr>
              <w:pStyle w:val="ListBullet2"/>
              <w:keepLines/>
              <w:rPr>
                <w:sz w:val="19"/>
                <w:szCs w:val="19"/>
              </w:rPr>
            </w:pPr>
            <w:r w:rsidRPr="000E6442">
              <w:rPr>
                <w:sz w:val="19"/>
                <w:szCs w:val="19"/>
              </w:rPr>
              <w:t>AZA dosing: 75 mg/m</w:t>
            </w:r>
            <w:r w:rsidRPr="00306CC0">
              <w:rPr>
                <w:sz w:val="19"/>
                <w:szCs w:val="19"/>
                <w:vertAlign w:val="superscript"/>
              </w:rPr>
              <w:t>2</w:t>
            </w:r>
            <w:r w:rsidRPr="000E6442">
              <w:rPr>
                <w:sz w:val="19"/>
                <w:szCs w:val="19"/>
              </w:rPr>
              <w:t xml:space="preserve"> </w:t>
            </w:r>
            <w:r w:rsidR="00C7639C">
              <w:rPr>
                <w:sz w:val="19"/>
                <w:szCs w:val="19"/>
              </w:rPr>
              <w:t>once daily</w:t>
            </w:r>
            <w:r w:rsidRPr="000E6442">
              <w:rPr>
                <w:sz w:val="19"/>
                <w:szCs w:val="19"/>
              </w:rPr>
              <w:t xml:space="preserve"> IV or SC on Days 1 to 7 of each 28-day cycle</w:t>
            </w:r>
          </w:p>
          <w:p w14:paraId="75DAA0A5" w14:textId="77777777" w:rsidR="00D963A6" w:rsidRPr="000E6442" w:rsidRDefault="00D963A6" w:rsidP="003A348E">
            <w:pPr>
              <w:pStyle w:val="ListBullet"/>
              <w:keepLines/>
              <w:rPr>
                <w:sz w:val="19"/>
                <w:szCs w:val="19"/>
              </w:rPr>
            </w:pPr>
            <w:r w:rsidRPr="000E6442">
              <w:rPr>
                <w:sz w:val="19"/>
                <w:szCs w:val="19"/>
              </w:rPr>
              <w:t>Dose modification:</w:t>
            </w:r>
          </w:p>
          <w:p w14:paraId="5F51CA7B" w14:textId="77777777" w:rsidR="00D963A6" w:rsidRPr="000E6442" w:rsidRDefault="00D963A6" w:rsidP="003A348E">
            <w:pPr>
              <w:pStyle w:val="ListBullet2"/>
              <w:keepLines/>
              <w:rPr>
                <w:sz w:val="19"/>
                <w:szCs w:val="19"/>
              </w:rPr>
            </w:pPr>
            <w:r w:rsidRPr="000E6442">
              <w:rPr>
                <w:sz w:val="19"/>
                <w:szCs w:val="19"/>
              </w:rPr>
              <w:t xml:space="preserve">Reduce VEN/PBO treatment to 21 days of cycle if 2 occurrences Grade 4 neutropenia or </w:t>
            </w:r>
            <w:proofErr w:type="gramStart"/>
            <w:r w:rsidRPr="000E6442">
              <w:rPr>
                <w:sz w:val="19"/>
                <w:szCs w:val="19"/>
              </w:rPr>
              <w:t>thrombocytopenia;</w:t>
            </w:r>
            <w:proofErr w:type="gramEnd"/>
          </w:p>
          <w:p w14:paraId="5FD1CA4A" w14:textId="77777777" w:rsidR="00D963A6" w:rsidRPr="000E6442" w:rsidRDefault="00D963A6" w:rsidP="003A348E">
            <w:pPr>
              <w:pStyle w:val="ListBullet2"/>
              <w:keepLines/>
              <w:rPr>
                <w:sz w:val="19"/>
                <w:szCs w:val="19"/>
              </w:rPr>
            </w:pPr>
            <w:r w:rsidRPr="000E6442">
              <w:rPr>
                <w:sz w:val="19"/>
                <w:szCs w:val="19"/>
              </w:rPr>
              <w:t xml:space="preserve">Reduce AZA dose on next cycle based on bone marrow (BM) cellularity and cell count recovery </w:t>
            </w:r>
            <w:proofErr w:type="gramStart"/>
            <w:r w:rsidRPr="000E6442">
              <w:rPr>
                <w:sz w:val="19"/>
                <w:szCs w:val="19"/>
              </w:rPr>
              <w:t>time;</w:t>
            </w:r>
            <w:proofErr w:type="gramEnd"/>
          </w:p>
          <w:p w14:paraId="0E4A7185" w14:textId="77777777" w:rsidR="00D963A6" w:rsidRPr="000E6442" w:rsidRDefault="00D963A6" w:rsidP="003A348E">
            <w:pPr>
              <w:pStyle w:val="ListBullet2"/>
              <w:keepLines/>
              <w:rPr>
                <w:sz w:val="19"/>
                <w:szCs w:val="19"/>
              </w:rPr>
            </w:pPr>
            <w:r w:rsidRPr="000E6442">
              <w:rPr>
                <w:sz w:val="19"/>
                <w:szCs w:val="19"/>
              </w:rPr>
              <w:t>If ANC &lt; 500/µL on study treatment give prophylactic anti-</w:t>
            </w:r>
            <w:proofErr w:type="gramStart"/>
            <w:r w:rsidRPr="000E6442">
              <w:rPr>
                <w:sz w:val="19"/>
                <w:szCs w:val="19"/>
              </w:rPr>
              <w:t>infectives;</w:t>
            </w:r>
            <w:proofErr w:type="gramEnd"/>
            <w:r w:rsidRPr="000E6442">
              <w:rPr>
                <w:sz w:val="19"/>
                <w:szCs w:val="19"/>
              </w:rPr>
              <w:t xml:space="preserve"> </w:t>
            </w:r>
          </w:p>
          <w:p w14:paraId="58F1BFBA" w14:textId="77777777" w:rsidR="00D963A6" w:rsidRPr="000E6442" w:rsidRDefault="00D963A6" w:rsidP="003A348E">
            <w:pPr>
              <w:pStyle w:val="ListBullet2"/>
              <w:keepLines/>
              <w:rPr>
                <w:sz w:val="19"/>
                <w:szCs w:val="19"/>
              </w:rPr>
            </w:pPr>
            <w:r w:rsidRPr="000E6442">
              <w:rPr>
                <w:sz w:val="19"/>
                <w:szCs w:val="19"/>
              </w:rPr>
              <w:t>If ANC &lt; 500/µL on study treatment and BM leukaemia clearance interrupt VEN/PBO until earliest of ANC ≥ 500/µL, platelets ≥ 50x 10</w:t>
            </w:r>
            <w:r w:rsidRPr="00306CC0">
              <w:rPr>
                <w:sz w:val="19"/>
                <w:szCs w:val="19"/>
                <w:vertAlign w:val="superscript"/>
              </w:rPr>
              <w:t>3</w:t>
            </w:r>
            <w:r w:rsidRPr="000E6442">
              <w:rPr>
                <w:sz w:val="19"/>
                <w:szCs w:val="19"/>
              </w:rPr>
              <w:t>/µL. or for up to 14 days</w:t>
            </w:r>
          </w:p>
          <w:p w14:paraId="4D551631" w14:textId="2D3F042B" w:rsidR="00D963A6" w:rsidRPr="000E6442" w:rsidRDefault="00D963A6" w:rsidP="003A348E">
            <w:pPr>
              <w:pStyle w:val="ListBullet2"/>
              <w:keepLines/>
              <w:rPr>
                <w:sz w:val="19"/>
                <w:szCs w:val="19"/>
              </w:rPr>
            </w:pPr>
            <w:r w:rsidRPr="000E6442">
              <w:rPr>
                <w:sz w:val="19"/>
                <w:szCs w:val="19"/>
              </w:rPr>
              <w:t xml:space="preserve">Disease response assessed at end of Cycle 1 then every 3 cycles thereafter unless </w:t>
            </w:r>
            <w:proofErr w:type="spellStart"/>
            <w:r w:rsidRPr="000E6442">
              <w:rPr>
                <w:sz w:val="19"/>
                <w:szCs w:val="19"/>
              </w:rPr>
              <w:t>CR+CRi</w:t>
            </w:r>
            <w:proofErr w:type="spellEnd"/>
            <w:r w:rsidRPr="000E6442">
              <w:rPr>
                <w:sz w:val="19"/>
                <w:szCs w:val="19"/>
              </w:rPr>
              <w:t xml:space="preserve"> (see below) met on 2 consecutive BM then not repeated unless clinically indicated until final study visit (completed or discontinued). Post treatment visits performed after last study visit</w:t>
            </w:r>
          </w:p>
          <w:p w14:paraId="5441248D" w14:textId="77777777" w:rsidR="00D963A6" w:rsidRPr="000E6442" w:rsidRDefault="00D963A6" w:rsidP="003A348E">
            <w:pPr>
              <w:pStyle w:val="ListBullet"/>
              <w:keepLines/>
              <w:rPr>
                <w:sz w:val="19"/>
                <w:szCs w:val="19"/>
              </w:rPr>
            </w:pPr>
            <w:r w:rsidRPr="000E6442">
              <w:rPr>
                <w:sz w:val="19"/>
                <w:szCs w:val="19"/>
              </w:rPr>
              <w:t>At data cut:</w:t>
            </w:r>
          </w:p>
          <w:p w14:paraId="62240B63" w14:textId="77777777" w:rsidR="00D963A6" w:rsidRPr="000E6442" w:rsidRDefault="00D963A6" w:rsidP="003A348E">
            <w:pPr>
              <w:pStyle w:val="ListBullet2"/>
              <w:keepLines/>
              <w:rPr>
                <w:sz w:val="19"/>
                <w:szCs w:val="19"/>
              </w:rPr>
            </w:pPr>
            <w:r w:rsidRPr="000E6442">
              <w:rPr>
                <w:sz w:val="19"/>
                <w:szCs w:val="19"/>
              </w:rPr>
              <w:t xml:space="preserve">Continued treatment:73 from VEN+AZA arm and 16 from PBO+AZA arm </w:t>
            </w:r>
          </w:p>
          <w:p w14:paraId="1BD5D0D3" w14:textId="77777777" w:rsidR="00D963A6" w:rsidRPr="000E6442" w:rsidRDefault="00D963A6" w:rsidP="003A348E">
            <w:pPr>
              <w:pStyle w:val="ListBullet2"/>
              <w:keepLines/>
              <w:rPr>
                <w:sz w:val="19"/>
                <w:szCs w:val="19"/>
              </w:rPr>
            </w:pPr>
            <w:r w:rsidRPr="000E6442">
              <w:rPr>
                <w:sz w:val="19"/>
                <w:szCs w:val="19"/>
              </w:rPr>
              <w:t>Discontinued treatment 88% of PBO+AZA arm and 74.1% of VEN+AZA arm Discontinued due to morphologic relapse: 10.3% PBO+AZA arm v 22.4% VEN+AZA arm</w:t>
            </w:r>
          </w:p>
          <w:p w14:paraId="74B8EBCA" w14:textId="77777777" w:rsidR="00D963A6" w:rsidRPr="000E6442" w:rsidRDefault="00D963A6" w:rsidP="003A348E">
            <w:pPr>
              <w:pStyle w:val="ListBullet2"/>
              <w:keepLines/>
              <w:rPr>
                <w:color w:val="12220E" w:themeColor="accent6" w:themeShade="80"/>
                <w:sz w:val="19"/>
                <w:szCs w:val="19"/>
              </w:rPr>
            </w:pPr>
            <w:r w:rsidRPr="000E6442">
              <w:rPr>
                <w:sz w:val="19"/>
                <w:szCs w:val="19"/>
              </w:rPr>
              <w:t>Died: 15.9% PBO+AZA arm vs 13.6% VEN+AZA arm</w:t>
            </w:r>
          </w:p>
          <w:p w14:paraId="753AACF9" w14:textId="77777777" w:rsidR="00D963A6" w:rsidRPr="000E6442" w:rsidRDefault="00D963A6" w:rsidP="003A348E">
            <w:pPr>
              <w:pStyle w:val="ListBullet2"/>
              <w:keepLines/>
              <w:rPr>
                <w:sz w:val="19"/>
                <w:szCs w:val="19"/>
              </w:rPr>
            </w:pPr>
            <w:r w:rsidRPr="000E6442">
              <w:rPr>
                <w:sz w:val="19"/>
                <w:szCs w:val="19"/>
              </w:rPr>
              <w:t>Discontinued due to adverse events: 9% PBO+AZA arm vs 15% VEN+AZA arm</w:t>
            </w:r>
          </w:p>
          <w:p w14:paraId="670AD1C1" w14:textId="087A244E" w:rsidR="00D963A6" w:rsidRPr="000E6442" w:rsidRDefault="00D963A6" w:rsidP="003A348E">
            <w:pPr>
              <w:pStyle w:val="ListBullet2"/>
              <w:keepLines/>
              <w:rPr>
                <w:color w:val="12220E" w:themeColor="accent6" w:themeShade="80"/>
                <w:sz w:val="19"/>
                <w:szCs w:val="19"/>
                <w:lang w:eastAsia="ja-JP"/>
              </w:rPr>
            </w:pPr>
            <w:r w:rsidRPr="000E6442">
              <w:rPr>
                <w:sz w:val="19"/>
                <w:szCs w:val="19"/>
              </w:rPr>
              <w:t>Discontinued due to progressive disease: 14.5% PBO+AZA arm vs 3.1% VEN+AZA arm</w:t>
            </w:r>
          </w:p>
        </w:tc>
      </w:tr>
      <w:tr w:rsidR="00D963A6" w:rsidRPr="000E6442" w14:paraId="2907710E" w14:textId="77777777" w:rsidTr="00C20E0F">
        <w:trPr>
          <w:trHeight w:val="3082"/>
        </w:trPr>
        <w:tc>
          <w:tcPr>
            <w:tcW w:w="2407" w:type="pct"/>
          </w:tcPr>
          <w:p w14:paraId="3DD098E5" w14:textId="77777777" w:rsidR="00D963A6" w:rsidRPr="000E6442" w:rsidRDefault="00D963A6" w:rsidP="003A348E">
            <w:pPr>
              <w:pStyle w:val="Tabletext"/>
              <w:keepLines/>
              <w:rPr>
                <w:b/>
                <w:bCs/>
                <w:szCs w:val="19"/>
                <w:lang w:eastAsia="en-US"/>
              </w:rPr>
            </w:pPr>
            <w:r w:rsidRPr="000E6442">
              <w:rPr>
                <w:b/>
                <w:bCs/>
                <w:szCs w:val="19"/>
                <w:lang w:eastAsia="en-US"/>
              </w:rPr>
              <w:lastRenderedPageBreak/>
              <w:t>Key inclusion criteria:</w:t>
            </w:r>
          </w:p>
          <w:p w14:paraId="06865C84" w14:textId="71EB6257" w:rsidR="00D963A6" w:rsidRPr="000E6442" w:rsidRDefault="00D963A6" w:rsidP="003A348E">
            <w:pPr>
              <w:pStyle w:val="ListBullet"/>
              <w:keepLines/>
              <w:rPr>
                <w:sz w:val="19"/>
                <w:szCs w:val="19"/>
                <w:lang w:eastAsia="ja-JP"/>
              </w:rPr>
            </w:pPr>
            <w:r w:rsidRPr="000E6442">
              <w:rPr>
                <w:sz w:val="19"/>
                <w:szCs w:val="19"/>
                <w:lang w:eastAsia="ja-JP"/>
              </w:rPr>
              <w:t xml:space="preserve">Aged ≥ 75 years of age, OR Aged ≥ 18 to 74 years of age and </w:t>
            </w:r>
            <w:r w:rsidR="00C20E0F">
              <w:rPr>
                <w:sz w:val="19"/>
                <w:szCs w:val="19"/>
                <w:lang w:eastAsia="ja-JP"/>
              </w:rPr>
              <w:t>at least one of</w:t>
            </w:r>
            <w:r w:rsidRPr="000E6442">
              <w:rPr>
                <w:sz w:val="19"/>
                <w:szCs w:val="19"/>
                <w:lang w:eastAsia="ja-JP"/>
              </w:rPr>
              <w:t xml:space="preserve">: </w:t>
            </w:r>
          </w:p>
          <w:p w14:paraId="6B97E6D4" w14:textId="77777777" w:rsidR="00D963A6" w:rsidRPr="000E6442" w:rsidRDefault="00D963A6" w:rsidP="003A348E">
            <w:pPr>
              <w:pStyle w:val="ListBullet"/>
              <w:keepLines/>
              <w:rPr>
                <w:sz w:val="19"/>
                <w:szCs w:val="19"/>
              </w:rPr>
            </w:pPr>
            <w:r w:rsidRPr="000E6442">
              <w:rPr>
                <w:sz w:val="19"/>
                <w:szCs w:val="19"/>
              </w:rPr>
              <w:t xml:space="preserve">History of congestive heart failure requiring treatment or ejection fraction ≤ 50% or chronic stable </w:t>
            </w:r>
            <w:proofErr w:type="gramStart"/>
            <w:r w:rsidRPr="000E6442">
              <w:rPr>
                <w:sz w:val="19"/>
                <w:szCs w:val="19"/>
              </w:rPr>
              <w:t>angina;</w:t>
            </w:r>
            <w:proofErr w:type="gramEnd"/>
            <w:r w:rsidRPr="000E6442">
              <w:rPr>
                <w:sz w:val="19"/>
                <w:szCs w:val="19"/>
              </w:rPr>
              <w:t xml:space="preserve"> </w:t>
            </w:r>
          </w:p>
          <w:p w14:paraId="3D7F39AB" w14:textId="77777777" w:rsidR="00D963A6" w:rsidRPr="000E6442" w:rsidRDefault="00D963A6" w:rsidP="003A348E">
            <w:pPr>
              <w:pStyle w:val="ListBullet"/>
              <w:keepLines/>
              <w:rPr>
                <w:sz w:val="19"/>
                <w:szCs w:val="19"/>
              </w:rPr>
            </w:pPr>
            <w:r w:rsidRPr="000E6442">
              <w:rPr>
                <w:sz w:val="19"/>
                <w:szCs w:val="19"/>
              </w:rPr>
              <w:t xml:space="preserve">Diffusing Capacity of the Lung for Carbon Monoxide ≤ 65% or Forced Expiratory Volume in 1 Second ≤ </w:t>
            </w:r>
            <w:proofErr w:type="gramStart"/>
            <w:r w:rsidRPr="000E6442">
              <w:rPr>
                <w:sz w:val="19"/>
                <w:szCs w:val="19"/>
              </w:rPr>
              <w:t>65%;</w:t>
            </w:r>
            <w:proofErr w:type="gramEnd"/>
            <w:r w:rsidRPr="000E6442">
              <w:rPr>
                <w:sz w:val="19"/>
                <w:szCs w:val="19"/>
              </w:rPr>
              <w:t xml:space="preserve"> </w:t>
            </w:r>
          </w:p>
          <w:p w14:paraId="54D42944" w14:textId="77777777" w:rsidR="00D963A6" w:rsidRPr="000E6442" w:rsidRDefault="00D963A6" w:rsidP="003A348E">
            <w:pPr>
              <w:pStyle w:val="ListBullet"/>
              <w:keepLines/>
              <w:rPr>
                <w:sz w:val="19"/>
                <w:szCs w:val="19"/>
              </w:rPr>
            </w:pPr>
            <w:proofErr w:type="spellStart"/>
            <w:r w:rsidRPr="000E6442">
              <w:rPr>
                <w:sz w:val="19"/>
                <w:szCs w:val="19"/>
              </w:rPr>
              <w:t>CrCl</w:t>
            </w:r>
            <w:proofErr w:type="spellEnd"/>
            <w:r w:rsidRPr="000E6442">
              <w:rPr>
                <w:sz w:val="19"/>
                <w:szCs w:val="19"/>
              </w:rPr>
              <w:t xml:space="preserve"> ≥ 30 mL/min to &lt; 45 mL/</w:t>
            </w:r>
            <w:proofErr w:type="gramStart"/>
            <w:r w:rsidRPr="000E6442">
              <w:rPr>
                <w:sz w:val="19"/>
                <w:szCs w:val="19"/>
              </w:rPr>
              <w:t>min;</w:t>
            </w:r>
            <w:proofErr w:type="gramEnd"/>
            <w:r w:rsidRPr="000E6442">
              <w:rPr>
                <w:sz w:val="19"/>
                <w:szCs w:val="19"/>
              </w:rPr>
              <w:t xml:space="preserve"> </w:t>
            </w:r>
          </w:p>
          <w:p w14:paraId="6A3FEEDE" w14:textId="77777777" w:rsidR="00D963A6" w:rsidRPr="000E6442" w:rsidRDefault="00D963A6" w:rsidP="003A348E">
            <w:pPr>
              <w:pStyle w:val="ListBullet"/>
              <w:keepLines/>
              <w:rPr>
                <w:sz w:val="19"/>
                <w:szCs w:val="19"/>
              </w:rPr>
            </w:pPr>
            <w:r w:rsidRPr="000E6442">
              <w:rPr>
                <w:sz w:val="19"/>
                <w:szCs w:val="19"/>
              </w:rPr>
              <w:t xml:space="preserve">Moderate hepatic impairment with total bilirubin &gt; 1.5 to ≤ 3.0 × </w:t>
            </w:r>
            <w:proofErr w:type="gramStart"/>
            <w:r w:rsidRPr="000E6442">
              <w:rPr>
                <w:sz w:val="19"/>
                <w:szCs w:val="19"/>
              </w:rPr>
              <w:t>ULN;</w:t>
            </w:r>
            <w:proofErr w:type="gramEnd"/>
          </w:p>
          <w:p w14:paraId="31BB9A55" w14:textId="77777777" w:rsidR="00D963A6" w:rsidRPr="000E6442" w:rsidRDefault="00D963A6" w:rsidP="003A348E">
            <w:pPr>
              <w:pStyle w:val="ListBullet"/>
              <w:keepLines/>
              <w:rPr>
                <w:sz w:val="19"/>
                <w:szCs w:val="19"/>
              </w:rPr>
            </w:pPr>
            <w:bookmarkStart w:id="44" w:name="_Hlk99110778"/>
            <w:r w:rsidRPr="000E6442">
              <w:rPr>
                <w:sz w:val="19"/>
                <w:szCs w:val="19"/>
              </w:rPr>
              <w:t xml:space="preserve">Eastern Cooperative Oncology Group </w:t>
            </w:r>
            <w:bookmarkEnd w:id="44"/>
            <w:r w:rsidRPr="000E6442">
              <w:rPr>
                <w:sz w:val="19"/>
                <w:szCs w:val="19"/>
              </w:rPr>
              <w:t xml:space="preserve">(ECOG) Performance Status of 2 or 3; or </w:t>
            </w:r>
          </w:p>
          <w:p w14:paraId="051C8700" w14:textId="77777777" w:rsidR="00D963A6" w:rsidRPr="000E6442" w:rsidRDefault="00D963A6" w:rsidP="003A348E">
            <w:pPr>
              <w:pStyle w:val="ListBullet"/>
              <w:keepLines/>
              <w:rPr>
                <w:rFonts w:eastAsia="Times New Roman"/>
                <w:color w:val="12220E" w:themeColor="accent6" w:themeShade="80"/>
                <w:kern w:val="16"/>
                <w:sz w:val="19"/>
                <w:szCs w:val="19"/>
              </w:rPr>
            </w:pPr>
            <w:r w:rsidRPr="000E6442">
              <w:rPr>
                <w:sz w:val="19"/>
                <w:szCs w:val="19"/>
              </w:rPr>
              <w:t>Other (physician judged) comorbidity incompatible with intensive chemotherapy (reviewed and approved by Therapeutic Area Medical Director during screening).</w:t>
            </w:r>
          </w:p>
        </w:tc>
        <w:tc>
          <w:tcPr>
            <w:tcW w:w="2593" w:type="pct"/>
          </w:tcPr>
          <w:p w14:paraId="3273AF7E" w14:textId="77777777" w:rsidR="00D963A6" w:rsidRPr="000E6442" w:rsidRDefault="00D963A6" w:rsidP="003A348E">
            <w:pPr>
              <w:pStyle w:val="Tabletext"/>
              <w:keepLines/>
              <w:rPr>
                <w:b/>
                <w:bCs/>
                <w:szCs w:val="19"/>
                <w:lang w:eastAsia="en-US"/>
              </w:rPr>
            </w:pPr>
            <w:r w:rsidRPr="000E6442">
              <w:rPr>
                <w:b/>
                <w:bCs/>
                <w:szCs w:val="19"/>
                <w:lang w:eastAsia="en-US"/>
              </w:rPr>
              <w:t>Key exclusion criteria:</w:t>
            </w:r>
          </w:p>
          <w:p w14:paraId="1B2039DC" w14:textId="165F6A19" w:rsidR="00D963A6" w:rsidRPr="000E6442" w:rsidRDefault="00D963A6" w:rsidP="003A348E">
            <w:pPr>
              <w:pStyle w:val="ListBullet"/>
              <w:keepLines/>
              <w:rPr>
                <w:sz w:val="19"/>
                <w:szCs w:val="19"/>
              </w:rPr>
            </w:pPr>
            <w:r w:rsidRPr="000E6442">
              <w:rPr>
                <w:sz w:val="19"/>
                <w:szCs w:val="19"/>
              </w:rPr>
              <w:t xml:space="preserve">History of myeloproliferative neoplasm including myelofibrosis, essential thrombocythemia, </w:t>
            </w:r>
            <w:proofErr w:type="spellStart"/>
            <w:r w:rsidRPr="000E6442">
              <w:rPr>
                <w:sz w:val="19"/>
                <w:szCs w:val="19"/>
              </w:rPr>
              <w:t>polycythemia</w:t>
            </w:r>
            <w:proofErr w:type="spellEnd"/>
            <w:r w:rsidRPr="000E6442">
              <w:rPr>
                <w:sz w:val="19"/>
                <w:szCs w:val="19"/>
              </w:rPr>
              <w:t xml:space="preserve"> vera, chronic myeloid leuk</w:t>
            </w:r>
            <w:r w:rsidR="00B34CB3">
              <w:rPr>
                <w:sz w:val="19"/>
                <w:szCs w:val="19"/>
              </w:rPr>
              <w:t>a</w:t>
            </w:r>
            <w:r w:rsidRPr="000E6442">
              <w:rPr>
                <w:sz w:val="19"/>
                <w:szCs w:val="19"/>
              </w:rPr>
              <w:t xml:space="preserve">emia with or without BCR-ABL1 translocation, and transformation to AML with BCR-ABL1 </w:t>
            </w:r>
            <w:proofErr w:type="gramStart"/>
            <w:r w:rsidRPr="000E6442">
              <w:rPr>
                <w:sz w:val="19"/>
                <w:szCs w:val="19"/>
              </w:rPr>
              <w:t>translocation;</w:t>
            </w:r>
            <w:proofErr w:type="gramEnd"/>
            <w:r w:rsidRPr="000E6442">
              <w:rPr>
                <w:sz w:val="19"/>
                <w:szCs w:val="19"/>
              </w:rPr>
              <w:t xml:space="preserve"> </w:t>
            </w:r>
          </w:p>
          <w:p w14:paraId="3E587288" w14:textId="77777777" w:rsidR="00D963A6" w:rsidRPr="000E6442" w:rsidRDefault="00D963A6" w:rsidP="003A348E">
            <w:pPr>
              <w:pStyle w:val="ListBullet"/>
              <w:keepLines/>
              <w:rPr>
                <w:sz w:val="19"/>
                <w:szCs w:val="19"/>
              </w:rPr>
            </w:pPr>
            <w:r w:rsidRPr="000E6442">
              <w:rPr>
                <w:sz w:val="19"/>
                <w:szCs w:val="19"/>
              </w:rPr>
              <w:t xml:space="preserve">Favourable risk cytogenetics such as </w:t>
            </w:r>
            <w:proofErr w:type="gramStart"/>
            <w:r w:rsidRPr="000E6442">
              <w:rPr>
                <w:sz w:val="19"/>
                <w:szCs w:val="19"/>
              </w:rPr>
              <w:t>t(</w:t>
            </w:r>
            <w:proofErr w:type="gramEnd"/>
            <w:r w:rsidRPr="000E6442">
              <w:rPr>
                <w:sz w:val="19"/>
                <w:szCs w:val="19"/>
              </w:rPr>
              <w:t>8;21), inv(16), t(16;16) or t(15;17) per NCCN Guidelines Version 2, 2016.</w:t>
            </w:r>
          </w:p>
          <w:p w14:paraId="622E9B6E" w14:textId="77777777" w:rsidR="00D963A6" w:rsidRPr="000E6442" w:rsidRDefault="00D963A6" w:rsidP="003A348E">
            <w:pPr>
              <w:pStyle w:val="ListBullet"/>
              <w:keepLines/>
              <w:rPr>
                <w:sz w:val="19"/>
                <w:szCs w:val="19"/>
              </w:rPr>
            </w:pPr>
            <w:r w:rsidRPr="000E6442">
              <w:rPr>
                <w:sz w:val="19"/>
                <w:szCs w:val="19"/>
              </w:rPr>
              <w:t xml:space="preserve">Acute promyelocytic </w:t>
            </w:r>
            <w:proofErr w:type="gramStart"/>
            <w:r w:rsidRPr="000E6442">
              <w:rPr>
                <w:sz w:val="19"/>
                <w:szCs w:val="19"/>
              </w:rPr>
              <w:t>leukaemia;</w:t>
            </w:r>
            <w:proofErr w:type="gramEnd"/>
          </w:p>
          <w:p w14:paraId="310DA480" w14:textId="77777777" w:rsidR="00D963A6" w:rsidRPr="000E6442" w:rsidRDefault="00D963A6" w:rsidP="003A348E">
            <w:pPr>
              <w:pStyle w:val="ListBullet"/>
              <w:keepLines/>
              <w:rPr>
                <w:sz w:val="19"/>
                <w:szCs w:val="19"/>
              </w:rPr>
            </w:pPr>
            <w:r w:rsidRPr="000E6442">
              <w:rPr>
                <w:sz w:val="19"/>
                <w:szCs w:val="19"/>
              </w:rPr>
              <w:t xml:space="preserve">Known active </w:t>
            </w:r>
            <w:bookmarkStart w:id="45" w:name="_Hlk99110928"/>
            <w:r w:rsidRPr="000E6442">
              <w:rPr>
                <w:sz w:val="19"/>
                <w:szCs w:val="19"/>
              </w:rPr>
              <w:t xml:space="preserve">central nervous system </w:t>
            </w:r>
            <w:bookmarkEnd w:id="45"/>
            <w:r w:rsidRPr="000E6442">
              <w:rPr>
                <w:sz w:val="19"/>
                <w:szCs w:val="19"/>
              </w:rPr>
              <w:t xml:space="preserve">(CNS) involvement with </w:t>
            </w:r>
            <w:proofErr w:type="gramStart"/>
            <w:r w:rsidRPr="000E6442">
              <w:rPr>
                <w:sz w:val="19"/>
                <w:szCs w:val="19"/>
              </w:rPr>
              <w:t>AML;</w:t>
            </w:r>
            <w:proofErr w:type="gramEnd"/>
            <w:r w:rsidRPr="000E6442">
              <w:rPr>
                <w:sz w:val="19"/>
                <w:szCs w:val="19"/>
              </w:rPr>
              <w:t xml:space="preserve"> </w:t>
            </w:r>
          </w:p>
          <w:p w14:paraId="736C9EA9" w14:textId="77777777" w:rsidR="00D963A6" w:rsidRPr="000E6442" w:rsidRDefault="00D963A6" w:rsidP="003A348E">
            <w:pPr>
              <w:pStyle w:val="ListBullet"/>
              <w:keepLines/>
              <w:rPr>
                <w:sz w:val="19"/>
                <w:szCs w:val="19"/>
              </w:rPr>
            </w:pPr>
            <w:r w:rsidRPr="000E6442">
              <w:rPr>
                <w:sz w:val="19"/>
                <w:szCs w:val="19"/>
              </w:rPr>
              <w:t xml:space="preserve">Known HIV, Hep B, or Hep C </w:t>
            </w:r>
            <w:proofErr w:type="gramStart"/>
            <w:r w:rsidRPr="000E6442">
              <w:rPr>
                <w:sz w:val="19"/>
                <w:szCs w:val="19"/>
              </w:rPr>
              <w:t>infections;</w:t>
            </w:r>
            <w:proofErr w:type="gramEnd"/>
            <w:r w:rsidRPr="000E6442">
              <w:rPr>
                <w:sz w:val="19"/>
                <w:szCs w:val="19"/>
              </w:rPr>
              <w:t xml:space="preserve"> </w:t>
            </w:r>
          </w:p>
          <w:p w14:paraId="290FA345" w14:textId="77777777" w:rsidR="00D963A6" w:rsidRPr="000E6442" w:rsidRDefault="00D963A6" w:rsidP="003A348E">
            <w:pPr>
              <w:pStyle w:val="ListBullet"/>
              <w:keepLines/>
              <w:rPr>
                <w:sz w:val="19"/>
                <w:szCs w:val="19"/>
              </w:rPr>
            </w:pPr>
            <w:r w:rsidRPr="000E6442">
              <w:rPr>
                <w:sz w:val="19"/>
                <w:szCs w:val="19"/>
              </w:rPr>
              <w:t xml:space="preserve">Strong ± moderate CYP3A inducers &lt; 7 days prior to start of study treatment. </w:t>
            </w:r>
          </w:p>
          <w:p w14:paraId="57F75ADE" w14:textId="77777777" w:rsidR="00D963A6" w:rsidRPr="000E6442" w:rsidRDefault="00D963A6" w:rsidP="003A348E">
            <w:pPr>
              <w:pStyle w:val="ListBullet"/>
              <w:keepLines/>
              <w:rPr>
                <w:sz w:val="19"/>
                <w:szCs w:val="19"/>
              </w:rPr>
            </w:pPr>
            <w:r w:rsidRPr="000E6442">
              <w:rPr>
                <w:sz w:val="19"/>
                <w:szCs w:val="19"/>
              </w:rPr>
              <w:t xml:space="preserve">New York Heart Association Class &gt; </w:t>
            </w:r>
            <w:proofErr w:type="gramStart"/>
            <w:r w:rsidRPr="000E6442">
              <w:rPr>
                <w:sz w:val="19"/>
                <w:szCs w:val="19"/>
              </w:rPr>
              <w:t>2;</w:t>
            </w:r>
            <w:proofErr w:type="gramEnd"/>
            <w:r w:rsidRPr="000E6442">
              <w:rPr>
                <w:sz w:val="19"/>
                <w:szCs w:val="19"/>
              </w:rPr>
              <w:t xml:space="preserve"> </w:t>
            </w:r>
          </w:p>
          <w:p w14:paraId="4765D775" w14:textId="77777777" w:rsidR="00D963A6" w:rsidRPr="000E6442" w:rsidRDefault="00D963A6" w:rsidP="003A348E">
            <w:pPr>
              <w:pStyle w:val="ListBullet"/>
              <w:keepLines/>
              <w:rPr>
                <w:color w:val="12220E" w:themeColor="accent6" w:themeShade="80"/>
                <w:sz w:val="19"/>
                <w:szCs w:val="19"/>
              </w:rPr>
            </w:pPr>
            <w:r w:rsidRPr="000E6442">
              <w:rPr>
                <w:sz w:val="19"/>
                <w:szCs w:val="19"/>
              </w:rPr>
              <w:t xml:space="preserve">Prior </w:t>
            </w:r>
            <w:bookmarkStart w:id="46" w:name="_Hlk99110943"/>
            <w:r w:rsidRPr="000E6442">
              <w:rPr>
                <w:sz w:val="19"/>
                <w:szCs w:val="19"/>
              </w:rPr>
              <w:t xml:space="preserve">hypomethylating agent </w:t>
            </w:r>
            <w:bookmarkEnd w:id="46"/>
            <w:r w:rsidRPr="000E6442">
              <w:rPr>
                <w:sz w:val="19"/>
                <w:szCs w:val="19"/>
              </w:rPr>
              <w:t>(HMA), VEN, ± chemotherapy for MDS, CAR-T cell therapy</w:t>
            </w:r>
          </w:p>
        </w:tc>
      </w:tr>
      <w:tr w:rsidR="00D963A6" w:rsidRPr="000E6442" w14:paraId="77108023" w14:textId="77777777" w:rsidTr="00C20E0F">
        <w:tc>
          <w:tcPr>
            <w:tcW w:w="5000" w:type="pct"/>
            <w:gridSpan w:val="2"/>
          </w:tcPr>
          <w:p w14:paraId="378B5389" w14:textId="77777777" w:rsidR="00D963A6" w:rsidRPr="000E6442" w:rsidRDefault="00D963A6" w:rsidP="003A348E">
            <w:pPr>
              <w:pStyle w:val="Tabletext"/>
              <w:keepLines/>
              <w:rPr>
                <w:b/>
                <w:bCs/>
                <w:color w:val="12220E" w:themeColor="accent6" w:themeShade="80"/>
                <w:szCs w:val="19"/>
                <w:lang w:val="en-US"/>
              </w:rPr>
            </w:pPr>
            <w:r w:rsidRPr="000E6442">
              <w:rPr>
                <w:b/>
                <w:bCs/>
                <w:szCs w:val="19"/>
                <w:lang w:val="en-US"/>
              </w:rPr>
              <w:t>Endpoints</w:t>
            </w:r>
          </w:p>
        </w:tc>
      </w:tr>
      <w:tr w:rsidR="00D963A6" w:rsidRPr="000E6442" w14:paraId="64BE635A" w14:textId="77777777" w:rsidTr="00C20E0F">
        <w:tc>
          <w:tcPr>
            <w:tcW w:w="5000" w:type="pct"/>
            <w:gridSpan w:val="2"/>
          </w:tcPr>
          <w:p w14:paraId="51FA3DCA" w14:textId="6797BC0F" w:rsidR="00D963A6" w:rsidRPr="000E6442" w:rsidRDefault="00D963A6" w:rsidP="003A348E">
            <w:pPr>
              <w:pStyle w:val="Tabletext"/>
              <w:keepLines/>
              <w:rPr>
                <w:color w:val="12220E" w:themeColor="accent6" w:themeShade="80"/>
                <w:szCs w:val="19"/>
                <w:lang w:eastAsia="en-US"/>
              </w:rPr>
            </w:pPr>
            <w:r w:rsidRPr="000E6442">
              <w:rPr>
                <w:b/>
                <w:bCs/>
                <w:szCs w:val="19"/>
                <w:lang w:val="en-US"/>
              </w:rPr>
              <w:t>Primary</w:t>
            </w:r>
            <w:r w:rsidRPr="000E6442">
              <w:rPr>
                <w:szCs w:val="19"/>
                <w:lang w:eastAsia="en-US"/>
              </w:rPr>
              <w:t xml:space="preserve">: US OS was the sole primary endpoint. For the EU, Japan and EU reference countries the dual primary endpoint of </w:t>
            </w:r>
            <w:proofErr w:type="spellStart"/>
            <w:r w:rsidRPr="000E6442">
              <w:rPr>
                <w:szCs w:val="19"/>
                <w:lang w:eastAsia="en-US"/>
              </w:rPr>
              <w:t>CR+CRi</w:t>
            </w:r>
            <w:proofErr w:type="spellEnd"/>
            <w:r w:rsidRPr="000E6442">
              <w:rPr>
                <w:szCs w:val="19"/>
                <w:lang w:eastAsia="en-US"/>
              </w:rPr>
              <w:t xml:space="preserve"> (by </w:t>
            </w:r>
            <w:proofErr w:type="gramStart"/>
            <w:r w:rsidRPr="000E6442">
              <w:rPr>
                <w:szCs w:val="19"/>
                <w:lang w:eastAsia="en-US"/>
              </w:rPr>
              <w:t>INV)+</w:t>
            </w:r>
            <w:proofErr w:type="gramEnd"/>
            <w:r w:rsidRPr="000E6442">
              <w:rPr>
                <w:szCs w:val="19"/>
                <w:lang w:eastAsia="en-US"/>
              </w:rPr>
              <w:t xml:space="preserve"> OS. </w:t>
            </w:r>
            <w:proofErr w:type="spellStart"/>
            <w:r w:rsidRPr="000E6442">
              <w:rPr>
                <w:szCs w:val="19"/>
                <w:lang w:eastAsia="en-US"/>
              </w:rPr>
              <w:t>CR+CRi</w:t>
            </w:r>
            <w:proofErr w:type="spellEnd"/>
            <w:r w:rsidRPr="000E6442">
              <w:rPr>
                <w:szCs w:val="19"/>
                <w:lang w:eastAsia="en-US"/>
              </w:rPr>
              <w:t xml:space="preserve"> by IWG criteria for AML. Reference is primarily made to the US primary endpoint given the collaboration with the US in the evaluation.</w:t>
            </w:r>
          </w:p>
          <w:p w14:paraId="7E91F33F" w14:textId="43167EFD" w:rsidR="00D963A6" w:rsidRPr="000E6442" w:rsidRDefault="00D963A6" w:rsidP="003A348E">
            <w:pPr>
              <w:pStyle w:val="Tabletext"/>
              <w:keepLines/>
              <w:rPr>
                <w:szCs w:val="19"/>
                <w:lang w:eastAsia="en-US"/>
              </w:rPr>
            </w:pPr>
            <w:r w:rsidRPr="000E6442">
              <w:rPr>
                <w:b/>
                <w:bCs/>
                <w:szCs w:val="19"/>
                <w:lang w:eastAsia="en-US"/>
              </w:rPr>
              <w:t>Secondary</w:t>
            </w:r>
            <w:r w:rsidRPr="000E6442">
              <w:rPr>
                <w:szCs w:val="19"/>
                <w:lang w:eastAsia="en-US"/>
              </w:rPr>
              <w:t xml:space="preserve">: CR + CRi rate and CR + </w:t>
            </w:r>
            <w:proofErr w:type="spellStart"/>
            <w:r w:rsidRPr="000E6442">
              <w:rPr>
                <w:szCs w:val="19"/>
                <w:lang w:eastAsia="en-US"/>
              </w:rPr>
              <w:t>CRh</w:t>
            </w:r>
            <w:proofErr w:type="spellEnd"/>
            <w:r w:rsidRPr="000E6442">
              <w:rPr>
                <w:szCs w:val="19"/>
                <w:lang w:eastAsia="en-US"/>
              </w:rPr>
              <w:t xml:space="preserve"> rate (US); CR + CRi at initiation of Cycle 2 (Japan, EU); CR + </w:t>
            </w:r>
            <w:proofErr w:type="spellStart"/>
            <w:r w:rsidRPr="000E6442">
              <w:rPr>
                <w:szCs w:val="19"/>
                <w:lang w:eastAsia="en-US"/>
              </w:rPr>
              <w:t>CRh</w:t>
            </w:r>
            <w:proofErr w:type="spellEnd"/>
            <w:r w:rsidRPr="000E6442">
              <w:rPr>
                <w:szCs w:val="19"/>
                <w:lang w:eastAsia="en-US"/>
              </w:rPr>
              <w:t xml:space="preserve"> rate by the initiation of Cycle 2 (US),</w:t>
            </w:r>
            <w:r w:rsidRPr="000E6442">
              <w:rPr>
                <w:szCs w:val="19"/>
              </w:rPr>
              <w:t xml:space="preserve"> </w:t>
            </w:r>
            <w:r w:rsidRPr="000E6442">
              <w:rPr>
                <w:szCs w:val="19"/>
                <w:lang w:eastAsia="en-US"/>
              </w:rPr>
              <w:t>CR rate; and post baseline transfusion independence rates.</w:t>
            </w:r>
          </w:p>
          <w:p w14:paraId="402DC534" w14:textId="77777777" w:rsidR="00D963A6" w:rsidRPr="000E6442" w:rsidRDefault="00D963A6" w:rsidP="003A348E">
            <w:pPr>
              <w:pStyle w:val="Tabletext"/>
              <w:keepLines/>
              <w:rPr>
                <w:szCs w:val="19"/>
                <w:lang w:eastAsia="en-US"/>
              </w:rPr>
            </w:pPr>
            <w:r w:rsidRPr="000E6442">
              <w:rPr>
                <w:b/>
                <w:bCs/>
                <w:szCs w:val="19"/>
                <w:lang w:eastAsia="en-US"/>
              </w:rPr>
              <w:t>Other secondary</w:t>
            </w:r>
            <w:r w:rsidRPr="000E6442">
              <w:rPr>
                <w:szCs w:val="19"/>
                <w:lang w:eastAsia="en-US"/>
              </w:rPr>
              <w:t xml:space="preserve">: </w:t>
            </w:r>
          </w:p>
          <w:p w14:paraId="36F3258C" w14:textId="77777777" w:rsidR="00D963A6" w:rsidRPr="000E6442" w:rsidRDefault="00D963A6" w:rsidP="003A348E">
            <w:pPr>
              <w:pStyle w:val="Tabletext"/>
              <w:keepLines/>
              <w:rPr>
                <w:szCs w:val="19"/>
              </w:rPr>
            </w:pPr>
            <w:r w:rsidRPr="000E6442">
              <w:rPr>
                <w:szCs w:val="19"/>
              </w:rPr>
              <w:t>CR + CRi MRD response rate (Japan, EU</w:t>
            </w:r>
            <w:proofErr w:type="gramStart"/>
            <w:r w:rsidRPr="000E6442">
              <w:rPr>
                <w:szCs w:val="19"/>
              </w:rPr>
              <w:t>);</w:t>
            </w:r>
            <w:proofErr w:type="gramEnd"/>
            <w:r w:rsidRPr="000E6442">
              <w:rPr>
                <w:szCs w:val="19"/>
              </w:rPr>
              <w:t xml:space="preserve"> </w:t>
            </w:r>
          </w:p>
          <w:p w14:paraId="28F4348B" w14:textId="7024CC6F" w:rsidR="00D963A6" w:rsidRPr="000E6442" w:rsidRDefault="00D963A6" w:rsidP="003A348E">
            <w:pPr>
              <w:pStyle w:val="Tabletext"/>
              <w:keepLines/>
              <w:rPr>
                <w:szCs w:val="19"/>
              </w:rPr>
            </w:pPr>
            <w:r w:rsidRPr="000E6442">
              <w:rPr>
                <w:szCs w:val="19"/>
              </w:rPr>
              <w:t>MRD negative remission rate (US</w:t>
            </w:r>
            <w:proofErr w:type="gramStart"/>
            <w:r w:rsidRPr="000E6442">
              <w:rPr>
                <w:szCs w:val="19"/>
              </w:rPr>
              <w:t>);</w:t>
            </w:r>
            <w:proofErr w:type="gramEnd"/>
          </w:p>
          <w:p w14:paraId="3B907351" w14:textId="45883D57" w:rsidR="00D963A6" w:rsidRPr="000E6442" w:rsidRDefault="00D963A6" w:rsidP="003A348E">
            <w:pPr>
              <w:pStyle w:val="Tabletext"/>
              <w:keepLines/>
              <w:rPr>
                <w:szCs w:val="19"/>
              </w:rPr>
            </w:pPr>
            <w:r w:rsidRPr="000E6442">
              <w:rPr>
                <w:szCs w:val="19"/>
              </w:rPr>
              <w:t>CR + CRi in biomarker subgroups (IDH1/IDH2 and FLT3; Japan, EU</w:t>
            </w:r>
            <w:proofErr w:type="gramStart"/>
            <w:r w:rsidRPr="000E6442">
              <w:rPr>
                <w:szCs w:val="19"/>
              </w:rPr>
              <w:t>);</w:t>
            </w:r>
            <w:proofErr w:type="gramEnd"/>
          </w:p>
          <w:p w14:paraId="2FA4B475" w14:textId="7B85DF97" w:rsidR="00D963A6" w:rsidRPr="000E6442" w:rsidRDefault="00D963A6" w:rsidP="003A348E">
            <w:pPr>
              <w:pStyle w:val="Tabletext"/>
              <w:keepLines/>
              <w:rPr>
                <w:szCs w:val="19"/>
              </w:rPr>
            </w:pPr>
            <w:r w:rsidRPr="000E6442">
              <w:rPr>
                <w:szCs w:val="19"/>
              </w:rPr>
              <w:t xml:space="preserve">CR + </w:t>
            </w:r>
            <w:proofErr w:type="spellStart"/>
            <w:r w:rsidRPr="000E6442">
              <w:rPr>
                <w:szCs w:val="19"/>
              </w:rPr>
              <w:t>CRh</w:t>
            </w:r>
            <w:proofErr w:type="spellEnd"/>
            <w:r w:rsidRPr="000E6442">
              <w:rPr>
                <w:szCs w:val="19"/>
              </w:rPr>
              <w:t xml:space="preserve"> rate in biomarker subgroups (IDH1/IDH2 and FLT3; US</w:t>
            </w:r>
            <w:proofErr w:type="gramStart"/>
            <w:r w:rsidRPr="000E6442">
              <w:rPr>
                <w:szCs w:val="19"/>
              </w:rPr>
              <w:t>);</w:t>
            </w:r>
            <w:proofErr w:type="gramEnd"/>
          </w:p>
          <w:p w14:paraId="5CABB1A9" w14:textId="59DFA76E" w:rsidR="00D963A6" w:rsidRPr="000E6442" w:rsidRDefault="00D963A6" w:rsidP="003A348E">
            <w:pPr>
              <w:pStyle w:val="Tabletext"/>
              <w:keepLines/>
              <w:rPr>
                <w:szCs w:val="19"/>
              </w:rPr>
            </w:pPr>
            <w:r w:rsidRPr="000E6442">
              <w:rPr>
                <w:szCs w:val="19"/>
              </w:rPr>
              <w:t>OS in biomarker subgroups (including IDH1/IDH2 and FLT3</w:t>
            </w:r>
            <w:proofErr w:type="gramStart"/>
            <w:r w:rsidRPr="000E6442">
              <w:rPr>
                <w:szCs w:val="19"/>
              </w:rPr>
              <w:t>);</w:t>
            </w:r>
            <w:proofErr w:type="gramEnd"/>
          </w:p>
          <w:p w14:paraId="41CB9356" w14:textId="7C2557C7" w:rsidR="00D963A6" w:rsidRPr="000E6442" w:rsidRDefault="00D963A6" w:rsidP="003A348E">
            <w:pPr>
              <w:pStyle w:val="Tabletext"/>
              <w:keepLines/>
              <w:rPr>
                <w:szCs w:val="19"/>
                <w:lang w:eastAsia="en-US"/>
              </w:rPr>
            </w:pPr>
            <w:r w:rsidRPr="000E6442">
              <w:rPr>
                <w:szCs w:val="19"/>
              </w:rPr>
              <w:t xml:space="preserve">change </w:t>
            </w:r>
            <w:r w:rsidR="00C7639C">
              <w:rPr>
                <w:szCs w:val="19"/>
              </w:rPr>
              <w:t>from Baseline</w:t>
            </w:r>
            <w:r w:rsidRPr="000E6442">
              <w:rPr>
                <w:szCs w:val="19"/>
              </w:rPr>
              <w:t xml:space="preserve"> in PROMIS Cancer Fatigue SF 7a global fatigue score; </w:t>
            </w:r>
            <w:r w:rsidRPr="000E6442">
              <w:rPr>
                <w:szCs w:val="19"/>
                <w:lang w:eastAsia="en-US"/>
              </w:rPr>
              <w:t xml:space="preserve">change from </w:t>
            </w:r>
            <w:r w:rsidR="000E22E5">
              <w:rPr>
                <w:szCs w:val="19"/>
                <w:lang w:eastAsia="en-US"/>
              </w:rPr>
              <w:t>B</w:t>
            </w:r>
            <w:r w:rsidRPr="000E6442">
              <w:rPr>
                <w:szCs w:val="19"/>
                <w:lang w:eastAsia="en-US"/>
              </w:rPr>
              <w:t>aseline in GHS/QoL scale from the EORTC QLQ-C3; and EFS.</w:t>
            </w:r>
          </w:p>
          <w:p w14:paraId="39E01625" w14:textId="77777777" w:rsidR="00D963A6" w:rsidRPr="000E6442" w:rsidRDefault="00D963A6" w:rsidP="003A348E">
            <w:pPr>
              <w:pStyle w:val="Tabletext"/>
              <w:keepLines/>
              <w:rPr>
                <w:color w:val="12220E" w:themeColor="accent6" w:themeShade="80"/>
                <w:szCs w:val="19"/>
                <w:lang w:eastAsia="en-US"/>
              </w:rPr>
            </w:pPr>
            <w:r w:rsidRPr="000E6442">
              <w:rPr>
                <w:szCs w:val="19"/>
                <w:lang w:eastAsia="en-US"/>
              </w:rPr>
              <w:t>Baseline transfusion dependence to post-baseline transfusion independence</w:t>
            </w:r>
          </w:p>
        </w:tc>
      </w:tr>
      <w:tr w:rsidR="00D963A6" w:rsidRPr="000E6442" w14:paraId="679B124B" w14:textId="77777777" w:rsidTr="00C20E0F">
        <w:tc>
          <w:tcPr>
            <w:tcW w:w="5000" w:type="pct"/>
            <w:gridSpan w:val="2"/>
          </w:tcPr>
          <w:p w14:paraId="76F672B2" w14:textId="77777777" w:rsidR="00D963A6" w:rsidRPr="000E6442" w:rsidRDefault="00D963A6" w:rsidP="003A348E">
            <w:pPr>
              <w:pStyle w:val="Tabletext"/>
              <w:keepLines/>
              <w:rPr>
                <w:b/>
                <w:bCs/>
                <w:szCs w:val="19"/>
              </w:rPr>
            </w:pPr>
            <w:r w:rsidRPr="000E6442">
              <w:rPr>
                <w:b/>
                <w:bCs/>
                <w:szCs w:val="19"/>
              </w:rPr>
              <w:t>Endpoint definitions</w:t>
            </w:r>
          </w:p>
        </w:tc>
      </w:tr>
      <w:tr w:rsidR="00D963A6" w:rsidRPr="000E6442" w14:paraId="3DBFF198" w14:textId="77777777" w:rsidTr="00C20E0F">
        <w:tc>
          <w:tcPr>
            <w:tcW w:w="5000" w:type="pct"/>
            <w:gridSpan w:val="2"/>
          </w:tcPr>
          <w:p w14:paraId="4319BC5C" w14:textId="27AF6399" w:rsidR="00D963A6" w:rsidRPr="000E6442" w:rsidRDefault="00D963A6" w:rsidP="003A348E">
            <w:pPr>
              <w:pStyle w:val="Tabletext"/>
              <w:keepLines/>
              <w:rPr>
                <w:szCs w:val="19"/>
              </w:rPr>
            </w:pPr>
            <w:r w:rsidRPr="000E6442">
              <w:rPr>
                <w:szCs w:val="19"/>
              </w:rPr>
              <w:t>Complete remission: ANC &gt; 10</w:t>
            </w:r>
            <w:r w:rsidRPr="00306CC0">
              <w:rPr>
                <w:szCs w:val="19"/>
                <w:vertAlign w:val="superscript"/>
              </w:rPr>
              <w:t>3</w:t>
            </w:r>
            <w:r w:rsidRPr="000E6442">
              <w:rPr>
                <w:szCs w:val="19"/>
              </w:rPr>
              <w:t>/µL, platelets &gt; 10</w:t>
            </w:r>
            <w:r w:rsidRPr="00306CC0">
              <w:rPr>
                <w:szCs w:val="19"/>
                <w:vertAlign w:val="superscript"/>
              </w:rPr>
              <w:t>5</w:t>
            </w:r>
            <w:r w:rsidRPr="000E6442">
              <w:rPr>
                <w:szCs w:val="19"/>
              </w:rPr>
              <w:t>/µL, RBC transfusion independence, and bone marrow with &lt; 5% blasts. No circulating blasts and blasts with Auer rods; no extramedullary disease.</w:t>
            </w:r>
          </w:p>
          <w:p w14:paraId="4D5BEB97" w14:textId="77777777" w:rsidR="00D963A6" w:rsidRPr="000E6442" w:rsidRDefault="00D963A6" w:rsidP="003A348E">
            <w:pPr>
              <w:pStyle w:val="Tabletext"/>
              <w:keepLines/>
              <w:rPr>
                <w:szCs w:val="19"/>
              </w:rPr>
            </w:pPr>
            <w:r w:rsidRPr="000E6442">
              <w:rPr>
                <w:szCs w:val="19"/>
              </w:rPr>
              <w:lastRenderedPageBreak/>
              <w:t>Complete remission with incomplete blood recovery (CRi): All criteria as CR except residual neutropenia ≤10</w:t>
            </w:r>
            <w:r w:rsidRPr="00306CC0">
              <w:rPr>
                <w:szCs w:val="19"/>
                <w:vertAlign w:val="superscript"/>
              </w:rPr>
              <w:t>3</w:t>
            </w:r>
            <w:r w:rsidRPr="000E6442">
              <w:rPr>
                <w:szCs w:val="19"/>
              </w:rPr>
              <w:t>/µL (1000/µL) or thrombocytopenia ≤ 10</w:t>
            </w:r>
            <w:r w:rsidRPr="00306CC0">
              <w:rPr>
                <w:szCs w:val="19"/>
                <w:vertAlign w:val="superscript"/>
              </w:rPr>
              <w:t>5</w:t>
            </w:r>
            <w:r w:rsidRPr="000E6442">
              <w:rPr>
                <w:szCs w:val="19"/>
              </w:rPr>
              <w:t>/µL (100,000/µL). RBC transfusion dependence also defined as CRi.</w:t>
            </w:r>
          </w:p>
          <w:p w14:paraId="6282E5F9" w14:textId="4421F718" w:rsidR="00D963A6" w:rsidRPr="000E6442" w:rsidRDefault="00D963A6" w:rsidP="003A348E">
            <w:pPr>
              <w:pStyle w:val="Tabletext"/>
              <w:keepLines/>
              <w:rPr>
                <w:szCs w:val="19"/>
              </w:rPr>
            </w:pPr>
            <w:bookmarkStart w:id="47" w:name="_Hlk99111885"/>
            <w:r w:rsidRPr="000E6442">
              <w:rPr>
                <w:szCs w:val="19"/>
              </w:rPr>
              <w:t xml:space="preserve">Complete remission with partial haematologic recovery </w:t>
            </w:r>
            <w:bookmarkEnd w:id="47"/>
            <w:r w:rsidRPr="000E6442">
              <w:rPr>
                <w:szCs w:val="19"/>
              </w:rPr>
              <w:t>(</w:t>
            </w:r>
            <w:proofErr w:type="spellStart"/>
            <w:r w:rsidRPr="000E6442">
              <w:rPr>
                <w:szCs w:val="19"/>
              </w:rPr>
              <w:t>CRh</w:t>
            </w:r>
            <w:proofErr w:type="spellEnd"/>
            <w:r w:rsidRPr="000E6442">
              <w:rPr>
                <w:szCs w:val="19"/>
              </w:rPr>
              <w:t>): BM &lt; 5% blasts + peripheral ANC ≥ 500/µL + peripheral platelets &gt; 50 x 10</w:t>
            </w:r>
            <w:r w:rsidRPr="00306CC0">
              <w:rPr>
                <w:szCs w:val="19"/>
                <w:vertAlign w:val="superscript"/>
              </w:rPr>
              <w:t>9</w:t>
            </w:r>
            <w:r w:rsidRPr="000E6442">
              <w:rPr>
                <w:szCs w:val="19"/>
              </w:rPr>
              <w:t>/L</w:t>
            </w:r>
          </w:p>
          <w:p w14:paraId="4624DB9E" w14:textId="66113DF7" w:rsidR="00D963A6" w:rsidRPr="000E6442" w:rsidRDefault="00D963A6" w:rsidP="003A348E">
            <w:pPr>
              <w:pStyle w:val="Tabletext"/>
              <w:keepLines/>
              <w:rPr>
                <w:szCs w:val="19"/>
              </w:rPr>
            </w:pPr>
            <w:r w:rsidRPr="000E6442">
              <w:rPr>
                <w:szCs w:val="19"/>
              </w:rPr>
              <w:t>Partial remission (PR): All hematologic values for CR but with a decrease of ≥ 50% in % blasts to 5% to 25% in BM aspirate.</w:t>
            </w:r>
          </w:p>
          <w:p w14:paraId="0FD061AC" w14:textId="657607E3" w:rsidR="00D963A6" w:rsidRPr="000E6442" w:rsidRDefault="00D963A6" w:rsidP="003A348E">
            <w:pPr>
              <w:pStyle w:val="Tabletext"/>
              <w:keepLines/>
              <w:rPr>
                <w:szCs w:val="19"/>
              </w:rPr>
            </w:pPr>
            <w:bookmarkStart w:id="48" w:name="_Hlk99111918"/>
            <w:r w:rsidRPr="000E6442">
              <w:rPr>
                <w:szCs w:val="19"/>
              </w:rPr>
              <w:t>Morphologic Leuk</w:t>
            </w:r>
            <w:r w:rsidR="00B34CB3">
              <w:rPr>
                <w:szCs w:val="19"/>
              </w:rPr>
              <w:t>a</w:t>
            </w:r>
            <w:r w:rsidRPr="000E6442">
              <w:rPr>
                <w:szCs w:val="19"/>
              </w:rPr>
              <w:t xml:space="preserve">emia-free state </w:t>
            </w:r>
            <w:bookmarkEnd w:id="48"/>
            <w:r w:rsidRPr="000E6442">
              <w:rPr>
                <w:szCs w:val="19"/>
              </w:rPr>
              <w:t>(MLFS): &lt; 5% blasts in BM aspirate sample with marrow spicules and ≥ 200 nucleated cells; no circulating blasts and extramedullary disease without peripheral blood count recovery that meet thresholds for either CR or CRi.</w:t>
            </w:r>
          </w:p>
          <w:p w14:paraId="5220CD18" w14:textId="7C198240" w:rsidR="00D963A6" w:rsidRPr="000E6442" w:rsidRDefault="00D963A6" w:rsidP="003A348E">
            <w:pPr>
              <w:pStyle w:val="Tabletext"/>
              <w:keepLines/>
              <w:rPr>
                <w:szCs w:val="19"/>
              </w:rPr>
            </w:pPr>
            <w:r w:rsidRPr="000E6442">
              <w:rPr>
                <w:szCs w:val="19"/>
              </w:rPr>
              <w:t>Resistant disease (RD): Failure to achieve CR, CRi, PR, or MLFS; only for patients surviving ≥ 7 days after completion of Cycle 1, with evidence of persistent leuk</w:t>
            </w:r>
            <w:r w:rsidR="00B34CB3">
              <w:rPr>
                <w:szCs w:val="19"/>
              </w:rPr>
              <w:t>a</w:t>
            </w:r>
            <w:r w:rsidRPr="000E6442">
              <w:rPr>
                <w:szCs w:val="19"/>
              </w:rPr>
              <w:t>emia by blood and/or bone marrow examination.</w:t>
            </w:r>
          </w:p>
          <w:p w14:paraId="09BF607E" w14:textId="081EE5E9" w:rsidR="00D963A6" w:rsidRPr="000E6442" w:rsidRDefault="00D963A6" w:rsidP="003A348E">
            <w:pPr>
              <w:pStyle w:val="Tabletext"/>
              <w:keepLines/>
              <w:rPr>
                <w:szCs w:val="19"/>
              </w:rPr>
            </w:pPr>
            <w:r w:rsidRPr="000E6442">
              <w:rPr>
                <w:szCs w:val="19"/>
              </w:rPr>
              <w:t xml:space="preserve">Morphologic relapse (MR): Reappearance of ≥ 5% blasts after CR/CRi in peripheral blood or </w:t>
            </w:r>
            <w:proofErr w:type="gramStart"/>
            <w:r w:rsidRPr="000E6442">
              <w:rPr>
                <w:szCs w:val="19"/>
              </w:rPr>
              <w:t>BM, or</w:t>
            </w:r>
            <w:proofErr w:type="gramEnd"/>
            <w:r w:rsidRPr="000E6442">
              <w:rPr>
                <w:szCs w:val="19"/>
              </w:rPr>
              <w:t xml:space="preserve"> develop extramedullary disease.</w:t>
            </w:r>
          </w:p>
          <w:p w14:paraId="36938CA3" w14:textId="0DAD8045" w:rsidR="00D963A6" w:rsidRPr="000E6442" w:rsidRDefault="00D963A6" w:rsidP="003A348E">
            <w:pPr>
              <w:pStyle w:val="Tabletext"/>
              <w:keepLines/>
              <w:rPr>
                <w:szCs w:val="19"/>
              </w:rPr>
            </w:pPr>
            <w:r w:rsidRPr="000E6442">
              <w:rPr>
                <w:szCs w:val="19"/>
              </w:rPr>
              <w:t xml:space="preserve">Progressive Disease (PD): 50% increase in marrow blasts &gt; baseline (minimum 15% increase required if &lt; 30% blasts </w:t>
            </w:r>
            <w:r w:rsidR="00C7639C">
              <w:rPr>
                <w:szCs w:val="19"/>
              </w:rPr>
              <w:t>at Baseline</w:t>
            </w:r>
            <w:r w:rsidRPr="000E6442">
              <w:rPr>
                <w:szCs w:val="19"/>
              </w:rPr>
              <w:t>); or persistent marrow blast % &gt; 70% over ≥ 3 months; without at least a 100% improvement in ANC to 500/µL, and/or platelet count to &gt; 50 × 10</w:t>
            </w:r>
            <w:r w:rsidRPr="00306CC0">
              <w:rPr>
                <w:szCs w:val="19"/>
                <w:vertAlign w:val="superscript"/>
              </w:rPr>
              <w:t>9</w:t>
            </w:r>
            <w:r w:rsidRPr="000E6442">
              <w:rPr>
                <w:szCs w:val="19"/>
              </w:rPr>
              <w:t>/L (not transfused); OR 50% increase in peripheral blasts (WBC × % blasts) to &gt; 25 × 10</w:t>
            </w:r>
            <w:r w:rsidRPr="00306CC0">
              <w:rPr>
                <w:szCs w:val="19"/>
                <w:vertAlign w:val="superscript"/>
              </w:rPr>
              <w:t>9</w:t>
            </w:r>
            <w:r w:rsidRPr="000E6442">
              <w:rPr>
                <w:szCs w:val="19"/>
              </w:rPr>
              <w:t>/L (&gt; 25,000/µL); OR New extramedullary disease</w:t>
            </w:r>
          </w:p>
          <w:p w14:paraId="55872C6B" w14:textId="77777777" w:rsidR="00D963A6" w:rsidRPr="000E6442" w:rsidRDefault="00D963A6" w:rsidP="003A348E">
            <w:pPr>
              <w:pStyle w:val="Tabletext"/>
              <w:keepLines/>
              <w:rPr>
                <w:szCs w:val="19"/>
              </w:rPr>
            </w:pPr>
            <w:r w:rsidRPr="000E6442">
              <w:rPr>
                <w:szCs w:val="19"/>
              </w:rPr>
              <w:t xml:space="preserve">All patients also assessed for RBC and platelet transfusion independence and </w:t>
            </w:r>
            <w:proofErr w:type="spellStart"/>
            <w:r w:rsidRPr="000E6442">
              <w:rPr>
                <w:szCs w:val="19"/>
              </w:rPr>
              <w:t>CRh</w:t>
            </w:r>
            <w:proofErr w:type="spellEnd"/>
            <w:r w:rsidRPr="000E6442">
              <w:rPr>
                <w:szCs w:val="19"/>
              </w:rPr>
              <w:t xml:space="preserve"> </w:t>
            </w:r>
          </w:p>
        </w:tc>
      </w:tr>
      <w:tr w:rsidR="00D963A6" w:rsidRPr="000E6442" w14:paraId="09BFB21B" w14:textId="77777777" w:rsidTr="00C20E0F">
        <w:tblPrEx>
          <w:tblCellMar>
            <w:left w:w="108" w:type="dxa"/>
            <w:right w:w="108" w:type="dxa"/>
          </w:tblCellMar>
        </w:tblPrEx>
        <w:tc>
          <w:tcPr>
            <w:tcW w:w="5000" w:type="pct"/>
            <w:gridSpan w:val="2"/>
          </w:tcPr>
          <w:p w14:paraId="216062EC" w14:textId="77777777" w:rsidR="00D963A6" w:rsidRPr="000E6442" w:rsidRDefault="00D963A6" w:rsidP="003A348E">
            <w:pPr>
              <w:pStyle w:val="Tabletext"/>
              <w:keepLines/>
              <w:rPr>
                <w:b/>
                <w:bCs/>
                <w:color w:val="12220E" w:themeColor="accent6" w:themeShade="80"/>
                <w:szCs w:val="19"/>
                <w:lang w:val="en-US"/>
              </w:rPr>
            </w:pPr>
            <w:r w:rsidRPr="000E6442">
              <w:rPr>
                <w:b/>
                <w:bCs/>
                <w:szCs w:val="19"/>
                <w:lang w:val="en-US"/>
              </w:rPr>
              <w:lastRenderedPageBreak/>
              <w:t>Statistics</w:t>
            </w:r>
          </w:p>
        </w:tc>
      </w:tr>
      <w:tr w:rsidR="00D963A6" w:rsidRPr="000E6442" w14:paraId="2448C28D" w14:textId="77777777" w:rsidTr="00C20E0F">
        <w:tblPrEx>
          <w:tblCellMar>
            <w:left w:w="108" w:type="dxa"/>
            <w:right w:w="108" w:type="dxa"/>
          </w:tblCellMar>
        </w:tblPrEx>
        <w:tc>
          <w:tcPr>
            <w:tcW w:w="5000" w:type="pct"/>
            <w:gridSpan w:val="2"/>
          </w:tcPr>
          <w:p w14:paraId="6B50E636" w14:textId="74419F26" w:rsidR="00D963A6" w:rsidRPr="000E6442" w:rsidRDefault="00D963A6" w:rsidP="003A348E">
            <w:pPr>
              <w:pStyle w:val="Tabletext"/>
              <w:keepLines/>
              <w:rPr>
                <w:szCs w:val="19"/>
                <w:lang w:val="en-US"/>
              </w:rPr>
            </w:pPr>
            <w:proofErr w:type="spellStart"/>
            <w:r w:rsidRPr="000E6442">
              <w:rPr>
                <w:szCs w:val="19"/>
                <w:lang w:val="en-US"/>
              </w:rPr>
              <w:t>Randomised</w:t>
            </w:r>
            <w:proofErr w:type="spellEnd"/>
            <w:r w:rsidRPr="000E6442">
              <w:rPr>
                <w:szCs w:val="19"/>
                <w:lang w:val="en-US"/>
              </w:rPr>
              <w:t xml:space="preserve"> 2:1, stratified by age (18 -≤75, 75), cytogenetics (intermediate risk, poor risk) and region (US, EU, China, Japan, ROW) </w:t>
            </w:r>
          </w:p>
          <w:p w14:paraId="199C9650" w14:textId="77777777" w:rsidR="00D963A6" w:rsidRPr="000E6442" w:rsidRDefault="00D963A6" w:rsidP="003A348E">
            <w:pPr>
              <w:pStyle w:val="Tabletext"/>
              <w:keepLines/>
              <w:rPr>
                <w:b/>
                <w:bCs/>
                <w:szCs w:val="19"/>
                <w:lang w:val="en-US"/>
              </w:rPr>
            </w:pPr>
            <w:r w:rsidRPr="000E6442">
              <w:rPr>
                <w:b/>
                <w:bCs/>
                <w:szCs w:val="19"/>
                <w:lang w:val="en-US"/>
              </w:rPr>
              <w:t xml:space="preserve">Primary endpoint: </w:t>
            </w:r>
          </w:p>
          <w:p w14:paraId="3EFD2964" w14:textId="33C67853" w:rsidR="00D963A6" w:rsidRPr="000E6442" w:rsidRDefault="00D963A6" w:rsidP="003A348E">
            <w:pPr>
              <w:pStyle w:val="Tabletext"/>
              <w:keepLines/>
              <w:rPr>
                <w:szCs w:val="19"/>
                <w:lang w:val="en-US"/>
              </w:rPr>
            </w:pPr>
            <w:r w:rsidRPr="000E6442">
              <w:rPr>
                <w:szCs w:val="19"/>
                <w:lang w:val="en-US"/>
              </w:rPr>
              <w:t>The hierarchy of testing and alpha-spending boundary differed for US and the EU.</w:t>
            </w:r>
          </w:p>
          <w:p w14:paraId="072107C4" w14:textId="38D0277F" w:rsidR="00D963A6" w:rsidRPr="000E6442" w:rsidRDefault="00D963A6" w:rsidP="003A348E">
            <w:pPr>
              <w:pStyle w:val="Tabletext"/>
              <w:keepLines/>
              <w:rPr>
                <w:szCs w:val="19"/>
                <w:lang w:val="en-US"/>
              </w:rPr>
            </w:pPr>
            <w:r w:rsidRPr="000E6442">
              <w:rPr>
                <w:szCs w:val="19"/>
                <w:lang w:val="en-US"/>
              </w:rPr>
              <w:t xml:space="preserve">In US had OS as the primary endpoint, in Japan and the EU a dual primary endpoint of </w:t>
            </w:r>
            <w:proofErr w:type="spellStart"/>
            <w:r w:rsidRPr="000E6442">
              <w:rPr>
                <w:szCs w:val="19"/>
                <w:lang w:val="en-US"/>
              </w:rPr>
              <w:t>CR+Cri</w:t>
            </w:r>
            <w:proofErr w:type="spellEnd"/>
            <w:r w:rsidRPr="000E6442">
              <w:rPr>
                <w:szCs w:val="19"/>
                <w:lang w:val="en-US"/>
              </w:rPr>
              <w:t xml:space="preserve"> (INV) and OS. Assuming a true HR of 0.7 and an interim efficacy analysis at 75% of OS events with Lan-</w:t>
            </w:r>
            <w:proofErr w:type="spellStart"/>
            <w:r w:rsidRPr="000E6442">
              <w:rPr>
                <w:szCs w:val="19"/>
                <w:lang w:val="en-US"/>
              </w:rPr>
              <w:t>DeMets</w:t>
            </w:r>
            <w:proofErr w:type="spellEnd"/>
            <w:r w:rsidRPr="000E6442">
              <w:rPr>
                <w:szCs w:val="19"/>
                <w:lang w:val="en-US"/>
              </w:rPr>
              <w:t xml:space="preserve"> alpha spending function with O’Brien-Fleming boundary, a total of 360 OS events were required for the study to have 88.6% power to detect statistically significant improvement in OS for the VEN + AZA arm at 2-sided alpha of 0.05. IA2 for OS planned for when 270 OS events (75% of OS events) occurred.</w:t>
            </w:r>
          </w:p>
          <w:p w14:paraId="6B2C79C7" w14:textId="171D0CBC" w:rsidR="00D963A6" w:rsidRPr="000E6442" w:rsidRDefault="00D963A6" w:rsidP="003A348E">
            <w:pPr>
              <w:pStyle w:val="Tabletext"/>
              <w:keepLines/>
              <w:rPr>
                <w:szCs w:val="19"/>
                <w:lang w:val="en-US"/>
              </w:rPr>
            </w:pPr>
            <w:r w:rsidRPr="000E6442">
              <w:rPr>
                <w:szCs w:val="19"/>
                <w:lang w:val="en-US"/>
              </w:rPr>
              <w:t xml:space="preserve">For EU reference countries IA1 was conducted for CR + CRi (Primary Analysis for CR + CRi endpoint) at 2-sided alpha = 0.01 after 6 months follow up. Two patients were </w:t>
            </w:r>
            <w:proofErr w:type="spellStart"/>
            <w:r w:rsidRPr="000E6442">
              <w:rPr>
                <w:szCs w:val="19"/>
                <w:lang w:val="en-US"/>
              </w:rPr>
              <w:t>randomi</w:t>
            </w:r>
            <w:r w:rsidR="00C7639C">
              <w:rPr>
                <w:szCs w:val="19"/>
                <w:lang w:val="en-US"/>
              </w:rPr>
              <w:t>s</w:t>
            </w:r>
            <w:r w:rsidRPr="000E6442">
              <w:rPr>
                <w:szCs w:val="19"/>
                <w:lang w:val="en-US"/>
              </w:rPr>
              <w:t>ed</w:t>
            </w:r>
            <w:proofErr w:type="spellEnd"/>
            <w:r w:rsidRPr="000E6442">
              <w:rPr>
                <w:szCs w:val="19"/>
                <w:lang w:val="en-US"/>
              </w:rPr>
              <w:t xml:space="preserve"> on the same date 6 months prior to the data cut-off date which resulted in 226 patients included in IA1 instead of the preplanned 225 patients. IA2 was conducted for OS at 2-sided alpha = 0.02 when 270 OS events (75% of 360 total OS events) were observed. The study continued in a blinded fashion until the IDMC made the recommendation to unblind after IA2.</w:t>
            </w:r>
          </w:p>
        </w:tc>
      </w:tr>
      <w:tr w:rsidR="00D963A6" w:rsidRPr="000E6442" w14:paraId="72DE85AC" w14:textId="77777777" w:rsidTr="00C20E0F">
        <w:tblPrEx>
          <w:tblCellMar>
            <w:left w:w="108" w:type="dxa"/>
            <w:right w:w="108" w:type="dxa"/>
          </w:tblCellMar>
        </w:tblPrEx>
        <w:tc>
          <w:tcPr>
            <w:tcW w:w="5000" w:type="pct"/>
            <w:gridSpan w:val="2"/>
          </w:tcPr>
          <w:p w14:paraId="165C6D6C" w14:textId="77777777" w:rsidR="00D963A6" w:rsidRPr="000E6442" w:rsidRDefault="00D963A6" w:rsidP="003A348E">
            <w:pPr>
              <w:pStyle w:val="Tabletext"/>
              <w:keepLines/>
              <w:rPr>
                <w:b/>
                <w:bCs/>
                <w:color w:val="12220E" w:themeColor="accent6" w:themeShade="80"/>
                <w:szCs w:val="19"/>
              </w:rPr>
            </w:pPr>
            <w:r w:rsidRPr="000E6442">
              <w:rPr>
                <w:b/>
                <w:bCs/>
                <w:szCs w:val="19"/>
              </w:rPr>
              <w:t>Protocol Amendments and Deviations</w:t>
            </w:r>
          </w:p>
        </w:tc>
      </w:tr>
      <w:tr w:rsidR="00D963A6" w:rsidRPr="000E6442" w14:paraId="2137F3E4" w14:textId="77777777" w:rsidTr="00C20E0F">
        <w:tblPrEx>
          <w:tblCellMar>
            <w:left w:w="108" w:type="dxa"/>
            <w:right w:w="108" w:type="dxa"/>
          </w:tblCellMar>
        </w:tblPrEx>
        <w:tc>
          <w:tcPr>
            <w:tcW w:w="5000" w:type="pct"/>
            <w:gridSpan w:val="2"/>
          </w:tcPr>
          <w:p w14:paraId="5DBB1596" w14:textId="77777777" w:rsidR="00D963A6" w:rsidRPr="000E6442" w:rsidRDefault="00D963A6" w:rsidP="003A348E">
            <w:pPr>
              <w:pStyle w:val="Tabletext"/>
              <w:keepLines/>
              <w:rPr>
                <w:szCs w:val="19"/>
              </w:rPr>
            </w:pPr>
            <w:r w:rsidRPr="000E6442">
              <w:rPr>
                <w:szCs w:val="19"/>
              </w:rPr>
              <w:t>Major amendments:</w:t>
            </w:r>
          </w:p>
          <w:p w14:paraId="6D38104E" w14:textId="77777777" w:rsidR="00D963A6" w:rsidRPr="000E6442" w:rsidRDefault="00D963A6" w:rsidP="003A348E">
            <w:pPr>
              <w:pStyle w:val="Tabletext"/>
              <w:keepLines/>
              <w:rPr>
                <w:szCs w:val="19"/>
                <w:lang w:val="en-US"/>
              </w:rPr>
            </w:pPr>
            <w:r w:rsidRPr="000E6442">
              <w:rPr>
                <w:szCs w:val="19"/>
                <w:lang w:val="en-US"/>
              </w:rPr>
              <w:t xml:space="preserve">Seven versions of the study protocol and SAP occurred prior to unblinding of the study. Key changes: </w:t>
            </w:r>
          </w:p>
          <w:p w14:paraId="1AD660FF" w14:textId="77777777" w:rsidR="00D963A6" w:rsidRPr="000E6442" w:rsidRDefault="00D963A6" w:rsidP="003A348E">
            <w:pPr>
              <w:pStyle w:val="Tabletext"/>
              <w:keepLines/>
              <w:rPr>
                <w:szCs w:val="19"/>
                <w:lang w:val="en-US"/>
              </w:rPr>
            </w:pPr>
            <w:r w:rsidRPr="000E6442">
              <w:rPr>
                <w:szCs w:val="19"/>
                <w:lang w:val="en-US"/>
              </w:rPr>
              <w:t xml:space="preserve">Lower the age limit for study eligibility and </w:t>
            </w:r>
            <w:proofErr w:type="spellStart"/>
            <w:r w:rsidRPr="000E6442">
              <w:rPr>
                <w:szCs w:val="19"/>
                <w:lang w:val="en-US"/>
              </w:rPr>
              <w:t>enrol</w:t>
            </w:r>
            <w:proofErr w:type="spellEnd"/>
            <w:r w:rsidRPr="000E6442">
              <w:rPr>
                <w:szCs w:val="19"/>
                <w:lang w:val="en-US"/>
              </w:rPr>
              <w:t xml:space="preserve"> AML patients ≥ 18 years of age instead of ≥ 60 years who are ineligible for standard induction therapies due to comorbidities</w:t>
            </w:r>
          </w:p>
          <w:p w14:paraId="2D53D667" w14:textId="45DE7F54" w:rsidR="00D963A6" w:rsidRPr="000E6442" w:rsidRDefault="00D963A6" w:rsidP="003A348E">
            <w:pPr>
              <w:pStyle w:val="Tabletext"/>
              <w:keepLines/>
              <w:rPr>
                <w:szCs w:val="19"/>
                <w:lang w:val="en-US"/>
              </w:rPr>
            </w:pPr>
            <w:r w:rsidRPr="000E6442">
              <w:rPr>
                <w:szCs w:val="19"/>
                <w:lang w:val="en-US"/>
              </w:rPr>
              <w:lastRenderedPageBreak/>
              <w:t>Increase number of OS events prior to analysis increased to ensure adequate power for the OS endpoint (from 80% to 86.7% for dual endpoints with 2-sided alpha of 0.04, or 88.6% for single primary endpoint with 2-sided alpha of 0.05).</w:t>
            </w:r>
          </w:p>
          <w:p w14:paraId="4A947CB6" w14:textId="41129092" w:rsidR="00D963A6" w:rsidRPr="000E6442" w:rsidRDefault="00D963A6" w:rsidP="003A348E">
            <w:pPr>
              <w:pStyle w:val="Tabletext"/>
              <w:keepLines/>
              <w:rPr>
                <w:szCs w:val="19"/>
                <w:lang w:val="en-US"/>
              </w:rPr>
            </w:pPr>
            <w:r w:rsidRPr="000E6442">
              <w:rPr>
                <w:szCs w:val="19"/>
                <w:lang w:val="en-US"/>
              </w:rPr>
              <w:t>CR changed to parameters, above</w:t>
            </w:r>
          </w:p>
          <w:p w14:paraId="3D81376C" w14:textId="77777777" w:rsidR="00D963A6" w:rsidRPr="000E6442" w:rsidRDefault="00D963A6" w:rsidP="003A348E">
            <w:pPr>
              <w:pStyle w:val="Tabletext"/>
              <w:keepLines/>
              <w:rPr>
                <w:color w:val="12220E" w:themeColor="accent6" w:themeShade="80"/>
                <w:szCs w:val="19"/>
                <w:lang w:val="en-US"/>
              </w:rPr>
            </w:pPr>
            <w:r w:rsidRPr="000E6442">
              <w:rPr>
                <w:b/>
                <w:bCs/>
                <w:szCs w:val="19"/>
                <w:lang w:val="en-US"/>
              </w:rPr>
              <w:t>Important Protocol Deviations</w:t>
            </w:r>
            <w:r w:rsidRPr="000E6442">
              <w:rPr>
                <w:szCs w:val="19"/>
                <w:lang w:val="en-US"/>
              </w:rPr>
              <w:t>: Incorrect dosing of study treatment in patients taking concomitant medication, incorrect dose escalation back to target after dose adjustment or incorrect dose modifications and were noted. These were not considered by the sponsor to have an impact on data integrity, or to have impacted the clinical benefit or safety of the treatment for the individual patients.</w:t>
            </w:r>
          </w:p>
        </w:tc>
      </w:tr>
    </w:tbl>
    <w:p w14:paraId="324A0EB6" w14:textId="5B0E1C38" w:rsidR="000E22E5" w:rsidRDefault="00B25115" w:rsidP="00B862D7">
      <w:pPr>
        <w:pStyle w:val="TableDescription"/>
      </w:pPr>
      <w:r w:rsidRPr="00B862D7">
        <w:lastRenderedPageBreak/>
        <w:t>Abbreviation</w:t>
      </w:r>
      <w:r w:rsidR="000E22E5">
        <w:t xml:space="preserve">: </w:t>
      </w:r>
      <w:r w:rsidR="000E22E5" w:rsidRPr="000E22E5">
        <w:t>CSR = clinical study report; PBO = placebo; AZ</w:t>
      </w:r>
      <w:r w:rsidR="000E22E5">
        <w:t>A</w:t>
      </w:r>
      <w:r w:rsidR="000E22E5" w:rsidRPr="000E22E5">
        <w:t xml:space="preserve"> = </w:t>
      </w:r>
      <w:proofErr w:type="spellStart"/>
      <w:r w:rsidR="000E22E5" w:rsidRPr="000E22E5">
        <w:t>azac</w:t>
      </w:r>
      <w:r w:rsidR="002A4E04">
        <w:t>i</w:t>
      </w:r>
      <w:r w:rsidR="000E22E5" w:rsidRPr="000E22E5">
        <w:t>tidine</w:t>
      </w:r>
      <w:proofErr w:type="spellEnd"/>
      <w:r w:rsidR="000E22E5" w:rsidRPr="000E22E5">
        <w:t xml:space="preserve">; VEN = </w:t>
      </w:r>
      <w:proofErr w:type="spellStart"/>
      <w:r w:rsidR="000E22E5" w:rsidRPr="000E22E5">
        <w:t>venetoclax</w:t>
      </w:r>
      <w:proofErr w:type="spellEnd"/>
      <w:r w:rsidR="000E22E5" w:rsidRPr="000E22E5">
        <w:t xml:space="preserve">; BM = bone marrow; ANC = absolute neutrophil count; CR = complete remission; CRi = Complete remission with incomplete blood count recovery; ECOG = Eastern Cooperative Oncology Group; BCR-ABL1 = B-cell receptor-tyrosine-protein kinase ABL1; NCCN = National Comprehensive Cancer Network; CNS = central nervous system; HMA = hypomethylating agent; EU = European Union; INV = investigator; IWG = international working group; US = United States of America; MDR = minimal residual disease; IDH1 = isocitrate dehydrogenase 1; IDH2 = isocitrate dehydrogenase 2; FLT3 = </w:t>
      </w:r>
      <w:proofErr w:type="spellStart"/>
      <w:r w:rsidR="000E22E5" w:rsidRPr="000E22E5">
        <w:t>fms</w:t>
      </w:r>
      <w:proofErr w:type="spellEnd"/>
      <w:r w:rsidR="000E22E5" w:rsidRPr="000E22E5">
        <w:t xml:space="preserve">-like tyrosine kinase 3; EFS = event free survival; RBC = red blood cell; </w:t>
      </w:r>
      <w:proofErr w:type="spellStart"/>
      <w:r w:rsidR="000E22E5" w:rsidRPr="000E22E5">
        <w:t>CRh</w:t>
      </w:r>
      <w:proofErr w:type="spellEnd"/>
      <w:r w:rsidR="000E22E5" w:rsidRPr="000E22E5">
        <w:t xml:space="preserve"> = complete remission with partial haematologic recovery; PR = partial remission; MLFS= morphologic leuk</w:t>
      </w:r>
      <w:r w:rsidR="00B34CB3">
        <w:t>a</w:t>
      </w:r>
      <w:r w:rsidR="000E22E5" w:rsidRPr="000E22E5">
        <w:t>emia-free state; RD = resistant disease; MR = morphologic relapse; PD = progressive disease; OS = overall survival; HR = hazard ratio.</w:t>
      </w:r>
    </w:p>
    <w:p w14:paraId="732893AD" w14:textId="053300DB" w:rsidR="003A348E" w:rsidRDefault="003A348E" w:rsidP="00264BBA">
      <w:pPr>
        <w:pStyle w:val="Heading6"/>
      </w:pPr>
      <w:r>
        <w:t>Demograph</w:t>
      </w:r>
      <w:r w:rsidR="00EC3338">
        <w:t>ics and b</w:t>
      </w:r>
      <w:r>
        <w:t>aseline characteristics</w:t>
      </w:r>
    </w:p>
    <w:p w14:paraId="144DED71" w14:textId="5B46E60A" w:rsidR="00D963A6" w:rsidRDefault="003A348E" w:rsidP="003A348E">
      <w:r>
        <w:t>Patient demographics and baseline characteristics are summarised in the tables below. Most patients were male, with a median age of 76 years.</w:t>
      </w:r>
    </w:p>
    <w:p w14:paraId="49F3E36D" w14:textId="06D3C579" w:rsidR="003A348E" w:rsidRDefault="003A348E" w:rsidP="003A348E">
      <w:pPr>
        <w:pStyle w:val="TableTitle"/>
      </w:pPr>
      <w:r w:rsidRPr="003A348E">
        <w:t xml:space="preserve">Table </w:t>
      </w:r>
      <w:fldSimple w:instr=" SEQ Table \* ARABIC ">
        <w:r w:rsidR="007E2134">
          <w:rPr>
            <w:noProof/>
          </w:rPr>
          <w:t>4</w:t>
        </w:r>
      </w:fldSimple>
      <w:r>
        <w:t>: VIALE-A trial Study baseline demographics</w:t>
      </w:r>
    </w:p>
    <w:tbl>
      <w:tblPr>
        <w:tblStyle w:val="TableTGAblue"/>
        <w:tblW w:w="4672" w:type="pct"/>
        <w:tblLook w:val="04A0" w:firstRow="1" w:lastRow="0" w:firstColumn="1" w:lastColumn="0" w:noHBand="0" w:noVBand="1"/>
      </w:tblPr>
      <w:tblGrid>
        <w:gridCol w:w="2404"/>
        <w:gridCol w:w="2411"/>
        <w:gridCol w:w="3122"/>
      </w:tblGrid>
      <w:tr w:rsidR="00FC6981" w:rsidRPr="00FC6981" w14:paraId="3634D92B" w14:textId="77777777" w:rsidTr="00C20E0F">
        <w:trPr>
          <w:cnfStyle w:val="100000000000" w:firstRow="1" w:lastRow="0" w:firstColumn="0" w:lastColumn="0" w:oddVBand="0" w:evenVBand="0" w:oddHBand="0" w:evenHBand="0" w:firstRowFirstColumn="0" w:firstRowLastColumn="0" w:lastRowFirstColumn="0" w:lastRowLastColumn="0"/>
          <w:trHeight w:val="489"/>
        </w:trPr>
        <w:tc>
          <w:tcPr>
            <w:tcW w:w="1514" w:type="pct"/>
            <w:tcBorders>
              <w:top w:val="single" w:sz="4" w:space="0" w:color="auto"/>
              <w:left w:val="single" w:sz="4" w:space="0" w:color="auto"/>
              <w:bottom w:val="single" w:sz="4" w:space="0" w:color="auto"/>
              <w:right w:val="single" w:sz="4" w:space="0" w:color="auto"/>
            </w:tcBorders>
          </w:tcPr>
          <w:p w14:paraId="737B65A5" w14:textId="36009E19" w:rsidR="003A348E" w:rsidRPr="00B862D7" w:rsidRDefault="003A348E" w:rsidP="00B862D7">
            <w:pPr>
              <w:pStyle w:val="Tabletext"/>
              <w:jc w:val="center"/>
              <w:rPr>
                <w:b w:val="0"/>
              </w:rPr>
            </w:pPr>
            <w:r w:rsidRPr="00C20E0F">
              <w:t>Demographic</w:t>
            </w:r>
            <w:r w:rsidR="00B862D7">
              <w:rPr>
                <w:b w:val="0"/>
              </w:rPr>
              <w:t xml:space="preserve"> </w:t>
            </w:r>
            <w:r w:rsidR="00B862D7">
              <w:t>p</w:t>
            </w:r>
            <w:r w:rsidRPr="00C20E0F">
              <w:t>arameters</w:t>
            </w:r>
            <w:r w:rsidR="00B862D7">
              <w:rPr>
                <w:b w:val="0"/>
              </w:rPr>
              <w:br/>
            </w:r>
            <w:r w:rsidRPr="00C20E0F">
              <w:t>n</w:t>
            </w:r>
            <w:r w:rsidRPr="00C20E0F">
              <w:rPr>
                <w:spacing w:val="1"/>
              </w:rPr>
              <w:t xml:space="preserve"> </w:t>
            </w:r>
            <w:r w:rsidRPr="00C20E0F">
              <w:t>(%)</w:t>
            </w:r>
          </w:p>
        </w:tc>
        <w:tc>
          <w:tcPr>
            <w:tcW w:w="1519" w:type="pct"/>
            <w:tcBorders>
              <w:top w:val="single" w:sz="4" w:space="0" w:color="auto"/>
              <w:left w:val="single" w:sz="4" w:space="0" w:color="auto"/>
              <w:bottom w:val="single" w:sz="4" w:space="0" w:color="auto"/>
              <w:right w:val="single" w:sz="4" w:space="0" w:color="auto"/>
            </w:tcBorders>
          </w:tcPr>
          <w:p w14:paraId="5FF76359" w14:textId="178598D5" w:rsidR="003A348E" w:rsidRPr="00B862D7" w:rsidRDefault="00FC6981" w:rsidP="00B862D7">
            <w:pPr>
              <w:pStyle w:val="Tabletext"/>
              <w:jc w:val="center"/>
              <w:rPr>
                <w:b w:val="0"/>
              </w:rPr>
            </w:pPr>
            <w:r w:rsidRPr="00C20E0F">
              <w:rPr>
                <w:spacing w:val="-8"/>
              </w:rPr>
              <w:t>Placebo</w:t>
            </w:r>
            <w:r w:rsidR="003A348E" w:rsidRPr="00C20E0F">
              <w:rPr>
                <w:spacing w:val="-8"/>
              </w:rPr>
              <w:t xml:space="preserve"> </w:t>
            </w:r>
            <w:r w:rsidR="003A348E" w:rsidRPr="00C20E0F">
              <w:t>+</w:t>
            </w:r>
            <w:r w:rsidR="003A348E" w:rsidRPr="00C20E0F">
              <w:rPr>
                <w:spacing w:val="-9"/>
              </w:rPr>
              <w:t xml:space="preserve"> </w:t>
            </w:r>
            <w:proofErr w:type="spellStart"/>
            <w:r w:rsidRPr="00C20E0F">
              <w:t>azacitidine</w:t>
            </w:r>
            <w:proofErr w:type="spellEnd"/>
            <w:r w:rsidR="00B862D7">
              <w:t xml:space="preserve"> </w:t>
            </w:r>
            <w:r w:rsidR="003A348E" w:rsidRPr="00C20E0F">
              <w:t>(N</w:t>
            </w:r>
            <w:r w:rsidR="003A348E" w:rsidRPr="00C20E0F">
              <w:rPr>
                <w:spacing w:val="-1"/>
              </w:rPr>
              <w:t xml:space="preserve"> </w:t>
            </w:r>
            <w:r w:rsidR="003A348E" w:rsidRPr="00C20E0F">
              <w:t>=</w:t>
            </w:r>
            <w:r w:rsidR="003A348E" w:rsidRPr="00C20E0F">
              <w:rPr>
                <w:spacing w:val="-3"/>
              </w:rPr>
              <w:t xml:space="preserve"> </w:t>
            </w:r>
            <w:r w:rsidR="003A348E" w:rsidRPr="00C20E0F">
              <w:t>145)</w:t>
            </w:r>
          </w:p>
        </w:tc>
        <w:tc>
          <w:tcPr>
            <w:tcW w:w="1967" w:type="pct"/>
            <w:tcBorders>
              <w:top w:val="single" w:sz="4" w:space="0" w:color="auto"/>
              <w:left w:val="single" w:sz="4" w:space="0" w:color="auto"/>
              <w:bottom w:val="single" w:sz="4" w:space="0" w:color="auto"/>
              <w:right w:val="single" w:sz="4" w:space="0" w:color="auto"/>
            </w:tcBorders>
          </w:tcPr>
          <w:p w14:paraId="16114FC2" w14:textId="77777777" w:rsidR="00B862D7" w:rsidRDefault="003A348E" w:rsidP="00B862D7">
            <w:pPr>
              <w:pStyle w:val="Tabletext"/>
              <w:jc w:val="center"/>
            </w:pPr>
            <w:proofErr w:type="spellStart"/>
            <w:r w:rsidRPr="00C20E0F">
              <w:t>V</w:t>
            </w:r>
            <w:r w:rsidR="00FC6981" w:rsidRPr="00C20E0F">
              <w:t>enetoclax</w:t>
            </w:r>
            <w:proofErr w:type="spellEnd"/>
            <w:r w:rsidR="00FC6981" w:rsidRPr="00C20E0F">
              <w:t xml:space="preserve"> </w:t>
            </w:r>
            <w:r w:rsidRPr="00C20E0F">
              <w:t>400</w:t>
            </w:r>
            <w:r w:rsidRPr="00C20E0F">
              <w:rPr>
                <w:spacing w:val="-2"/>
              </w:rPr>
              <w:t xml:space="preserve"> </w:t>
            </w:r>
            <w:r w:rsidRPr="00C20E0F">
              <w:t>mg</w:t>
            </w:r>
            <w:r w:rsidRPr="00C20E0F">
              <w:rPr>
                <w:spacing w:val="-3"/>
              </w:rPr>
              <w:t xml:space="preserve"> </w:t>
            </w:r>
            <w:r w:rsidR="00FC6981" w:rsidRPr="00C20E0F">
              <w:rPr>
                <w:spacing w:val="-3"/>
              </w:rPr>
              <w:t>once daily</w:t>
            </w:r>
            <w:r w:rsidRPr="00C20E0F">
              <w:rPr>
                <w:spacing w:val="-3"/>
              </w:rPr>
              <w:t xml:space="preserve"> </w:t>
            </w:r>
            <w:r w:rsidRPr="00C20E0F">
              <w:t>+</w:t>
            </w:r>
            <w:r w:rsidR="00FC6981" w:rsidRPr="00C20E0F">
              <w:t xml:space="preserve"> </w:t>
            </w:r>
            <w:proofErr w:type="spellStart"/>
            <w:r w:rsidR="00FC6981" w:rsidRPr="00C20E0F">
              <w:t>azacitidine</w:t>
            </w:r>
            <w:proofErr w:type="spellEnd"/>
          </w:p>
          <w:p w14:paraId="30AB49A4" w14:textId="21ECD76E" w:rsidR="003A348E" w:rsidRPr="00B862D7" w:rsidRDefault="003A348E" w:rsidP="00B862D7">
            <w:pPr>
              <w:pStyle w:val="Tabletext"/>
              <w:jc w:val="center"/>
              <w:rPr>
                <w:b w:val="0"/>
              </w:rPr>
            </w:pPr>
            <w:r w:rsidRPr="00C20E0F">
              <w:t>(N =</w:t>
            </w:r>
            <w:r w:rsidRPr="00C20E0F">
              <w:rPr>
                <w:spacing w:val="-1"/>
              </w:rPr>
              <w:t xml:space="preserve"> </w:t>
            </w:r>
            <w:r w:rsidRPr="00C20E0F">
              <w:t>286)</w:t>
            </w:r>
          </w:p>
        </w:tc>
      </w:tr>
      <w:tr w:rsidR="00FC6981" w:rsidRPr="00FC6981" w14:paraId="003BC1B5" w14:textId="77777777" w:rsidTr="00C20E0F">
        <w:trPr>
          <w:trHeight w:val="264"/>
        </w:trPr>
        <w:tc>
          <w:tcPr>
            <w:tcW w:w="5000" w:type="pct"/>
            <w:gridSpan w:val="3"/>
            <w:tcBorders>
              <w:top w:val="single" w:sz="4" w:space="0" w:color="auto"/>
            </w:tcBorders>
          </w:tcPr>
          <w:p w14:paraId="3D54FB5C" w14:textId="3EB328BC" w:rsidR="00FC6981" w:rsidRPr="00FC6981" w:rsidRDefault="00FC6981" w:rsidP="00FC6981">
            <w:pPr>
              <w:pStyle w:val="Tabletext"/>
              <w:rPr>
                <w:rFonts w:ascii="Times New Roman" w:hAnsi="Times New Roman"/>
              </w:rPr>
            </w:pPr>
            <w:r w:rsidRPr="00FC6981">
              <w:rPr>
                <w:bCs/>
              </w:rPr>
              <w:t>Gender</w:t>
            </w:r>
          </w:p>
        </w:tc>
      </w:tr>
      <w:tr w:rsidR="00FC6981" w:rsidRPr="00FC6981" w14:paraId="5DF12F11" w14:textId="77777777" w:rsidTr="00FC6981">
        <w:trPr>
          <w:trHeight w:val="243"/>
        </w:trPr>
        <w:tc>
          <w:tcPr>
            <w:tcW w:w="1514" w:type="pct"/>
          </w:tcPr>
          <w:p w14:paraId="0F82E299" w14:textId="77777777" w:rsidR="003A348E" w:rsidRPr="00FC6981" w:rsidRDefault="003A348E" w:rsidP="00FC6981">
            <w:pPr>
              <w:pStyle w:val="Tabletext"/>
            </w:pPr>
            <w:r w:rsidRPr="00FC6981">
              <w:t>Male</w:t>
            </w:r>
          </w:p>
        </w:tc>
        <w:tc>
          <w:tcPr>
            <w:tcW w:w="1519" w:type="pct"/>
          </w:tcPr>
          <w:p w14:paraId="2B3BB0A5" w14:textId="77777777" w:rsidR="003A348E" w:rsidRPr="00FC6981" w:rsidRDefault="003A348E" w:rsidP="00FC6981">
            <w:pPr>
              <w:pStyle w:val="Tabletext"/>
            </w:pPr>
            <w:r w:rsidRPr="00FC6981">
              <w:t>87</w:t>
            </w:r>
            <w:r w:rsidRPr="00FC6981">
              <w:rPr>
                <w:spacing w:val="-1"/>
              </w:rPr>
              <w:t xml:space="preserve"> </w:t>
            </w:r>
            <w:r w:rsidRPr="00FC6981">
              <w:t>(60.0)</w:t>
            </w:r>
          </w:p>
        </w:tc>
        <w:tc>
          <w:tcPr>
            <w:tcW w:w="1967" w:type="pct"/>
          </w:tcPr>
          <w:p w14:paraId="2BF48077" w14:textId="77777777" w:rsidR="003A348E" w:rsidRPr="00FC6981" w:rsidRDefault="003A348E" w:rsidP="00FC6981">
            <w:pPr>
              <w:pStyle w:val="Tabletext"/>
            </w:pPr>
            <w:r w:rsidRPr="00FC6981">
              <w:t>172</w:t>
            </w:r>
            <w:r w:rsidRPr="00FC6981">
              <w:rPr>
                <w:spacing w:val="-1"/>
              </w:rPr>
              <w:t xml:space="preserve"> </w:t>
            </w:r>
            <w:r w:rsidRPr="00FC6981">
              <w:t>(60.1)</w:t>
            </w:r>
          </w:p>
        </w:tc>
      </w:tr>
      <w:tr w:rsidR="00FC6981" w:rsidRPr="00FC6981" w14:paraId="776BFA64" w14:textId="77777777" w:rsidTr="00FC6981">
        <w:trPr>
          <w:trHeight w:val="223"/>
        </w:trPr>
        <w:tc>
          <w:tcPr>
            <w:tcW w:w="1514" w:type="pct"/>
          </w:tcPr>
          <w:p w14:paraId="08A79737" w14:textId="77777777" w:rsidR="003A348E" w:rsidRPr="00FC6981" w:rsidRDefault="003A348E" w:rsidP="00FC6981">
            <w:pPr>
              <w:pStyle w:val="Tabletext"/>
            </w:pPr>
            <w:r w:rsidRPr="00FC6981">
              <w:t>Female</w:t>
            </w:r>
          </w:p>
        </w:tc>
        <w:tc>
          <w:tcPr>
            <w:tcW w:w="1519" w:type="pct"/>
          </w:tcPr>
          <w:p w14:paraId="2060CC02" w14:textId="77777777" w:rsidR="003A348E" w:rsidRPr="00FC6981" w:rsidRDefault="003A348E" w:rsidP="00FC6981">
            <w:pPr>
              <w:pStyle w:val="Tabletext"/>
            </w:pPr>
            <w:r w:rsidRPr="00FC6981">
              <w:t>58</w:t>
            </w:r>
            <w:r w:rsidRPr="00FC6981">
              <w:rPr>
                <w:spacing w:val="-1"/>
              </w:rPr>
              <w:t xml:space="preserve"> </w:t>
            </w:r>
            <w:r w:rsidRPr="00FC6981">
              <w:t>(40.0)</w:t>
            </w:r>
          </w:p>
        </w:tc>
        <w:tc>
          <w:tcPr>
            <w:tcW w:w="1967" w:type="pct"/>
          </w:tcPr>
          <w:p w14:paraId="3C7F36F4" w14:textId="77777777" w:rsidR="003A348E" w:rsidRPr="00FC6981" w:rsidRDefault="003A348E" w:rsidP="00FC6981">
            <w:pPr>
              <w:pStyle w:val="Tabletext"/>
            </w:pPr>
            <w:r w:rsidRPr="00FC6981">
              <w:t>114</w:t>
            </w:r>
            <w:r w:rsidRPr="00FC6981">
              <w:rPr>
                <w:spacing w:val="-1"/>
              </w:rPr>
              <w:t xml:space="preserve"> </w:t>
            </w:r>
            <w:r w:rsidRPr="00FC6981">
              <w:t>(39.9)</w:t>
            </w:r>
          </w:p>
        </w:tc>
      </w:tr>
      <w:tr w:rsidR="00FC6981" w:rsidRPr="00FC6981" w14:paraId="6A3F6286" w14:textId="77777777" w:rsidTr="00FC6981">
        <w:trPr>
          <w:trHeight w:val="264"/>
        </w:trPr>
        <w:tc>
          <w:tcPr>
            <w:tcW w:w="5000" w:type="pct"/>
            <w:gridSpan w:val="3"/>
          </w:tcPr>
          <w:p w14:paraId="6745579F" w14:textId="1080D7E0" w:rsidR="00FC6981" w:rsidRPr="00FC6981" w:rsidRDefault="00FC6981" w:rsidP="00FC6981">
            <w:pPr>
              <w:pStyle w:val="Tabletext"/>
              <w:rPr>
                <w:rFonts w:ascii="Times New Roman" w:hAnsi="Times New Roman"/>
              </w:rPr>
            </w:pPr>
            <w:r w:rsidRPr="00FC6981">
              <w:rPr>
                <w:bCs/>
              </w:rPr>
              <w:t>Age</w:t>
            </w:r>
          </w:p>
        </w:tc>
      </w:tr>
      <w:tr w:rsidR="00FC6981" w:rsidRPr="00FC6981" w14:paraId="19D7A019" w14:textId="77777777" w:rsidTr="00FC6981">
        <w:trPr>
          <w:trHeight w:val="244"/>
        </w:trPr>
        <w:tc>
          <w:tcPr>
            <w:tcW w:w="1514" w:type="pct"/>
          </w:tcPr>
          <w:p w14:paraId="1CB3A0DF" w14:textId="77777777" w:rsidR="003A348E" w:rsidRPr="00FC6981" w:rsidRDefault="003A348E" w:rsidP="00FC6981">
            <w:pPr>
              <w:pStyle w:val="Tabletext"/>
            </w:pPr>
            <w:r w:rsidRPr="00FC6981">
              <w:t>Mean years</w:t>
            </w:r>
            <w:r w:rsidRPr="00FC6981">
              <w:rPr>
                <w:spacing w:val="-1"/>
              </w:rPr>
              <w:t xml:space="preserve"> </w:t>
            </w:r>
            <w:r w:rsidRPr="00FC6981">
              <w:t>(SD)</w:t>
            </w:r>
          </w:p>
        </w:tc>
        <w:tc>
          <w:tcPr>
            <w:tcW w:w="1519" w:type="pct"/>
          </w:tcPr>
          <w:p w14:paraId="322F5DF5" w14:textId="77777777" w:rsidR="003A348E" w:rsidRPr="00FC6981" w:rsidRDefault="003A348E" w:rsidP="00FC6981">
            <w:pPr>
              <w:pStyle w:val="Tabletext"/>
            </w:pPr>
            <w:r w:rsidRPr="00FC6981">
              <w:t>75.1</w:t>
            </w:r>
            <w:r w:rsidRPr="00FC6981">
              <w:rPr>
                <w:spacing w:val="-1"/>
              </w:rPr>
              <w:t xml:space="preserve"> </w:t>
            </w:r>
            <w:r w:rsidRPr="00FC6981">
              <w:t>(5.70)</w:t>
            </w:r>
          </w:p>
        </w:tc>
        <w:tc>
          <w:tcPr>
            <w:tcW w:w="1967" w:type="pct"/>
          </w:tcPr>
          <w:p w14:paraId="5E345CC3" w14:textId="77777777" w:rsidR="003A348E" w:rsidRPr="00FC6981" w:rsidRDefault="003A348E" w:rsidP="00FC6981">
            <w:pPr>
              <w:pStyle w:val="Tabletext"/>
            </w:pPr>
            <w:r w:rsidRPr="00FC6981">
              <w:t>75.6</w:t>
            </w:r>
            <w:r w:rsidRPr="00FC6981">
              <w:rPr>
                <w:spacing w:val="-1"/>
              </w:rPr>
              <w:t xml:space="preserve"> </w:t>
            </w:r>
            <w:r w:rsidRPr="00FC6981">
              <w:t>(6.08)</w:t>
            </w:r>
          </w:p>
        </w:tc>
      </w:tr>
      <w:tr w:rsidR="00FC6981" w:rsidRPr="00FC6981" w14:paraId="763201B5" w14:textId="77777777" w:rsidTr="00FC6981">
        <w:trPr>
          <w:trHeight w:val="243"/>
        </w:trPr>
        <w:tc>
          <w:tcPr>
            <w:tcW w:w="1514" w:type="pct"/>
          </w:tcPr>
          <w:p w14:paraId="0025B135" w14:textId="77777777" w:rsidR="003A348E" w:rsidRPr="00FC6981" w:rsidRDefault="003A348E" w:rsidP="00FC6981">
            <w:pPr>
              <w:pStyle w:val="Tabletext"/>
            </w:pPr>
            <w:r w:rsidRPr="00FC6981">
              <w:t>Median (years)</w:t>
            </w:r>
          </w:p>
        </w:tc>
        <w:tc>
          <w:tcPr>
            <w:tcW w:w="1519" w:type="pct"/>
          </w:tcPr>
          <w:p w14:paraId="410BF4BA" w14:textId="77777777" w:rsidR="003A348E" w:rsidRPr="00FC6981" w:rsidRDefault="003A348E" w:rsidP="00FC6981">
            <w:pPr>
              <w:pStyle w:val="Tabletext"/>
            </w:pPr>
            <w:r w:rsidRPr="00FC6981">
              <w:t>76.0</w:t>
            </w:r>
          </w:p>
        </w:tc>
        <w:tc>
          <w:tcPr>
            <w:tcW w:w="1967" w:type="pct"/>
          </w:tcPr>
          <w:p w14:paraId="02B85F70" w14:textId="77777777" w:rsidR="003A348E" w:rsidRPr="00FC6981" w:rsidRDefault="003A348E" w:rsidP="00FC6981">
            <w:pPr>
              <w:pStyle w:val="Tabletext"/>
            </w:pPr>
            <w:r w:rsidRPr="00FC6981">
              <w:t>76.0</w:t>
            </w:r>
          </w:p>
        </w:tc>
      </w:tr>
      <w:tr w:rsidR="00FC6981" w:rsidRPr="00FC6981" w14:paraId="352666BB" w14:textId="77777777" w:rsidTr="00FC6981">
        <w:trPr>
          <w:trHeight w:val="223"/>
        </w:trPr>
        <w:tc>
          <w:tcPr>
            <w:tcW w:w="1514" w:type="pct"/>
          </w:tcPr>
          <w:p w14:paraId="77787B88" w14:textId="77777777" w:rsidR="003A348E" w:rsidRPr="00FC6981" w:rsidRDefault="003A348E" w:rsidP="00FC6981">
            <w:pPr>
              <w:pStyle w:val="Tabletext"/>
            </w:pPr>
            <w:r w:rsidRPr="00FC6981">
              <w:t>Min, max (years)</w:t>
            </w:r>
          </w:p>
        </w:tc>
        <w:tc>
          <w:tcPr>
            <w:tcW w:w="1519" w:type="pct"/>
          </w:tcPr>
          <w:p w14:paraId="64280E35" w14:textId="77777777" w:rsidR="003A348E" w:rsidRPr="00FC6981" w:rsidRDefault="003A348E" w:rsidP="00FC6981">
            <w:pPr>
              <w:pStyle w:val="Tabletext"/>
            </w:pPr>
            <w:r w:rsidRPr="00FC6981">
              <w:t>60.0, 90.0</w:t>
            </w:r>
          </w:p>
        </w:tc>
        <w:tc>
          <w:tcPr>
            <w:tcW w:w="1967" w:type="pct"/>
          </w:tcPr>
          <w:p w14:paraId="6FB6068E" w14:textId="77777777" w:rsidR="003A348E" w:rsidRPr="00FC6981" w:rsidRDefault="003A348E" w:rsidP="00FC6981">
            <w:pPr>
              <w:pStyle w:val="Tabletext"/>
            </w:pPr>
            <w:r w:rsidRPr="00FC6981">
              <w:t>49.0, 91.0</w:t>
            </w:r>
          </w:p>
        </w:tc>
      </w:tr>
      <w:tr w:rsidR="00FC6981" w:rsidRPr="00FC6981" w14:paraId="5EAE45D9" w14:textId="77777777" w:rsidTr="00FC6981">
        <w:trPr>
          <w:trHeight w:val="264"/>
        </w:trPr>
        <w:tc>
          <w:tcPr>
            <w:tcW w:w="5000" w:type="pct"/>
            <w:gridSpan w:val="3"/>
          </w:tcPr>
          <w:p w14:paraId="3F133392" w14:textId="64E75EA2" w:rsidR="00FC6981" w:rsidRPr="00FC6981" w:rsidRDefault="00FC6981" w:rsidP="00FC6981">
            <w:pPr>
              <w:pStyle w:val="Tabletext"/>
              <w:rPr>
                <w:rFonts w:ascii="Times New Roman" w:hAnsi="Times New Roman"/>
              </w:rPr>
            </w:pPr>
            <w:r w:rsidRPr="00FC6981">
              <w:rPr>
                <w:bCs/>
              </w:rPr>
              <w:t>Age</w:t>
            </w:r>
            <w:r w:rsidRPr="00FC6981">
              <w:rPr>
                <w:bCs/>
                <w:spacing w:val="-1"/>
              </w:rPr>
              <w:t xml:space="preserve"> </w:t>
            </w:r>
            <w:r w:rsidRPr="00FC6981">
              <w:rPr>
                <w:bCs/>
              </w:rPr>
              <w:t>Category</w:t>
            </w:r>
          </w:p>
        </w:tc>
      </w:tr>
      <w:tr w:rsidR="00FC6981" w:rsidRPr="00FC6981" w14:paraId="2D0634F3" w14:textId="77777777" w:rsidTr="00FC6981">
        <w:trPr>
          <w:trHeight w:val="244"/>
        </w:trPr>
        <w:tc>
          <w:tcPr>
            <w:tcW w:w="1514" w:type="pct"/>
          </w:tcPr>
          <w:p w14:paraId="5EBA7F8E" w14:textId="77777777" w:rsidR="003A348E" w:rsidRPr="00FC6981" w:rsidRDefault="003A348E" w:rsidP="00FC6981">
            <w:pPr>
              <w:pStyle w:val="Tabletext"/>
            </w:pPr>
            <w:r w:rsidRPr="00FC6981">
              <w:t>18</w:t>
            </w:r>
            <w:r w:rsidRPr="00FC6981">
              <w:rPr>
                <w:spacing w:val="-1"/>
              </w:rPr>
              <w:t xml:space="preserve"> </w:t>
            </w:r>
            <w:r w:rsidRPr="00FC6981">
              <w:t>to &lt;</w:t>
            </w:r>
            <w:r w:rsidRPr="00FC6981">
              <w:rPr>
                <w:spacing w:val="-1"/>
              </w:rPr>
              <w:t xml:space="preserve"> </w:t>
            </w:r>
            <w:r w:rsidRPr="00FC6981">
              <w:t>65 years</w:t>
            </w:r>
          </w:p>
        </w:tc>
        <w:tc>
          <w:tcPr>
            <w:tcW w:w="1519" w:type="pct"/>
          </w:tcPr>
          <w:p w14:paraId="33BC4FBD" w14:textId="77777777" w:rsidR="003A348E" w:rsidRPr="00FC6981" w:rsidRDefault="003A348E" w:rsidP="00FC6981">
            <w:pPr>
              <w:pStyle w:val="Tabletext"/>
            </w:pPr>
            <w:r w:rsidRPr="00FC6981">
              <w:t>5</w:t>
            </w:r>
            <w:r w:rsidRPr="00FC6981">
              <w:rPr>
                <w:spacing w:val="-1"/>
              </w:rPr>
              <w:t xml:space="preserve"> </w:t>
            </w:r>
            <w:r w:rsidRPr="00FC6981">
              <w:t>(3.4)</w:t>
            </w:r>
          </w:p>
        </w:tc>
        <w:tc>
          <w:tcPr>
            <w:tcW w:w="1967" w:type="pct"/>
          </w:tcPr>
          <w:p w14:paraId="5A4BE7BD" w14:textId="77777777" w:rsidR="003A348E" w:rsidRPr="00FC6981" w:rsidRDefault="003A348E" w:rsidP="00FC6981">
            <w:pPr>
              <w:pStyle w:val="Tabletext"/>
            </w:pPr>
            <w:r w:rsidRPr="00FC6981">
              <w:t>10</w:t>
            </w:r>
            <w:r w:rsidRPr="00FC6981">
              <w:rPr>
                <w:spacing w:val="-1"/>
              </w:rPr>
              <w:t xml:space="preserve"> </w:t>
            </w:r>
            <w:r w:rsidRPr="00FC6981">
              <w:t>(3.5)</w:t>
            </w:r>
          </w:p>
        </w:tc>
      </w:tr>
      <w:tr w:rsidR="00FC6981" w:rsidRPr="00FC6981" w14:paraId="32AC9E37" w14:textId="77777777" w:rsidTr="00FC6981">
        <w:trPr>
          <w:trHeight w:val="243"/>
        </w:trPr>
        <w:tc>
          <w:tcPr>
            <w:tcW w:w="1514" w:type="pct"/>
          </w:tcPr>
          <w:p w14:paraId="622A0858" w14:textId="77777777" w:rsidR="003A348E" w:rsidRPr="00FC6981" w:rsidRDefault="003A348E" w:rsidP="00FC6981">
            <w:pPr>
              <w:pStyle w:val="Tabletext"/>
            </w:pPr>
            <w:r w:rsidRPr="00FC6981">
              <w:t>65</w:t>
            </w:r>
            <w:r w:rsidRPr="00FC6981">
              <w:rPr>
                <w:spacing w:val="-1"/>
              </w:rPr>
              <w:t xml:space="preserve"> </w:t>
            </w:r>
            <w:r w:rsidRPr="00FC6981">
              <w:t>to &lt;</w:t>
            </w:r>
            <w:r w:rsidRPr="00FC6981">
              <w:rPr>
                <w:spacing w:val="-1"/>
              </w:rPr>
              <w:t xml:space="preserve"> </w:t>
            </w:r>
            <w:r w:rsidRPr="00FC6981">
              <w:t>75 years</w:t>
            </w:r>
          </w:p>
        </w:tc>
        <w:tc>
          <w:tcPr>
            <w:tcW w:w="1519" w:type="pct"/>
          </w:tcPr>
          <w:p w14:paraId="018F0F69" w14:textId="77777777" w:rsidR="003A348E" w:rsidRPr="00FC6981" w:rsidRDefault="003A348E" w:rsidP="00FC6981">
            <w:pPr>
              <w:pStyle w:val="Tabletext"/>
            </w:pPr>
            <w:r w:rsidRPr="00FC6981">
              <w:t>53</w:t>
            </w:r>
            <w:r w:rsidRPr="00FC6981">
              <w:rPr>
                <w:spacing w:val="-1"/>
              </w:rPr>
              <w:t xml:space="preserve"> </w:t>
            </w:r>
            <w:r w:rsidRPr="00FC6981">
              <w:t>(36.6)</w:t>
            </w:r>
          </w:p>
        </w:tc>
        <w:tc>
          <w:tcPr>
            <w:tcW w:w="1967" w:type="pct"/>
          </w:tcPr>
          <w:p w14:paraId="684ED0C9" w14:textId="77777777" w:rsidR="003A348E" w:rsidRPr="00FC6981" w:rsidRDefault="003A348E" w:rsidP="00FC6981">
            <w:pPr>
              <w:pStyle w:val="Tabletext"/>
            </w:pPr>
            <w:r w:rsidRPr="00FC6981">
              <w:t>102</w:t>
            </w:r>
            <w:r w:rsidRPr="00FC6981">
              <w:rPr>
                <w:spacing w:val="-1"/>
              </w:rPr>
              <w:t xml:space="preserve"> </w:t>
            </w:r>
            <w:r w:rsidRPr="00FC6981">
              <w:t>(35.7)</w:t>
            </w:r>
          </w:p>
        </w:tc>
      </w:tr>
      <w:tr w:rsidR="00FC6981" w:rsidRPr="00FC6981" w14:paraId="6D6C417E" w14:textId="77777777" w:rsidTr="00FC6981">
        <w:trPr>
          <w:trHeight w:val="223"/>
        </w:trPr>
        <w:tc>
          <w:tcPr>
            <w:tcW w:w="1514" w:type="pct"/>
          </w:tcPr>
          <w:p w14:paraId="233E7834" w14:textId="77777777" w:rsidR="003A348E" w:rsidRPr="00FC6981" w:rsidRDefault="003A348E" w:rsidP="00FC6981">
            <w:pPr>
              <w:pStyle w:val="Tabletext"/>
            </w:pPr>
            <w:r w:rsidRPr="00FC6981">
              <w:t>≥</w:t>
            </w:r>
            <w:r w:rsidRPr="00FC6981">
              <w:rPr>
                <w:spacing w:val="-2"/>
              </w:rPr>
              <w:t xml:space="preserve"> </w:t>
            </w:r>
            <w:r w:rsidRPr="00FC6981">
              <w:t>75 years</w:t>
            </w:r>
          </w:p>
        </w:tc>
        <w:tc>
          <w:tcPr>
            <w:tcW w:w="1519" w:type="pct"/>
          </w:tcPr>
          <w:p w14:paraId="2E961CA9" w14:textId="77777777" w:rsidR="003A348E" w:rsidRPr="00FC6981" w:rsidRDefault="003A348E" w:rsidP="00FC6981">
            <w:pPr>
              <w:pStyle w:val="Tabletext"/>
            </w:pPr>
            <w:r w:rsidRPr="00FC6981">
              <w:t>87</w:t>
            </w:r>
            <w:r w:rsidRPr="00FC6981">
              <w:rPr>
                <w:spacing w:val="-1"/>
              </w:rPr>
              <w:t xml:space="preserve"> </w:t>
            </w:r>
            <w:r w:rsidRPr="00FC6981">
              <w:t>(60.0)</w:t>
            </w:r>
          </w:p>
        </w:tc>
        <w:tc>
          <w:tcPr>
            <w:tcW w:w="1967" w:type="pct"/>
          </w:tcPr>
          <w:p w14:paraId="4FD65AF5" w14:textId="77777777" w:rsidR="003A348E" w:rsidRPr="00FC6981" w:rsidRDefault="003A348E" w:rsidP="00FC6981">
            <w:pPr>
              <w:pStyle w:val="Tabletext"/>
            </w:pPr>
            <w:r w:rsidRPr="00FC6981">
              <w:t>174</w:t>
            </w:r>
            <w:r w:rsidRPr="00FC6981">
              <w:rPr>
                <w:spacing w:val="-1"/>
              </w:rPr>
              <w:t xml:space="preserve"> </w:t>
            </w:r>
            <w:r w:rsidRPr="00FC6981">
              <w:t>(60.8)</w:t>
            </w:r>
          </w:p>
        </w:tc>
      </w:tr>
      <w:tr w:rsidR="00FC6981" w:rsidRPr="00FC6981" w14:paraId="144F8446" w14:textId="77777777" w:rsidTr="00FC6981">
        <w:trPr>
          <w:trHeight w:val="264"/>
        </w:trPr>
        <w:tc>
          <w:tcPr>
            <w:tcW w:w="5000" w:type="pct"/>
            <w:gridSpan w:val="3"/>
          </w:tcPr>
          <w:p w14:paraId="0A2DA63F" w14:textId="1D7E3999" w:rsidR="00FC6981" w:rsidRPr="00FC6981" w:rsidRDefault="00FC6981" w:rsidP="00FC6981">
            <w:pPr>
              <w:pStyle w:val="Tabletext"/>
              <w:rPr>
                <w:rFonts w:ascii="Times New Roman" w:hAnsi="Times New Roman"/>
              </w:rPr>
            </w:pPr>
            <w:r w:rsidRPr="00FC6981">
              <w:rPr>
                <w:bCs/>
              </w:rPr>
              <w:lastRenderedPageBreak/>
              <w:t>Race</w:t>
            </w:r>
          </w:p>
        </w:tc>
      </w:tr>
      <w:tr w:rsidR="00FC6981" w:rsidRPr="00FC6981" w14:paraId="0E7D28D1" w14:textId="77777777" w:rsidTr="00FC6981">
        <w:trPr>
          <w:trHeight w:val="244"/>
        </w:trPr>
        <w:tc>
          <w:tcPr>
            <w:tcW w:w="1514" w:type="pct"/>
          </w:tcPr>
          <w:p w14:paraId="49922C8C" w14:textId="77777777" w:rsidR="003A348E" w:rsidRPr="00FC6981" w:rsidRDefault="003A348E" w:rsidP="00FC6981">
            <w:pPr>
              <w:pStyle w:val="Tabletext"/>
            </w:pPr>
            <w:r w:rsidRPr="00FC6981">
              <w:t>White</w:t>
            </w:r>
          </w:p>
        </w:tc>
        <w:tc>
          <w:tcPr>
            <w:tcW w:w="1519" w:type="pct"/>
          </w:tcPr>
          <w:p w14:paraId="07C3DCC4" w14:textId="77777777" w:rsidR="003A348E" w:rsidRPr="00FC6981" w:rsidRDefault="003A348E" w:rsidP="00FC6981">
            <w:pPr>
              <w:pStyle w:val="Tabletext"/>
            </w:pPr>
            <w:r w:rsidRPr="00FC6981">
              <w:t>109</w:t>
            </w:r>
            <w:r w:rsidRPr="00FC6981">
              <w:rPr>
                <w:spacing w:val="-1"/>
              </w:rPr>
              <w:t xml:space="preserve"> </w:t>
            </w:r>
            <w:r w:rsidRPr="00FC6981">
              <w:t>(75.2)</w:t>
            </w:r>
          </w:p>
        </w:tc>
        <w:tc>
          <w:tcPr>
            <w:tcW w:w="1967" w:type="pct"/>
          </w:tcPr>
          <w:p w14:paraId="7FF8FFE0" w14:textId="77777777" w:rsidR="003A348E" w:rsidRPr="00FC6981" w:rsidRDefault="003A348E" w:rsidP="00FC6981">
            <w:pPr>
              <w:pStyle w:val="Tabletext"/>
            </w:pPr>
            <w:r w:rsidRPr="00FC6981">
              <w:t>217</w:t>
            </w:r>
            <w:r w:rsidRPr="00FC6981">
              <w:rPr>
                <w:spacing w:val="-1"/>
              </w:rPr>
              <w:t xml:space="preserve"> </w:t>
            </w:r>
            <w:r w:rsidRPr="00FC6981">
              <w:t>(75.9)</w:t>
            </w:r>
          </w:p>
        </w:tc>
      </w:tr>
      <w:tr w:rsidR="00FC6981" w:rsidRPr="00FC6981" w14:paraId="072E12BF" w14:textId="77777777" w:rsidTr="00FC6981">
        <w:trPr>
          <w:trHeight w:val="244"/>
        </w:trPr>
        <w:tc>
          <w:tcPr>
            <w:tcW w:w="1514" w:type="pct"/>
          </w:tcPr>
          <w:p w14:paraId="729397E4" w14:textId="77777777" w:rsidR="003A348E" w:rsidRPr="00FC6981" w:rsidRDefault="003A348E" w:rsidP="00FC6981">
            <w:pPr>
              <w:pStyle w:val="Tabletext"/>
            </w:pPr>
            <w:r w:rsidRPr="00FC6981">
              <w:t>Black or African American</w:t>
            </w:r>
          </w:p>
        </w:tc>
        <w:tc>
          <w:tcPr>
            <w:tcW w:w="1519" w:type="pct"/>
          </w:tcPr>
          <w:p w14:paraId="2336E7FC" w14:textId="77777777" w:rsidR="003A348E" w:rsidRPr="00FC6981" w:rsidRDefault="003A348E" w:rsidP="00FC6981">
            <w:pPr>
              <w:pStyle w:val="Tabletext"/>
            </w:pPr>
            <w:r w:rsidRPr="00FC6981">
              <w:t>2</w:t>
            </w:r>
            <w:r w:rsidRPr="00FC6981">
              <w:rPr>
                <w:spacing w:val="-1"/>
              </w:rPr>
              <w:t xml:space="preserve"> </w:t>
            </w:r>
            <w:r w:rsidRPr="00FC6981">
              <w:t>(1.4)</w:t>
            </w:r>
          </w:p>
        </w:tc>
        <w:tc>
          <w:tcPr>
            <w:tcW w:w="1967" w:type="pct"/>
          </w:tcPr>
          <w:p w14:paraId="0C6E8697" w14:textId="77777777" w:rsidR="003A348E" w:rsidRPr="00FC6981" w:rsidRDefault="003A348E" w:rsidP="00FC6981">
            <w:pPr>
              <w:pStyle w:val="Tabletext"/>
            </w:pPr>
            <w:r w:rsidRPr="00FC6981">
              <w:t>3</w:t>
            </w:r>
            <w:r w:rsidRPr="00FC6981">
              <w:rPr>
                <w:spacing w:val="-1"/>
              </w:rPr>
              <w:t xml:space="preserve"> </w:t>
            </w:r>
            <w:r w:rsidRPr="00FC6981">
              <w:t>(1.0)</w:t>
            </w:r>
          </w:p>
        </w:tc>
      </w:tr>
      <w:tr w:rsidR="00FC6981" w:rsidRPr="00FC6981" w14:paraId="188CA6E8" w14:textId="77777777" w:rsidTr="00FC6981">
        <w:trPr>
          <w:trHeight w:val="243"/>
        </w:trPr>
        <w:tc>
          <w:tcPr>
            <w:tcW w:w="1514" w:type="pct"/>
          </w:tcPr>
          <w:p w14:paraId="0D91CC3B" w14:textId="77777777" w:rsidR="003A348E" w:rsidRPr="00FC6981" w:rsidRDefault="003A348E" w:rsidP="00FC6981">
            <w:pPr>
              <w:pStyle w:val="Tabletext"/>
            </w:pPr>
            <w:r w:rsidRPr="00FC6981">
              <w:t>Asian</w:t>
            </w:r>
          </w:p>
        </w:tc>
        <w:tc>
          <w:tcPr>
            <w:tcW w:w="1519" w:type="pct"/>
          </w:tcPr>
          <w:p w14:paraId="2D54B8AB" w14:textId="77777777" w:rsidR="003A348E" w:rsidRPr="00FC6981" w:rsidRDefault="003A348E" w:rsidP="00FC6981">
            <w:pPr>
              <w:pStyle w:val="Tabletext"/>
            </w:pPr>
            <w:r w:rsidRPr="00FC6981">
              <w:t>33</w:t>
            </w:r>
            <w:r w:rsidRPr="00FC6981">
              <w:rPr>
                <w:spacing w:val="-1"/>
              </w:rPr>
              <w:t xml:space="preserve"> </w:t>
            </w:r>
            <w:r w:rsidRPr="00FC6981">
              <w:t>(22.8)</w:t>
            </w:r>
          </w:p>
        </w:tc>
        <w:tc>
          <w:tcPr>
            <w:tcW w:w="1967" w:type="pct"/>
          </w:tcPr>
          <w:p w14:paraId="263D4BAB" w14:textId="77777777" w:rsidR="003A348E" w:rsidRPr="00FC6981" w:rsidRDefault="003A348E" w:rsidP="00FC6981">
            <w:pPr>
              <w:pStyle w:val="Tabletext"/>
            </w:pPr>
            <w:r w:rsidRPr="00FC6981">
              <w:t>66</w:t>
            </w:r>
            <w:r w:rsidRPr="00FC6981">
              <w:rPr>
                <w:spacing w:val="-1"/>
              </w:rPr>
              <w:t xml:space="preserve"> </w:t>
            </w:r>
            <w:r w:rsidRPr="00FC6981">
              <w:t>(23.1)</w:t>
            </w:r>
          </w:p>
        </w:tc>
      </w:tr>
      <w:tr w:rsidR="00FC6981" w:rsidRPr="00FC6981" w14:paraId="35F789AF" w14:textId="77777777" w:rsidTr="00FC6981">
        <w:trPr>
          <w:trHeight w:val="223"/>
        </w:trPr>
        <w:tc>
          <w:tcPr>
            <w:tcW w:w="1514" w:type="pct"/>
          </w:tcPr>
          <w:p w14:paraId="66EBC634" w14:textId="77777777" w:rsidR="003A348E" w:rsidRPr="00FC6981" w:rsidRDefault="003A348E" w:rsidP="00FC6981">
            <w:pPr>
              <w:pStyle w:val="Tabletext"/>
            </w:pPr>
            <w:r w:rsidRPr="00FC6981">
              <w:t>American</w:t>
            </w:r>
            <w:r w:rsidRPr="00FC6981">
              <w:rPr>
                <w:spacing w:val="-1"/>
              </w:rPr>
              <w:t xml:space="preserve"> </w:t>
            </w:r>
            <w:r w:rsidRPr="00FC6981">
              <w:t>Indian or</w:t>
            </w:r>
            <w:r w:rsidRPr="00FC6981">
              <w:rPr>
                <w:spacing w:val="-1"/>
              </w:rPr>
              <w:t xml:space="preserve"> </w:t>
            </w:r>
            <w:r w:rsidRPr="00FC6981">
              <w:t>Alaskan Native</w:t>
            </w:r>
          </w:p>
        </w:tc>
        <w:tc>
          <w:tcPr>
            <w:tcW w:w="1519" w:type="pct"/>
          </w:tcPr>
          <w:p w14:paraId="7E1FB45E" w14:textId="77777777" w:rsidR="003A348E" w:rsidRPr="00FC6981" w:rsidRDefault="003A348E" w:rsidP="00FC6981">
            <w:pPr>
              <w:pStyle w:val="Tabletext"/>
            </w:pPr>
            <w:r w:rsidRPr="00FC6981">
              <w:t>1</w:t>
            </w:r>
            <w:r w:rsidRPr="00FC6981">
              <w:rPr>
                <w:spacing w:val="-1"/>
              </w:rPr>
              <w:t xml:space="preserve"> </w:t>
            </w:r>
            <w:r w:rsidRPr="00FC6981">
              <w:t>(0.7)</w:t>
            </w:r>
          </w:p>
        </w:tc>
        <w:tc>
          <w:tcPr>
            <w:tcW w:w="1967" w:type="pct"/>
          </w:tcPr>
          <w:p w14:paraId="2157878A" w14:textId="77777777" w:rsidR="003A348E" w:rsidRPr="00FC6981" w:rsidRDefault="003A348E" w:rsidP="00FC6981">
            <w:pPr>
              <w:pStyle w:val="Tabletext"/>
              <w:rPr>
                <w:w w:val="99"/>
              </w:rPr>
            </w:pPr>
            <w:r w:rsidRPr="00FC6981">
              <w:rPr>
                <w:w w:val="99"/>
              </w:rPr>
              <w:t>0</w:t>
            </w:r>
          </w:p>
        </w:tc>
      </w:tr>
      <w:tr w:rsidR="00FC6981" w:rsidRPr="00FC6981" w14:paraId="49500919" w14:textId="77777777" w:rsidTr="00FC6981">
        <w:trPr>
          <w:trHeight w:val="264"/>
        </w:trPr>
        <w:tc>
          <w:tcPr>
            <w:tcW w:w="5000" w:type="pct"/>
            <w:gridSpan w:val="3"/>
          </w:tcPr>
          <w:p w14:paraId="0519C966" w14:textId="7AB43DB3" w:rsidR="00FC6981" w:rsidRPr="00FC6981" w:rsidRDefault="00FC6981" w:rsidP="00FC6981">
            <w:pPr>
              <w:pStyle w:val="Tabletext"/>
              <w:rPr>
                <w:rFonts w:ascii="Times New Roman" w:hAnsi="Times New Roman"/>
              </w:rPr>
            </w:pPr>
            <w:r w:rsidRPr="00FC6981">
              <w:rPr>
                <w:bCs/>
              </w:rPr>
              <w:t>Region</w:t>
            </w:r>
          </w:p>
        </w:tc>
      </w:tr>
      <w:tr w:rsidR="00FC6981" w:rsidRPr="00FC6981" w14:paraId="7DB83EFF" w14:textId="77777777" w:rsidTr="00FC6981">
        <w:trPr>
          <w:trHeight w:val="244"/>
        </w:trPr>
        <w:tc>
          <w:tcPr>
            <w:tcW w:w="1514" w:type="pct"/>
          </w:tcPr>
          <w:p w14:paraId="1E79E305" w14:textId="77777777" w:rsidR="003A348E" w:rsidRPr="00FC6981" w:rsidRDefault="003A348E" w:rsidP="00FC6981">
            <w:pPr>
              <w:pStyle w:val="Tabletext"/>
            </w:pPr>
            <w:r w:rsidRPr="00FC6981">
              <w:t>United States</w:t>
            </w:r>
          </w:p>
        </w:tc>
        <w:tc>
          <w:tcPr>
            <w:tcW w:w="1519" w:type="pct"/>
          </w:tcPr>
          <w:p w14:paraId="4506EF9D" w14:textId="77777777" w:rsidR="003A348E" w:rsidRPr="00FC6981" w:rsidRDefault="003A348E" w:rsidP="00FC6981">
            <w:pPr>
              <w:pStyle w:val="Tabletext"/>
            </w:pPr>
            <w:r w:rsidRPr="00FC6981">
              <w:t>24</w:t>
            </w:r>
            <w:r w:rsidRPr="00FC6981">
              <w:rPr>
                <w:spacing w:val="-1"/>
              </w:rPr>
              <w:t xml:space="preserve"> </w:t>
            </w:r>
            <w:r w:rsidRPr="00FC6981">
              <w:t>(16.6)</w:t>
            </w:r>
          </w:p>
        </w:tc>
        <w:tc>
          <w:tcPr>
            <w:tcW w:w="1967" w:type="pct"/>
          </w:tcPr>
          <w:p w14:paraId="362327BD" w14:textId="77777777" w:rsidR="003A348E" w:rsidRPr="00FC6981" w:rsidRDefault="003A348E" w:rsidP="00FC6981">
            <w:pPr>
              <w:pStyle w:val="Tabletext"/>
            </w:pPr>
            <w:r w:rsidRPr="00FC6981">
              <w:t>50</w:t>
            </w:r>
            <w:r w:rsidRPr="00FC6981">
              <w:rPr>
                <w:spacing w:val="-1"/>
              </w:rPr>
              <w:t xml:space="preserve"> </w:t>
            </w:r>
            <w:r w:rsidRPr="00FC6981">
              <w:t>(17.5)</w:t>
            </w:r>
          </w:p>
        </w:tc>
      </w:tr>
      <w:tr w:rsidR="00FC6981" w:rsidRPr="00FC6981" w14:paraId="15DB8E6E" w14:textId="77777777" w:rsidTr="00FC6981">
        <w:trPr>
          <w:trHeight w:val="224"/>
        </w:trPr>
        <w:tc>
          <w:tcPr>
            <w:tcW w:w="1514" w:type="pct"/>
          </w:tcPr>
          <w:p w14:paraId="2055A577" w14:textId="77777777" w:rsidR="003A348E" w:rsidRPr="00FC6981" w:rsidRDefault="003A348E" w:rsidP="00FC6981">
            <w:pPr>
              <w:pStyle w:val="Tabletext"/>
            </w:pPr>
            <w:r w:rsidRPr="00FC6981">
              <w:t>Rest</w:t>
            </w:r>
            <w:r w:rsidRPr="00FC6981">
              <w:rPr>
                <w:spacing w:val="-1"/>
              </w:rPr>
              <w:t xml:space="preserve"> </w:t>
            </w:r>
            <w:r w:rsidRPr="00FC6981">
              <w:t>of</w:t>
            </w:r>
            <w:r w:rsidRPr="00FC6981">
              <w:rPr>
                <w:spacing w:val="-1"/>
              </w:rPr>
              <w:t xml:space="preserve"> </w:t>
            </w:r>
            <w:r w:rsidRPr="00FC6981">
              <w:t>the</w:t>
            </w:r>
            <w:r w:rsidRPr="00FC6981">
              <w:rPr>
                <w:spacing w:val="-1"/>
              </w:rPr>
              <w:t xml:space="preserve"> </w:t>
            </w:r>
            <w:r w:rsidRPr="00FC6981">
              <w:t>World*</w:t>
            </w:r>
          </w:p>
        </w:tc>
        <w:tc>
          <w:tcPr>
            <w:tcW w:w="1519" w:type="pct"/>
          </w:tcPr>
          <w:p w14:paraId="10B97E35" w14:textId="77777777" w:rsidR="003A348E" w:rsidRPr="00FC6981" w:rsidRDefault="003A348E" w:rsidP="00FC6981">
            <w:pPr>
              <w:pStyle w:val="Tabletext"/>
            </w:pPr>
            <w:r w:rsidRPr="00FC6981">
              <w:t>121</w:t>
            </w:r>
            <w:r w:rsidRPr="00FC6981">
              <w:rPr>
                <w:spacing w:val="-1"/>
              </w:rPr>
              <w:t xml:space="preserve"> </w:t>
            </w:r>
            <w:r w:rsidRPr="00FC6981">
              <w:t>(83.4)</w:t>
            </w:r>
          </w:p>
        </w:tc>
        <w:tc>
          <w:tcPr>
            <w:tcW w:w="1967" w:type="pct"/>
          </w:tcPr>
          <w:p w14:paraId="372B5EAB" w14:textId="77777777" w:rsidR="003A348E" w:rsidRPr="00FC6981" w:rsidRDefault="003A348E" w:rsidP="00FC6981">
            <w:pPr>
              <w:pStyle w:val="Tabletext"/>
            </w:pPr>
            <w:r w:rsidRPr="00FC6981">
              <w:t>236</w:t>
            </w:r>
            <w:r w:rsidRPr="00FC6981">
              <w:rPr>
                <w:spacing w:val="-1"/>
              </w:rPr>
              <w:t xml:space="preserve"> </w:t>
            </w:r>
            <w:r w:rsidRPr="00FC6981">
              <w:t>(82.5)</w:t>
            </w:r>
          </w:p>
        </w:tc>
      </w:tr>
    </w:tbl>
    <w:p w14:paraId="56B43728" w14:textId="4B63ECAA" w:rsidR="00FC6981" w:rsidRDefault="00FC6981" w:rsidP="00FC6981">
      <w:pPr>
        <w:pStyle w:val="TableDescription"/>
      </w:pPr>
      <w:r w:rsidRPr="00D567A7">
        <w:t>N</w:t>
      </w:r>
      <w:r w:rsidRPr="00D567A7">
        <w:rPr>
          <w:spacing w:val="-1"/>
        </w:rPr>
        <w:t xml:space="preserve"> </w:t>
      </w:r>
      <w:r w:rsidRPr="00D567A7">
        <w:t>= sample</w:t>
      </w:r>
      <w:r w:rsidRPr="00D567A7">
        <w:rPr>
          <w:spacing w:val="-1"/>
        </w:rPr>
        <w:t xml:space="preserve"> </w:t>
      </w:r>
      <w:r w:rsidRPr="00D567A7">
        <w:t>size; n</w:t>
      </w:r>
      <w:r w:rsidRPr="00D567A7">
        <w:rPr>
          <w:spacing w:val="-1"/>
        </w:rPr>
        <w:t xml:space="preserve"> </w:t>
      </w:r>
      <w:r w:rsidRPr="00D567A7">
        <w:t>=</w:t>
      </w:r>
      <w:r w:rsidRPr="00D567A7">
        <w:rPr>
          <w:spacing w:val="-1"/>
        </w:rPr>
        <w:t xml:space="preserve"> </w:t>
      </w:r>
      <w:r w:rsidRPr="00D567A7">
        <w:t>number</w:t>
      </w:r>
      <w:r w:rsidRPr="00D567A7">
        <w:rPr>
          <w:spacing w:val="-1"/>
        </w:rPr>
        <w:t xml:space="preserve"> </w:t>
      </w:r>
      <w:r w:rsidRPr="00D567A7">
        <w:t>of patients; SD</w:t>
      </w:r>
      <w:r w:rsidRPr="00D567A7">
        <w:rPr>
          <w:spacing w:val="-1"/>
        </w:rPr>
        <w:t xml:space="preserve"> </w:t>
      </w:r>
      <w:r w:rsidRPr="00D567A7">
        <w:t>=</w:t>
      </w:r>
      <w:r w:rsidRPr="00D567A7">
        <w:rPr>
          <w:spacing w:val="-1"/>
        </w:rPr>
        <w:t xml:space="preserve"> </w:t>
      </w:r>
      <w:r w:rsidRPr="00D567A7">
        <w:t>standard</w:t>
      </w:r>
      <w:r w:rsidRPr="00D567A7">
        <w:rPr>
          <w:spacing w:val="-1"/>
        </w:rPr>
        <w:t xml:space="preserve"> </w:t>
      </w:r>
      <w:r>
        <w:t>deviation</w:t>
      </w:r>
    </w:p>
    <w:p w14:paraId="04BDD0CE" w14:textId="353ED61F" w:rsidR="003A348E" w:rsidRDefault="00FC6981" w:rsidP="00FC6981">
      <w:pPr>
        <w:pStyle w:val="TableDescription"/>
      </w:pPr>
      <w:r w:rsidRPr="00D567A7">
        <w:t>*Rest</w:t>
      </w:r>
      <w:r w:rsidRPr="00D567A7">
        <w:rPr>
          <w:spacing w:val="-1"/>
        </w:rPr>
        <w:t xml:space="preserve"> </w:t>
      </w:r>
      <w:r w:rsidRPr="00D567A7">
        <w:t>of the</w:t>
      </w:r>
      <w:r w:rsidRPr="00D567A7">
        <w:rPr>
          <w:spacing w:val="-1"/>
        </w:rPr>
        <w:t xml:space="preserve"> </w:t>
      </w:r>
      <w:r w:rsidRPr="00D567A7">
        <w:t>World</w:t>
      </w:r>
      <w:r w:rsidRPr="00D567A7">
        <w:rPr>
          <w:spacing w:val="-1"/>
        </w:rPr>
        <w:t xml:space="preserve"> </w:t>
      </w:r>
      <w:r w:rsidRPr="00D567A7">
        <w:t>includes</w:t>
      </w:r>
      <w:r w:rsidRPr="00D567A7">
        <w:rPr>
          <w:spacing w:val="-1"/>
        </w:rPr>
        <w:t xml:space="preserve"> </w:t>
      </w:r>
      <w:r w:rsidRPr="00D567A7">
        <w:t>Australia, Austria, Belgium, Brazil, Canada, China, Croatia, Czech</w:t>
      </w:r>
      <w:r w:rsidRPr="00D567A7">
        <w:rPr>
          <w:spacing w:val="-1"/>
        </w:rPr>
        <w:t xml:space="preserve"> </w:t>
      </w:r>
      <w:r w:rsidRPr="00D567A7">
        <w:t>Republic, Denmark, Finland, France, Germany, Hungary, Israel, Italy, Japan, Norway, Poland, Portugal, Russia, South</w:t>
      </w:r>
      <w:r w:rsidRPr="00D567A7">
        <w:rPr>
          <w:spacing w:val="-1"/>
        </w:rPr>
        <w:t xml:space="preserve"> </w:t>
      </w:r>
      <w:r w:rsidRPr="00D567A7">
        <w:t>Africa, South</w:t>
      </w:r>
      <w:r w:rsidRPr="00D567A7">
        <w:rPr>
          <w:spacing w:val="-1"/>
        </w:rPr>
        <w:t xml:space="preserve"> </w:t>
      </w:r>
      <w:r w:rsidRPr="00D567A7">
        <w:t>Korea, Spain,</w:t>
      </w:r>
      <w:r w:rsidRPr="00D567A7">
        <w:rPr>
          <w:spacing w:val="-1"/>
        </w:rPr>
        <w:t xml:space="preserve"> </w:t>
      </w:r>
      <w:r w:rsidRPr="00D567A7">
        <w:t>Sweden, Taiwan</w:t>
      </w:r>
      <w:r w:rsidRPr="00D567A7">
        <w:rPr>
          <w:spacing w:val="-1"/>
        </w:rPr>
        <w:t xml:space="preserve"> </w:t>
      </w:r>
      <w:r w:rsidRPr="00D567A7">
        <w:t>and</w:t>
      </w:r>
      <w:r w:rsidRPr="00D567A7">
        <w:rPr>
          <w:spacing w:val="-1"/>
        </w:rPr>
        <w:t xml:space="preserve"> </w:t>
      </w:r>
      <w:r w:rsidRPr="00D567A7">
        <w:t>Turkey. Data cut</w:t>
      </w:r>
      <w:r w:rsidR="00264BBA">
        <w:t>-</w:t>
      </w:r>
      <w:r w:rsidRPr="00D567A7">
        <w:t>off date</w:t>
      </w:r>
      <w:r>
        <w:rPr>
          <w:spacing w:val="-1"/>
        </w:rPr>
        <w:t xml:space="preserve"> </w:t>
      </w:r>
      <w:r w:rsidRPr="00D567A7">
        <w:t>4 January 2020.</w:t>
      </w:r>
    </w:p>
    <w:p w14:paraId="2A895657" w14:textId="07ED285C" w:rsidR="00FC6981" w:rsidRDefault="00FC6981" w:rsidP="00FC6981">
      <w:r w:rsidRPr="00FC6981">
        <w:t xml:space="preserve">The baseline disease characteristics of the patients are included below. Around 44% were </w:t>
      </w:r>
      <w:r w:rsidR="00252AA1" w:rsidRPr="00252AA1">
        <w:t xml:space="preserve">Eastern Cooperative Oncology Group </w:t>
      </w:r>
      <w:r w:rsidR="00252AA1">
        <w:t>(</w:t>
      </w:r>
      <w:r w:rsidRPr="00FC6981">
        <w:t>ECOG</w:t>
      </w:r>
      <w:r w:rsidR="00252AA1">
        <w:t>) performance score (PS)</w:t>
      </w:r>
      <w:r w:rsidRPr="00FC6981">
        <w:t xml:space="preserve"> 2 or 3,</w:t>
      </w:r>
      <w:bookmarkStart w:id="49" w:name="_Ref98412282"/>
      <w:r w:rsidR="00252AA1">
        <w:rPr>
          <w:rStyle w:val="FootnoteReference"/>
        </w:rPr>
        <w:footnoteReference w:id="7"/>
      </w:r>
      <w:bookmarkEnd w:id="49"/>
      <w:r w:rsidRPr="00FC6981">
        <w:t xml:space="preserve"> and most patients had </w:t>
      </w:r>
      <w:r w:rsidRPr="00252AA1">
        <w:rPr>
          <w:i/>
          <w:iCs/>
        </w:rPr>
        <w:t>de novo</w:t>
      </w:r>
      <w:r w:rsidRPr="00FC6981">
        <w:t xml:space="preserve"> disease, with intermediate cytogenetics. A range of mutation types were represented in both group</w:t>
      </w:r>
      <w:r w:rsidR="00252AA1">
        <w:t>s</w:t>
      </w:r>
      <w:r w:rsidRPr="00FC6981">
        <w:t xml:space="preserve">, and almost 50% had a high </w:t>
      </w:r>
      <w:r w:rsidR="00252AA1">
        <w:t xml:space="preserve">bone marrow </w:t>
      </w:r>
      <w:r w:rsidRPr="00FC6981">
        <w:t>blast count.</w:t>
      </w:r>
    </w:p>
    <w:p w14:paraId="262BB04E" w14:textId="2F5681F7" w:rsidR="00252AA1" w:rsidRDefault="00252AA1" w:rsidP="00264BBA">
      <w:pPr>
        <w:pStyle w:val="TableTitle"/>
      </w:pPr>
      <w:r w:rsidRPr="00252AA1">
        <w:lastRenderedPageBreak/>
        <w:t xml:space="preserve">Table </w:t>
      </w:r>
      <w:fldSimple w:instr=" SEQ Table \* ARABIC ">
        <w:r w:rsidR="007E2134">
          <w:rPr>
            <w:noProof/>
          </w:rPr>
          <w:t>5</w:t>
        </w:r>
      </w:fldSimple>
      <w:r>
        <w:t xml:space="preserve">: </w:t>
      </w:r>
      <w:r w:rsidRPr="00252AA1">
        <w:t xml:space="preserve">VIALE-A </w:t>
      </w:r>
      <w:r>
        <w:t>trial</w:t>
      </w:r>
      <w:r w:rsidRPr="00252AA1">
        <w:t xml:space="preserve"> Baseline </w:t>
      </w:r>
      <w:r>
        <w:t>d</w:t>
      </w:r>
      <w:r w:rsidRPr="00252AA1">
        <w:t xml:space="preserve">isease </w:t>
      </w:r>
      <w:r>
        <w:t>c</w:t>
      </w:r>
      <w:r w:rsidRPr="00252AA1">
        <w:t>haracteristics</w:t>
      </w:r>
    </w:p>
    <w:tbl>
      <w:tblPr>
        <w:tblStyle w:val="TableTGAblue"/>
        <w:tblW w:w="4672" w:type="pct"/>
        <w:tblLook w:val="0000" w:firstRow="0" w:lastRow="0" w:firstColumn="0" w:lastColumn="0" w:noHBand="0" w:noVBand="0"/>
      </w:tblPr>
      <w:tblGrid>
        <w:gridCol w:w="3250"/>
        <w:gridCol w:w="2410"/>
        <w:gridCol w:w="2267"/>
      </w:tblGrid>
      <w:tr w:rsidR="00252AA1" w14:paraId="1692A469" w14:textId="77777777" w:rsidTr="000D6854">
        <w:trPr>
          <w:trHeight w:val="489"/>
        </w:trPr>
        <w:tc>
          <w:tcPr>
            <w:tcW w:w="2050" w:type="pct"/>
            <w:shd w:val="clear" w:color="auto" w:fill="006DA7"/>
          </w:tcPr>
          <w:p w14:paraId="6310A4F1" w14:textId="77777777" w:rsidR="000A6902" w:rsidRDefault="00252AA1" w:rsidP="00264BBA">
            <w:pPr>
              <w:pStyle w:val="Tabletext"/>
              <w:keepNext/>
              <w:jc w:val="center"/>
              <w:rPr>
                <w:b/>
                <w:bCs/>
                <w:color w:val="FFFFFF" w:themeColor="background1"/>
              </w:rPr>
            </w:pPr>
            <w:r w:rsidRPr="00252AA1">
              <w:rPr>
                <w:b/>
                <w:bCs/>
                <w:color w:val="FFFFFF" w:themeColor="background1"/>
              </w:rPr>
              <w:t>Baseline Disease Characteristics</w:t>
            </w:r>
          </w:p>
          <w:p w14:paraId="38BC5B37" w14:textId="32DD8049" w:rsidR="00252AA1" w:rsidRPr="00252AA1" w:rsidRDefault="00252AA1" w:rsidP="00264BBA">
            <w:pPr>
              <w:pStyle w:val="Tabletext"/>
              <w:keepNext/>
              <w:jc w:val="center"/>
              <w:rPr>
                <w:b/>
                <w:bCs/>
                <w:color w:val="FFFFFF" w:themeColor="background1"/>
              </w:rPr>
            </w:pPr>
            <w:r w:rsidRPr="00252AA1">
              <w:rPr>
                <w:b/>
                <w:bCs/>
                <w:color w:val="FFFFFF" w:themeColor="background1"/>
              </w:rPr>
              <w:t>n</w:t>
            </w:r>
            <w:r w:rsidRPr="00252AA1">
              <w:rPr>
                <w:b/>
                <w:bCs/>
                <w:color w:val="FFFFFF" w:themeColor="background1"/>
                <w:spacing w:val="1"/>
              </w:rPr>
              <w:t xml:space="preserve"> </w:t>
            </w:r>
            <w:r w:rsidRPr="00252AA1">
              <w:rPr>
                <w:b/>
                <w:bCs/>
                <w:color w:val="FFFFFF" w:themeColor="background1"/>
              </w:rPr>
              <w:t>(%)</w:t>
            </w:r>
          </w:p>
        </w:tc>
        <w:tc>
          <w:tcPr>
            <w:tcW w:w="1520" w:type="pct"/>
            <w:shd w:val="clear" w:color="auto" w:fill="006DA7"/>
          </w:tcPr>
          <w:p w14:paraId="2D041CC8" w14:textId="0D314448" w:rsidR="00252AA1" w:rsidRPr="00252AA1" w:rsidRDefault="000A6902" w:rsidP="00264BBA">
            <w:pPr>
              <w:pStyle w:val="Tabletext"/>
              <w:keepNext/>
              <w:ind w:left="0"/>
              <w:jc w:val="center"/>
              <w:rPr>
                <w:b/>
                <w:bCs/>
                <w:color w:val="FFFFFF" w:themeColor="background1"/>
              </w:rPr>
            </w:pPr>
            <w:r>
              <w:rPr>
                <w:b/>
                <w:bCs/>
                <w:color w:val="FFFFFF" w:themeColor="background1"/>
                <w:spacing w:val="-8"/>
              </w:rPr>
              <w:t>Placebo</w:t>
            </w:r>
            <w:r w:rsidR="00252AA1" w:rsidRPr="00252AA1">
              <w:rPr>
                <w:b/>
                <w:bCs/>
                <w:color w:val="FFFFFF" w:themeColor="background1"/>
                <w:spacing w:val="-8"/>
              </w:rPr>
              <w:t xml:space="preserve"> </w:t>
            </w:r>
            <w:r w:rsidR="00252AA1" w:rsidRPr="00252AA1">
              <w:rPr>
                <w:b/>
                <w:bCs/>
                <w:color w:val="FFFFFF" w:themeColor="background1"/>
              </w:rPr>
              <w:t>+</w:t>
            </w:r>
            <w:r>
              <w:rPr>
                <w:b/>
                <w:bCs/>
                <w:color w:val="FFFFFF" w:themeColor="background1"/>
              </w:rPr>
              <w:t xml:space="preserve"> </w:t>
            </w:r>
            <w:proofErr w:type="spellStart"/>
            <w:r w:rsidR="002557F5" w:rsidRPr="002557F5">
              <w:rPr>
                <w:b/>
                <w:bCs/>
                <w:color w:val="FFFFFF" w:themeColor="background1"/>
              </w:rPr>
              <w:t>azacitidine</w:t>
            </w:r>
            <w:proofErr w:type="spellEnd"/>
            <w:r w:rsidR="000D6854">
              <w:rPr>
                <w:b/>
                <w:bCs/>
                <w:color w:val="FFFFFF" w:themeColor="background1"/>
              </w:rPr>
              <w:t xml:space="preserve"> </w:t>
            </w:r>
            <w:r w:rsidR="00252AA1" w:rsidRPr="00252AA1">
              <w:rPr>
                <w:b/>
                <w:bCs/>
                <w:color w:val="FFFFFF" w:themeColor="background1"/>
              </w:rPr>
              <w:t>(N</w:t>
            </w:r>
            <w:r w:rsidR="00252AA1" w:rsidRPr="00252AA1">
              <w:rPr>
                <w:b/>
                <w:bCs/>
                <w:color w:val="FFFFFF" w:themeColor="background1"/>
                <w:spacing w:val="-1"/>
              </w:rPr>
              <w:t xml:space="preserve"> </w:t>
            </w:r>
            <w:r w:rsidR="00252AA1" w:rsidRPr="00252AA1">
              <w:rPr>
                <w:b/>
                <w:bCs/>
                <w:color w:val="FFFFFF" w:themeColor="background1"/>
              </w:rPr>
              <w:t>=</w:t>
            </w:r>
            <w:r w:rsidR="00252AA1" w:rsidRPr="00252AA1">
              <w:rPr>
                <w:b/>
                <w:bCs/>
                <w:color w:val="FFFFFF" w:themeColor="background1"/>
                <w:spacing w:val="-3"/>
              </w:rPr>
              <w:t xml:space="preserve"> </w:t>
            </w:r>
            <w:r w:rsidR="00252AA1" w:rsidRPr="00252AA1">
              <w:rPr>
                <w:b/>
                <w:bCs/>
                <w:color w:val="FFFFFF" w:themeColor="background1"/>
              </w:rPr>
              <w:t>145)</w:t>
            </w:r>
          </w:p>
        </w:tc>
        <w:tc>
          <w:tcPr>
            <w:tcW w:w="1430" w:type="pct"/>
            <w:shd w:val="clear" w:color="auto" w:fill="006DA7"/>
          </w:tcPr>
          <w:p w14:paraId="53113921" w14:textId="04B155A8" w:rsidR="002557F5" w:rsidRDefault="002557F5" w:rsidP="00264BBA">
            <w:pPr>
              <w:pStyle w:val="Tabletext"/>
              <w:keepNext/>
              <w:jc w:val="center"/>
              <w:rPr>
                <w:b/>
                <w:bCs/>
                <w:color w:val="FFFFFF" w:themeColor="background1"/>
              </w:rPr>
            </w:pPr>
            <w:proofErr w:type="spellStart"/>
            <w:r w:rsidRPr="002557F5">
              <w:rPr>
                <w:b/>
                <w:bCs/>
                <w:color w:val="FFFFFF" w:themeColor="background1"/>
              </w:rPr>
              <w:t>Venetoclax</w:t>
            </w:r>
            <w:proofErr w:type="spellEnd"/>
            <w:r w:rsidRPr="002557F5">
              <w:rPr>
                <w:b/>
                <w:bCs/>
                <w:color w:val="FFFFFF" w:themeColor="background1"/>
              </w:rPr>
              <w:t xml:space="preserve"> 400 mg once daily + </w:t>
            </w:r>
            <w:proofErr w:type="spellStart"/>
            <w:r>
              <w:rPr>
                <w:b/>
                <w:bCs/>
                <w:color w:val="FFFFFF" w:themeColor="background1"/>
              </w:rPr>
              <w:t>azac</w:t>
            </w:r>
            <w:r w:rsidR="003A398B">
              <w:rPr>
                <w:b/>
                <w:bCs/>
                <w:color w:val="FFFFFF" w:themeColor="background1"/>
              </w:rPr>
              <w:t>i</w:t>
            </w:r>
            <w:r>
              <w:rPr>
                <w:b/>
                <w:bCs/>
                <w:color w:val="FFFFFF" w:themeColor="background1"/>
              </w:rPr>
              <w:t>tidine</w:t>
            </w:r>
            <w:proofErr w:type="spellEnd"/>
          </w:p>
          <w:p w14:paraId="11D0E94B" w14:textId="2A27C730" w:rsidR="00252AA1" w:rsidRPr="00252AA1" w:rsidRDefault="00252AA1" w:rsidP="00264BBA">
            <w:pPr>
              <w:pStyle w:val="Tabletext"/>
              <w:keepNext/>
              <w:jc w:val="center"/>
              <w:rPr>
                <w:b/>
                <w:bCs/>
                <w:color w:val="FFFFFF" w:themeColor="background1"/>
              </w:rPr>
            </w:pPr>
            <w:r w:rsidRPr="00252AA1">
              <w:rPr>
                <w:b/>
                <w:bCs/>
                <w:color w:val="FFFFFF" w:themeColor="background1"/>
              </w:rPr>
              <w:t>(N =</w:t>
            </w:r>
            <w:r w:rsidRPr="00252AA1">
              <w:rPr>
                <w:b/>
                <w:bCs/>
                <w:color w:val="FFFFFF" w:themeColor="background1"/>
                <w:spacing w:val="-1"/>
              </w:rPr>
              <w:t xml:space="preserve"> </w:t>
            </w:r>
            <w:r w:rsidRPr="00252AA1">
              <w:rPr>
                <w:b/>
                <w:bCs/>
                <w:color w:val="FFFFFF" w:themeColor="background1"/>
              </w:rPr>
              <w:t>286)</w:t>
            </w:r>
          </w:p>
        </w:tc>
      </w:tr>
      <w:tr w:rsidR="000D6854" w14:paraId="0702DE0F" w14:textId="77777777" w:rsidTr="000D6854">
        <w:trPr>
          <w:trHeight w:val="263"/>
        </w:trPr>
        <w:tc>
          <w:tcPr>
            <w:tcW w:w="5000" w:type="pct"/>
            <w:gridSpan w:val="3"/>
          </w:tcPr>
          <w:p w14:paraId="65EB17F4" w14:textId="5D37024D" w:rsidR="000D6854" w:rsidRPr="000D6854" w:rsidRDefault="000D6854" w:rsidP="00264BBA">
            <w:pPr>
              <w:pStyle w:val="Tabletext"/>
              <w:keepNext/>
              <w:rPr>
                <w:rFonts w:ascii="Times New Roman" w:hAnsi="Times New Roman"/>
                <w:b/>
                <w:bCs/>
                <w:sz w:val="18"/>
                <w:szCs w:val="18"/>
              </w:rPr>
            </w:pPr>
            <w:r w:rsidRPr="000D6854">
              <w:rPr>
                <w:b/>
                <w:bCs/>
              </w:rPr>
              <w:t>ECOG</w:t>
            </w:r>
            <w:r w:rsidRPr="000D6854">
              <w:rPr>
                <w:b/>
                <w:bCs/>
                <w:spacing w:val="-1"/>
              </w:rPr>
              <w:t xml:space="preserve"> </w:t>
            </w:r>
            <w:r w:rsidRPr="000D6854">
              <w:rPr>
                <w:b/>
                <w:bCs/>
              </w:rPr>
              <w:t>Performance Status</w:t>
            </w:r>
          </w:p>
        </w:tc>
      </w:tr>
      <w:tr w:rsidR="00252AA1" w14:paraId="69FFF625" w14:textId="77777777" w:rsidTr="000D6854">
        <w:trPr>
          <w:trHeight w:val="243"/>
        </w:trPr>
        <w:tc>
          <w:tcPr>
            <w:tcW w:w="2050" w:type="pct"/>
          </w:tcPr>
          <w:p w14:paraId="140DA6F1" w14:textId="77777777" w:rsidR="00252AA1" w:rsidRDefault="00252AA1" w:rsidP="00264BBA">
            <w:pPr>
              <w:pStyle w:val="Tabletext"/>
              <w:keepNext/>
              <w:rPr>
                <w:w w:val="99"/>
              </w:rPr>
            </w:pPr>
            <w:r>
              <w:rPr>
                <w:w w:val="99"/>
              </w:rPr>
              <w:t>0</w:t>
            </w:r>
          </w:p>
        </w:tc>
        <w:tc>
          <w:tcPr>
            <w:tcW w:w="1520" w:type="pct"/>
          </w:tcPr>
          <w:p w14:paraId="6ACA1595" w14:textId="77777777" w:rsidR="00252AA1" w:rsidRDefault="00252AA1" w:rsidP="00264BBA">
            <w:pPr>
              <w:pStyle w:val="Tabletext"/>
              <w:keepNext/>
            </w:pPr>
            <w:r>
              <w:t>23</w:t>
            </w:r>
            <w:r>
              <w:rPr>
                <w:spacing w:val="-1"/>
              </w:rPr>
              <w:t xml:space="preserve"> </w:t>
            </w:r>
            <w:r>
              <w:t>(15.9)</w:t>
            </w:r>
          </w:p>
        </w:tc>
        <w:tc>
          <w:tcPr>
            <w:tcW w:w="1430" w:type="pct"/>
          </w:tcPr>
          <w:p w14:paraId="65AAF182" w14:textId="77777777" w:rsidR="00252AA1" w:rsidRDefault="00252AA1" w:rsidP="00264BBA">
            <w:pPr>
              <w:pStyle w:val="Tabletext"/>
              <w:keepNext/>
            </w:pPr>
            <w:r>
              <w:t>37</w:t>
            </w:r>
            <w:r>
              <w:rPr>
                <w:spacing w:val="-1"/>
              </w:rPr>
              <w:t xml:space="preserve"> </w:t>
            </w:r>
            <w:r>
              <w:t>(12.9)</w:t>
            </w:r>
          </w:p>
        </w:tc>
      </w:tr>
      <w:tr w:rsidR="00252AA1" w14:paraId="71322C77" w14:textId="77777777" w:rsidTr="000D6854">
        <w:trPr>
          <w:trHeight w:val="244"/>
        </w:trPr>
        <w:tc>
          <w:tcPr>
            <w:tcW w:w="2050" w:type="pct"/>
          </w:tcPr>
          <w:p w14:paraId="1B92D531" w14:textId="77777777" w:rsidR="00252AA1" w:rsidRDefault="00252AA1" w:rsidP="00252AA1">
            <w:pPr>
              <w:pStyle w:val="Tabletext"/>
              <w:rPr>
                <w:w w:val="99"/>
              </w:rPr>
            </w:pPr>
            <w:r>
              <w:rPr>
                <w:w w:val="99"/>
              </w:rPr>
              <w:t>1</w:t>
            </w:r>
          </w:p>
        </w:tc>
        <w:tc>
          <w:tcPr>
            <w:tcW w:w="1520" w:type="pct"/>
          </w:tcPr>
          <w:p w14:paraId="6B0973EB" w14:textId="77777777" w:rsidR="00252AA1" w:rsidRDefault="00252AA1" w:rsidP="00252AA1">
            <w:pPr>
              <w:pStyle w:val="Tabletext"/>
            </w:pPr>
            <w:r>
              <w:t>58</w:t>
            </w:r>
            <w:r>
              <w:rPr>
                <w:spacing w:val="-1"/>
              </w:rPr>
              <w:t xml:space="preserve"> </w:t>
            </w:r>
            <w:r>
              <w:t>(40.0)</w:t>
            </w:r>
          </w:p>
        </w:tc>
        <w:tc>
          <w:tcPr>
            <w:tcW w:w="1430" w:type="pct"/>
          </w:tcPr>
          <w:p w14:paraId="64B0E446" w14:textId="77777777" w:rsidR="00252AA1" w:rsidRDefault="00252AA1" w:rsidP="00252AA1">
            <w:pPr>
              <w:pStyle w:val="Tabletext"/>
            </w:pPr>
            <w:r>
              <w:t>120</w:t>
            </w:r>
            <w:r>
              <w:rPr>
                <w:spacing w:val="-1"/>
              </w:rPr>
              <w:t xml:space="preserve"> </w:t>
            </w:r>
            <w:r>
              <w:t>(42.0)</w:t>
            </w:r>
          </w:p>
        </w:tc>
      </w:tr>
      <w:tr w:rsidR="00252AA1" w14:paraId="036CAEB8" w14:textId="77777777" w:rsidTr="000D6854">
        <w:trPr>
          <w:trHeight w:val="244"/>
        </w:trPr>
        <w:tc>
          <w:tcPr>
            <w:tcW w:w="2050" w:type="pct"/>
          </w:tcPr>
          <w:p w14:paraId="2CE0C5AC" w14:textId="77777777" w:rsidR="00252AA1" w:rsidRDefault="00252AA1" w:rsidP="00252AA1">
            <w:pPr>
              <w:pStyle w:val="Tabletext"/>
              <w:rPr>
                <w:w w:val="99"/>
              </w:rPr>
            </w:pPr>
            <w:r>
              <w:rPr>
                <w:w w:val="99"/>
              </w:rPr>
              <w:t>2</w:t>
            </w:r>
          </w:p>
        </w:tc>
        <w:tc>
          <w:tcPr>
            <w:tcW w:w="1520" w:type="pct"/>
          </w:tcPr>
          <w:p w14:paraId="460C1573" w14:textId="77777777" w:rsidR="00252AA1" w:rsidRDefault="00252AA1" w:rsidP="00252AA1">
            <w:pPr>
              <w:pStyle w:val="Tabletext"/>
            </w:pPr>
            <w:r>
              <w:t>59</w:t>
            </w:r>
            <w:r>
              <w:rPr>
                <w:spacing w:val="-1"/>
              </w:rPr>
              <w:t xml:space="preserve"> </w:t>
            </w:r>
            <w:r>
              <w:t>(40.7)</w:t>
            </w:r>
          </w:p>
        </w:tc>
        <w:tc>
          <w:tcPr>
            <w:tcW w:w="1430" w:type="pct"/>
          </w:tcPr>
          <w:p w14:paraId="589FBEEF" w14:textId="77777777" w:rsidR="00252AA1" w:rsidRDefault="00252AA1" w:rsidP="00252AA1">
            <w:pPr>
              <w:pStyle w:val="Tabletext"/>
            </w:pPr>
            <w:r>
              <w:t>113</w:t>
            </w:r>
            <w:r>
              <w:rPr>
                <w:spacing w:val="-1"/>
              </w:rPr>
              <w:t xml:space="preserve"> </w:t>
            </w:r>
            <w:r>
              <w:t>(39.5)</w:t>
            </w:r>
          </w:p>
        </w:tc>
      </w:tr>
      <w:tr w:rsidR="00252AA1" w14:paraId="5511EFC3" w14:textId="77777777" w:rsidTr="000D6854">
        <w:trPr>
          <w:trHeight w:val="224"/>
        </w:trPr>
        <w:tc>
          <w:tcPr>
            <w:tcW w:w="2050" w:type="pct"/>
          </w:tcPr>
          <w:p w14:paraId="7B777ECA" w14:textId="77777777" w:rsidR="00252AA1" w:rsidRDefault="00252AA1" w:rsidP="00252AA1">
            <w:pPr>
              <w:pStyle w:val="Tabletext"/>
              <w:rPr>
                <w:w w:val="99"/>
              </w:rPr>
            </w:pPr>
            <w:r>
              <w:rPr>
                <w:w w:val="99"/>
              </w:rPr>
              <w:t>3</w:t>
            </w:r>
          </w:p>
        </w:tc>
        <w:tc>
          <w:tcPr>
            <w:tcW w:w="1520" w:type="pct"/>
          </w:tcPr>
          <w:p w14:paraId="32480332" w14:textId="77777777" w:rsidR="00252AA1" w:rsidRDefault="00252AA1" w:rsidP="00252AA1">
            <w:pPr>
              <w:pStyle w:val="Tabletext"/>
            </w:pPr>
            <w:r>
              <w:t>5</w:t>
            </w:r>
            <w:r>
              <w:rPr>
                <w:spacing w:val="-1"/>
              </w:rPr>
              <w:t xml:space="preserve"> </w:t>
            </w:r>
            <w:r>
              <w:t>(3.4)</w:t>
            </w:r>
          </w:p>
        </w:tc>
        <w:tc>
          <w:tcPr>
            <w:tcW w:w="1430" w:type="pct"/>
          </w:tcPr>
          <w:p w14:paraId="0FAF59BA" w14:textId="77777777" w:rsidR="00252AA1" w:rsidRDefault="00252AA1" w:rsidP="00252AA1">
            <w:pPr>
              <w:pStyle w:val="Tabletext"/>
            </w:pPr>
            <w:r>
              <w:t>16</w:t>
            </w:r>
            <w:r>
              <w:rPr>
                <w:spacing w:val="-1"/>
              </w:rPr>
              <w:t xml:space="preserve"> </w:t>
            </w:r>
            <w:r>
              <w:t>(5.6)</w:t>
            </w:r>
          </w:p>
        </w:tc>
      </w:tr>
      <w:tr w:rsidR="000D6854" w14:paraId="1A863B81" w14:textId="77777777" w:rsidTr="000D6854">
        <w:trPr>
          <w:trHeight w:val="262"/>
        </w:trPr>
        <w:tc>
          <w:tcPr>
            <w:tcW w:w="5000" w:type="pct"/>
            <w:gridSpan w:val="3"/>
          </w:tcPr>
          <w:p w14:paraId="226868B9" w14:textId="74B0AF7F" w:rsidR="000D6854" w:rsidRPr="000D6854" w:rsidRDefault="000D6854" w:rsidP="00252AA1">
            <w:pPr>
              <w:pStyle w:val="Tabletext"/>
              <w:rPr>
                <w:rFonts w:ascii="Times New Roman" w:hAnsi="Times New Roman"/>
                <w:b/>
                <w:bCs/>
                <w:sz w:val="18"/>
                <w:szCs w:val="18"/>
              </w:rPr>
            </w:pPr>
            <w:r w:rsidRPr="000D6854">
              <w:rPr>
                <w:b/>
                <w:bCs/>
              </w:rPr>
              <w:t>Type</w:t>
            </w:r>
            <w:r w:rsidRPr="000D6854">
              <w:rPr>
                <w:b/>
                <w:bCs/>
                <w:spacing w:val="-1"/>
              </w:rPr>
              <w:t xml:space="preserve"> </w:t>
            </w:r>
            <w:r w:rsidRPr="000D6854">
              <w:rPr>
                <w:b/>
                <w:bCs/>
              </w:rPr>
              <w:t>of</w:t>
            </w:r>
            <w:r w:rsidRPr="000D6854">
              <w:rPr>
                <w:b/>
                <w:bCs/>
                <w:spacing w:val="-1"/>
              </w:rPr>
              <w:t xml:space="preserve"> </w:t>
            </w:r>
            <w:r w:rsidRPr="000D6854">
              <w:rPr>
                <w:b/>
                <w:bCs/>
              </w:rPr>
              <w:t>AML</w:t>
            </w:r>
          </w:p>
        </w:tc>
      </w:tr>
      <w:tr w:rsidR="00252AA1" w14:paraId="77A44925" w14:textId="77777777" w:rsidTr="000D6854">
        <w:trPr>
          <w:trHeight w:val="244"/>
        </w:trPr>
        <w:tc>
          <w:tcPr>
            <w:tcW w:w="2050" w:type="pct"/>
          </w:tcPr>
          <w:p w14:paraId="2AA5837B" w14:textId="77777777" w:rsidR="00252AA1" w:rsidRDefault="00252AA1" w:rsidP="00252AA1">
            <w:pPr>
              <w:pStyle w:val="Tabletext"/>
            </w:pPr>
            <w:r w:rsidRPr="000D6854">
              <w:rPr>
                <w:i/>
                <w:iCs/>
              </w:rPr>
              <w:t>De</w:t>
            </w:r>
            <w:r w:rsidRPr="000D6854">
              <w:rPr>
                <w:i/>
                <w:iCs/>
                <w:spacing w:val="-2"/>
              </w:rPr>
              <w:t xml:space="preserve"> </w:t>
            </w:r>
            <w:r w:rsidRPr="000D6854">
              <w:rPr>
                <w:i/>
                <w:iCs/>
              </w:rPr>
              <w:t>novo</w:t>
            </w:r>
            <w:r>
              <w:t xml:space="preserve"> AML</w:t>
            </w:r>
          </w:p>
        </w:tc>
        <w:tc>
          <w:tcPr>
            <w:tcW w:w="1520" w:type="pct"/>
          </w:tcPr>
          <w:p w14:paraId="2AB1C154" w14:textId="77777777" w:rsidR="00252AA1" w:rsidRDefault="00252AA1" w:rsidP="00252AA1">
            <w:pPr>
              <w:pStyle w:val="Tabletext"/>
            </w:pPr>
            <w:r>
              <w:t>110</w:t>
            </w:r>
            <w:r>
              <w:rPr>
                <w:spacing w:val="-1"/>
              </w:rPr>
              <w:t xml:space="preserve"> </w:t>
            </w:r>
            <w:r>
              <w:t>(75.9)</w:t>
            </w:r>
          </w:p>
        </w:tc>
        <w:tc>
          <w:tcPr>
            <w:tcW w:w="1430" w:type="pct"/>
          </w:tcPr>
          <w:p w14:paraId="00527D79" w14:textId="77777777" w:rsidR="00252AA1" w:rsidRDefault="00252AA1" w:rsidP="00252AA1">
            <w:pPr>
              <w:pStyle w:val="Tabletext"/>
            </w:pPr>
            <w:r>
              <w:t>214</w:t>
            </w:r>
            <w:r>
              <w:rPr>
                <w:spacing w:val="-1"/>
              </w:rPr>
              <w:t xml:space="preserve"> </w:t>
            </w:r>
            <w:r>
              <w:t>(74.8)</w:t>
            </w:r>
          </w:p>
        </w:tc>
      </w:tr>
      <w:tr w:rsidR="00252AA1" w14:paraId="26DAF2DB" w14:textId="77777777" w:rsidTr="000D6854">
        <w:trPr>
          <w:trHeight w:val="224"/>
        </w:trPr>
        <w:tc>
          <w:tcPr>
            <w:tcW w:w="2050" w:type="pct"/>
          </w:tcPr>
          <w:p w14:paraId="74970780" w14:textId="77777777" w:rsidR="00252AA1" w:rsidRDefault="00252AA1" w:rsidP="00252AA1">
            <w:pPr>
              <w:pStyle w:val="Tabletext"/>
            </w:pPr>
            <w:r>
              <w:t>Secondary AML</w:t>
            </w:r>
          </w:p>
        </w:tc>
        <w:tc>
          <w:tcPr>
            <w:tcW w:w="1520" w:type="pct"/>
          </w:tcPr>
          <w:p w14:paraId="6107B9DA" w14:textId="77777777" w:rsidR="00252AA1" w:rsidRDefault="00252AA1" w:rsidP="00252AA1">
            <w:pPr>
              <w:pStyle w:val="Tabletext"/>
            </w:pPr>
            <w:r>
              <w:t>35</w:t>
            </w:r>
            <w:r>
              <w:rPr>
                <w:spacing w:val="-1"/>
              </w:rPr>
              <w:t xml:space="preserve"> </w:t>
            </w:r>
            <w:r>
              <w:t>(24.1)</w:t>
            </w:r>
          </w:p>
        </w:tc>
        <w:tc>
          <w:tcPr>
            <w:tcW w:w="1430" w:type="pct"/>
          </w:tcPr>
          <w:p w14:paraId="0071BFE2" w14:textId="77777777" w:rsidR="00252AA1" w:rsidRDefault="00252AA1" w:rsidP="00252AA1">
            <w:pPr>
              <w:pStyle w:val="Tabletext"/>
            </w:pPr>
            <w:r>
              <w:t>72</w:t>
            </w:r>
            <w:r>
              <w:rPr>
                <w:spacing w:val="-1"/>
              </w:rPr>
              <w:t xml:space="preserve"> </w:t>
            </w:r>
            <w:r>
              <w:t>(25.2)</w:t>
            </w:r>
          </w:p>
        </w:tc>
      </w:tr>
      <w:tr w:rsidR="000D6854" w14:paraId="34C13C52" w14:textId="77777777" w:rsidTr="000D6854">
        <w:trPr>
          <w:trHeight w:val="263"/>
        </w:trPr>
        <w:tc>
          <w:tcPr>
            <w:tcW w:w="5000" w:type="pct"/>
            <w:gridSpan w:val="3"/>
          </w:tcPr>
          <w:p w14:paraId="6361A9F0" w14:textId="3F987BA2" w:rsidR="000D6854" w:rsidRPr="000D6854" w:rsidRDefault="000D6854" w:rsidP="00252AA1">
            <w:pPr>
              <w:pStyle w:val="Tabletext"/>
              <w:rPr>
                <w:rFonts w:ascii="Times New Roman" w:hAnsi="Times New Roman"/>
                <w:b/>
                <w:bCs/>
                <w:sz w:val="18"/>
                <w:szCs w:val="18"/>
              </w:rPr>
            </w:pPr>
            <w:r w:rsidRPr="000D6854">
              <w:rPr>
                <w:b/>
                <w:bCs/>
              </w:rPr>
              <w:t>Cytogenetics</w:t>
            </w:r>
            <w:r w:rsidRPr="000D6854">
              <w:rPr>
                <w:b/>
                <w:bCs/>
                <w:spacing w:val="-1"/>
              </w:rPr>
              <w:t xml:space="preserve"> </w:t>
            </w:r>
            <w:r w:rsidRPr="000D6854">
              <w:rPr>
                <w:b/>
                <w:bCs/>
              </w:rPr>
              <w:t>(from</w:t>
            </w:r>
            <w:r w:rsidRPr="000D6854">
              <w:rPr>
                <w:b/>
                <w:bCs/>
                <w:spacing w:val="1"/>
              </w:rPr>
              <w:t xml:space="preserve"> </w:t>
            </w:r>
            <w:proofErr w:type="gramStart"/>
            <w:r w:rsidRPr="000D6854">
              <w:rPr>
                <w:b/>
                <w:bCs/>
              </w:rPr>
              <w:t>EDC)</w:t>
            </w:r>
            <w:r w:rsidRPr="000D6854">
              <w:rPr>
                <w:b/>
                <w:bCs/>
                <w:vertAlign w:val="superscript"/>
              </w:rPr>
              <w:t>a</w:t>
            </w:r>
            <w:proofErr w:type="gramEnd"/>
          </w:p>
        </w:tc>
      </w:tr>
      <w:tr w:rsidR="00252AA1" w14:paraId="07F7C648" w14:textId="77777777" w:rsidTr="000D6854">
        <w:trPr>
          <w:trHeight w:val="243"/>
        </w:trPr>
        <w:tc>
          <w:tcPr>
            <w:tcW w:w="2050" w:type="pct"/>
          </w:tcPr>
          <w:p w14:paraId="7433F159" w14:textId="77777777" w:rsidR="00252AA1" w:rsidRDefault="00252AA1" w:rsidP="00252AA1">
            <w:pPr>
              <w:pStyle w:val="Tabletext"/>
            </w:pPr>
            <w:r>
              <w:t>Intermediate</w:t>
            </w:r>
          </w:p>
        </w:tc>
        <w:tc>
          <w:tcPr>
            <w:tcW w:w="1520" w:type="pct"/>
          </w:tcPr>
          <w:p w14:paraId="07BEE230" w14:textId="77777777" w:rsidR="00252AA1" w:rsidRDefault="00252AA1" w:rsidP="00252AA1">
            <w:pPr>
              <w:pStyle w:val="Tabletext"/>
            </w:pPr>
            <w:r>
              <w:t>89</w:t>
            </w:r>
            <w:r>
              <w:rPr>
                <w:spacing w:val="-1"/>
              </w:rPr>
              <w:t xml:space="preserve"> </w:t>
            </w:r>
            <w:r>
              <w:t>(61.4)</w:t>
            </w:r>
          </w:p>
        </w:tc>
        <w:tc>
          <w:tcPr>
            <w:tcW w:w="1430" w:type="pct"/>
          </w:tcPr>
          <w:p w14:paraId="40F812D8" w14:textId="77777777" w:rsidR="00252AA1" w:rsidRDefault="00252AA1" w:rsidP="00252AA1">
            <w:pPr>
              <w:pStyle w:val="Tabletext"/>
            </w:pPr>
            <w:r>
              <w:t>182</w:t>
            </w:r>
            <w:r>
              <w:rPr>
                <w:spacing w:val="-1"/>
              </w:rPr>
              <w:t xml:space="preserve"> </w:t>
            </w:r>
            <w:r>
              <w:t>(63.6)</w:t>
            </w:r>
          </w:p>
        </w:tc>
      </w:tr>
      <w:tr w:rsidR="00252AA1" w14:paraId="097450C1" w14:textId="77777777" w:rsidTr="000D6854">
        <w:trPr>
          <w:trHeight w:val="224"/>
        </w:trPr>
        <w:tc>
          <w:tcPr>
            <w:tcW w:w="2050" w:type="pct"/>
          </w:tcPr>
          <w:p w14:paraId="477E7B84" w14:textId="77777777" w:rsidR="00252AA1" w:rsidRDefault="00252AA1" w:rsidP="00252AA1">
            <w:pPr>
              <w:pStyle w:val="Tabletext"/>
            </w:pPr>
            <w:r>
              <w:t>Poor</w:t>
            </w:r>
          </w:p>
        </w:tc>
        <w:tc>
          <w:tcPr>
            <w:tcW w:w="1520" w:type="pct"/>
          </w:tcPr>
          <w:p w14:paraId="5A555C1B" w14:textId="77777777" w:rsidR="00252AA1" w:rsidRDefault="00252AA1" w:rsidP="00252AA1">
            <w:pPr>
              <w:pStyle w:val="Tabletext"/>
            </w:pPr>
            <w:r>
              <w:t>56</w:t>
            </w:r>
            <w:r>
              <w:rPr>
                <w:spacing w:val="-1"/>
              </w:rPr>
              <w:t xml:space="preserve"> </w:t>
            </w:r>
            <w:r>
              <w:t>(38.6)</w:t>
            </w:r>
          </w:p>
        </w:tc>
        <w:tc>
          <w:tcPr>
            <w:tcW w:w="1430" w:type="pct"/>
          </w:tcPr>
          <w:p w14:paraId="17BB59E4" w14:textId="77777777" w:rsidR="00252AA1" w:rsidRDefault="00252AA1" w:rsidP="00252AA1">
            <w:pPr>
              <w:pStyle w:val="Tabletext"/>
            </w:pPr>
            <w:r>
              <w:t>104</w:t>
            </w:r>
            <w:r>
              <w:rPr>
                <w:spacing w:val="-1"/>
              </w:rPr>
              <w:t xml:space="preserve"> </w:t>
            </w:r>
            <w:r>
              <w:t>(36.4)</w:t>
            </w:r>
          </w:p>
        </w:tc>
      </w:tr>
      <w:tr w:rsidR="000D6854" w14:paraId="26813365" w14:textId="77777777" w:rsidTr="000D6854">
        <w:trPr>
          <w:trHeight w:val="264"/>
        </w:trPr>
        <w:tc>
          <w:tcPr>
            <w:tcW w:w="5000" w:type="pct"/>
            <w:gridSpan w:val="3"/>
          </w:tcPr>
          <w:p w14:paraId="4EF84BCF" w14:textId="52230E80" w:rsidR="000D6854" w:rsidRPr="000D6854" w:rsidRDefault="000D6854" w:rsidP="00252AA1">
            <w:pPr>
              <w:pStyle w:val="Tabletext"/>
              <w:rPr>
                <w:rFonts w:ascii="Times New Roman" w:hAnsi="Times New Roman"/>
                <w:b/>
                <w:bCs/>
                <w:sz w:val="18"/>
                <w:szCs w:val="18"/>
              </w:rPr>
            </w:pPr>
            <w:r w:rsidRPr="000D6854">
              <w:rPr>
                <w:b/>
                <w:bCs/>
              </w:rPr>
              <w:t>Bone</w:t>
            </w:r>
            <w:r w:rsidRPr="000D6854">
              <w:rPr>
                <w:b/>
                <w:bCs/>
                <w:spacing w:val="-1"/>
              </w:rPr>
              <w:t xml:space="preserve"> </w:t>
            </w:r>
            <w:r w:rsidRPr="000D6854">
              <w:rPr>
                <w:b/>
                <w:bCs/>
              </w:rPr>
              <w:t>marrow blast count</w:t>
            </w:r>
          </w:p>
        </w:tc>
      </w:tr>
      <w:tr w:rsidR="00252AA1" w14:paraId="1A239F07" w14:textId="77777777" w:rsidTr="000D6854">
        <w:trPr>
          <w:trHeight w:val="244"/>
        </w:trPr>
        <w:tc>
          <w:tcPr>
            <w:tcW w:w="2050" w:type="pct"/>
          </w:tcPr>
          <w:p w14:paraId="459D7272" w14:textId="77777777" w:rsidR="00252AA1" w:rsidRDefault="00252AA1" w:rsidP="00252AA1">
            <w:pPr>
              <w:pStyle w:val="Tabletext"/>
            </w:pPr>
            <w:r>
              <w:t>&lt;</w:t>
            </w:r>
            <w:r>
              <w:rPr>
                <w:spacing w:val="-2"/>
              </w:rPr>
              <w:t xml:space="preserve"> </w:t>
            </w:r>
            <w:r>
              <w:t>30%</w:t>
            </w:r>
          </w:p>
        </w:tc>
        <w:tc>
          <w:tcPr>
            <w:tcW w:w="1520" w:type="pct"/>
          </w:tcPr>
          <w:p w14:paraId="443C6791" w14:textId="77777777" w:rsidR="00252AA1" w:rsidRDefault="00252AA1" w:rsidP="00252AA1">
            <w:pPr>
              <w:pStyle w:val="Tabletext"/>
            </w:pPr>
            <w:r>
              <w:t>41</w:t>
            </w:r>
            <w:r>
              <w:rPr>
                <w:spacing w:val="-1"/>
              </w:rPr>
              <w:t xml:space="preserve"> </w:t>
            </w:r>
            <w:r>
              <w:t>(28.3)</w:t>
            </w:r>
          </w:p>
        </w:tc>
        <w:tc>
          <w:tcPr>
            <w:tcW w:w="1430" w:type="pct"/>
          </w:tcPr>
          <w:p w14:paraId="5C5DEB95" w14:textId="77777777" w:rsidR="00252AA1" w:rsidRDefault="00252AA1" w:rsidP="00252AA1">
            <w:pPr>
              <w:pStyle w:val="Tabletext"/>
            </w:pPr>
            <w:r>
              <w:t>85</w:t>
            </w:r>
            <w:r>
              <w:rPr>
                <w:spacing w:val="-1"/>
              </w:rPr>
              <w:t xml:space="preserve"> </w:t>
            </w:r>
            <w:r>
              <w:t>(29.7)</w:t>
            </w:r>
          </w:p>
        </w:tc>
      </w:tr>
      <w:tr w:rsidR="00252AA1" w14:paraId="5D7CED2B" w14:textId="77777777" w:rsidTr="000D6854">
        <w:trPr>
          <w:trHeight w:val="243"/>
        </w:trPr>
        <w:tc>
          <w:tcPr>
            <w:tcW w:w="2050" w:type="pct"/>
          </w:tcPr>
          <w:p w14:paraId="63989899" w14:textId="77777777" w:rsidR="00252AA1" w:rsidRDefault="00252AA1" w:rsidP="00252AA1">
            <w:pPr>
              <w:pStyle w:val="Tabletext"/>
            </w:pPr>
            <w:r>
              <w:t>≥</w:t>
            </w:r>
            <w:r>
              <w:rPr>
                <w:spacing w:val="-2"/>
              </w:rPr>
              <w:t xml:space="preserve"> </w:t>
            </w:r>
            <w:r>
              <w:t>30%</w:t>
            </w:r>
            <w:r>
              <w:rPr>
                <w:spacing w:val="-1"/>
              </w:rPr>
              <w:t xml:space="preserve"> </w:t>
            </w:r>
            <w:r>
              <w:t>-</w:t>
            </w:r>
            <w:r>
              <w:rPr>
                <w:spacing w:val="1"/>
              </w:rPr>
              <w:t xml:space="preserve"> </w:t>
            </w:r>
            <w:r>
              <w:t>&lt;</w:t>
            </w:r>
            <w:r>
              <w:rPr>
                <w:spacing w:val="-1"/>
              </w:rPr>
              <w:t xml:space="preserve"> </w:t>
            </w:r>
            <w:r>
              <w:t>50%</w:t>
            </w:r>
          </w:p>
        </w:tc>
        <w:tc>
          <w:tcPr>
            <w:tcW w:w="1520" w:type="pct"/>
          </w:tcPr>
          <w:p w14:paraId="7023033D" w14:textId="77777777" w:rsidR="00252AA1" w:rsidRDefault="00252AA1" w:rsidP="00252AA1">
            <w:pPr>
              <w:pStyle w:val="Tabletext"/>
            </w:pPr>
            <w:r>
              <w:t>33</w:t>
            </w:r>
            <w:r>
              <w:rPr>
                <w:spacing w:val="-1"/>
              </w:rPr>
              <w:t xml:space="preserve"> </w:t>
            </w:r>
            <w:r>
              <w:t>(22.8)</w:t>
            </w:r>
          </w:p>
        </w:tc>
        <w:tc>
          <w:tcPr>
            <w:tcW w:w="1430" w:type="pct"/>
          </w:tcPr>
          <w:p w14:paraId="0A403D50" w14:textId="77777777" w:rsidR="00252AA1" w:rsidRDefault="00252AA1" w:rsidP="00252AA1">
            <w:pPr>
              <w:pStyle w:val="Tabletext"/>
            </w:pPr>
            <w:r>
              <w:t>61</w:t>
            </w:r>
            <w:r>
              <w:rPr>
                <w:spacing w:val="-1"/>
              </w:rPr>
              <w:t xml:space="preserve"> </w:t>
            </w:r>
            <w:r>
              <w:t>(21.3)</w:t>
            </w:r>
          </w:p>
        </w:tc>
      </w:tr>
      <w:tr w:rsidR="00252AA1" w14:paraId="5DA4D90A" w14:textId="77777777" w:rsidTr="000D6854">
        <w:trPr>
          <w:trHeight w:val="223"/>
        </w:trPr>
        <w:tc>
          <w:tcPr>
            <w:tcW w:w="2050" w:type="pct"/>
          </w:tcPr>
          <w:p w14:paraId="1CA372EC" w14:textId="77777777" w:rsidR="00252AA1" w:rsidRDefault="00252AA1" w:rsidP="00252AA1">
            <w:pPr>
              <w:pStyle w:val="Tabletext"/>
            </w:pPr>
            <w:r>
              <w:t>≥</w:t>
            </w:r>
            <w:r>
              <w:rPr>
                <w:spacing w:val="-2"/>
              </w:rPr>
              <w:t xml:space="preserve"> </w:t>
            </w:r>
            <w:r>
              <w:t>50%</w:t>
            </w:r>
          </w:p>
        </w:tc>
        <w:tc>
          <w:tcPr>
            <w:tcW w:w="1520" w:type="pct"/>
          </w:tcPr>
          <w:p w14:paraId="457C9B94" w14:textId="77777777" w:rsidR="00252AA1" w:rsidRDefault="00252AA1" w:rsidP="00252AA1">
            <w:pPr>
              <w:pStyle w:val="Tabletext"/>
            </w:pPr>
            <w:r>
              <w:t>71</w:t>
            </w:r>
            <w:r>
              <w:rPr>
                <w:spacing w:val="-1"/>
              </w:rPr>
              <w:t xml:space="preserve"> </w:t>
            </w:r>
            <w:r>
              <w:t>(49.0)</w:t>
            </w:r>
          </w:p>
        </w:tc>
        <w:tc>
          <w:tcPr>
            <w:tcW w:w="1430" w:type="pct"/>
          </w:tcPr>
          <w:p w14:paraId="5869606B" w14:textId="77777777" w:rsidR="00252AA1" w:rsidRDefault="00252AA1" w:rsidP="00252AA1">
            <w:pPr>
              <w:pStyle w:val="Tabletext"/>
            </w:pPr>
            <w:r>
              <w:t>140</w:t>
            </w:r>
            <w:r>
              <w:rPr>
                <w:spacing w:val="-1"/>
              </w:rPr>
              <w:t xml:space="preserve"> </w:t>
            </w:r>
            <w:r>
              <w:t>(49.0)</w:t>
            </w:r>
          </w:p>
        </w:tc>
      </w:tr>
      <w:tr w:rsidR="000D6854" w14:paraId="5729333E" w14:textId="77777777" w:rsidTr="000D6854">
        <w:trPr>
          <w:trHeight w:val="255"/>
        </w:trPr>
        <w:tc>
          <w:tcPr>
            <w:tcW w:w="5000" w:type="pct"/>
            <w:gridSpan w:val="3"/>
          </w:tcPr>
          <w:p w14:paraId="3D5A9594" w14:textId="2C2D0883" w:rsidR="000D6854" w:rsidRPr="000D6854" w:rsidRDefault="000D6854" w:rsidP="00252AA1">
            <w:pPr>
              <w:pStyle w:val="Tabletext"/>
              <w:rPr>
                <w:rFonts w:ascii="Times New Roman" w:hAnsi="Times New Roman"/>
                <w:b/>
                <w:bCs/>
                <w:sz w:val="18"/>
                <w:szCs w:val="18"/>
              </w:rPr>
            </w:pPr>
            <w:r w:rsidRPr="000D6854">
              <w:rPr>
                <w:b/>
                <w:bCs/>
              </w:rPr>
              <w:t>Mutation Analyses Detected</w:t>
            </w:r>
            <w:r w:rsidRPr="000D6854">
              <w:rPr>
                <w:b/>
                <w:bCs/>
                <w:spacing w:val="3"/>
              </w:rPr>
              <w:t xml:space="preserve"> </w:t>
            </w:r>
            <w:r w:rsidRPr="000D6854">
              <w:rPr>
                <w:b/>
                <w:bCs/>
              </w:rPr>
              <w:t>–</w:t>
            </w:r>
            <w:r w:rsidRPr="000D6854">
              <w:rPr>
                <w:b/>
                <w:bCs/>
                <w:spacing w:val="-1"/>
              </w:rPr>
              <w:t xml:space="preserve"> </w:t>
            </w:r>
            <w:r w:rsidRPr="000D6854">
              <w:rPr>
                <w:b/>
                <w:bCs/>
              </w:rPr>
              <w:t>n/N</w:t>
            </w:r>
            <w:r w:rsidRPr="000D6854">
              <w:rPr>
                <w:b/>
                <w:bCs/>
                <w:vertAlign w:val="superscript"/>
              </w:rPr>
              <w:t>b</w:t>
            </w:r>
            <w:r w:rsidRPr="000D6854">
              <w:rPr>
                <w:b/>
                <w:bCs/>
              </w:rPr>
              <w:t xml:space="preserve"> (%)</w:t>
            </w:r>
          </w:p>
        </w:tc>
      </w:tr>
      <w:tr w:rsidR="00252AA1" w14:paraId="6E5C48A3" w14:textId="77777777" w:rsidTr="000D6854">
        <w:trPr>
          <w:trHeight w:val="244"/>
        </w:trPr>
        <w:tc>
          <w:tcPr>
            <w:tcW w:w="2050" w:type="pct"/>
          </w:tcPr>
          <w:p w14:paraId="629FC19D" w14:textId="77777777" w:rsidR="00252AA1" w:rsidRDefault="00252AA1" w:rsidP="00252AA1">
            <w:pPr>
              <w:pStyle w:val="Tabletext"/>
              <w:rPr>
                <w:vertAlign w:val="superscript"/>
              </w:rPr>
            </w:pPr>
            <w:r>
              <w:t>IDH1</w:t>
            </w:r>
            <w:r>
              <w:rPr>
                <w:vertAlign w:val="superscript"/>
              </w:rPr>
              <w:t>c</w:t>
            </w:r>
            <w:r>
              <w:rPr>
                <w:spacing w:val="-1"/>
              </w:rPr>
              <w:t xml:space="preserve"> </w:t>
            </w:r>
            <w:r>
              <w:t>and/or IDH2</w:t>
            </w:r>
            <w:r>
              <w:rPr>
                <w:vertAlign w:val="superscript"/>
              </w:rPr>
              <w:t>d</w:t>
            </w:r>
          </w:p>
        </w:tc>
        <w:tc>
          <w:tcPr>
            <w:tcW w:w="1520" w:type="pct"/>
          </w:tcPr>
          <w:p w14:paraId="25D39A0D" w14:textId="77777777" w:rsidR="00252AA1" w:rsidRDefault="00252AA1" w:rsidP="00252AA1">
            <w:pPr>
              <w:pStyle w:val="Tabletext"/>
            </w:pPr>
            <w:r>
              <w:t>28/127</w:t>
            </w:r>
            <w:r>
              <w:rPr>
                <w:spacing w:val="-1"/>
              </w:rPr>
              <w:t xml:space="preserve"> </w:t>
            </w:r>
            <w:r>
              <w:t>(22.0)</w:t>
            </w:r>
          </w:p>
        </w:tc>
        <w:tc>
          <w:tcPr>
            <w:tcW w:w="1430" w:type="pct"/>
          </w:tcPr>
          <w:p w14:paraId="41C99B6C" w14:textId="77777777" w:rsidR="00252AA1" w:rsidRDefault="00252AA1" w:rsidP="00252AA1">
            <w:pPr>
              <w:pStyle w:val="Tabletext"/>
            </w:pPr>
            <w:r>
              <w:t>61/245</w:t>
            </w:r>
            <w:r>
              <w:rPr>
                <w:spacing w:val="-1"/>
              </w:rPr>
              <w:t xml:space="preserve"> </w:t>
            </w:r>
            <w:r>
              <w:t>(24.9)</w:t>
            </w:r>
          </w:p>
        </w:tc>
      </w:tr>
      <w:tr w:rsidR="00252AA1" w14:paraId="6FB610A4" w14:textId="77777777" w:rsidTr="000D6854">
        <w:trPr>
          <w:trHeight w:val="732"/>
        </w:trPr>
        <w:tc>
          <w:tcPr>
            <w:tcW w:w="2050" w:type="pct"/>
          </w:tcPr>
          <w:p w14:paraId="655B7D37" w14:textId="77777777" w:rsidR="00252AA1" w:rsidRDefault="00252AA1" w:rsidP="00252AA1">
            <w:pPr>
              <w:pStyle w:val="Tabletext"/>
            </w:pPr>
            <w:r>
              <w:t>IDH1</w:t>
            </w:r>
            <w:r>
              <w:rPr>
                <w:vertAlign w:val="superscript"/>
              </w:rPr>
              <w:t>c</w:t>
            </w:r>
          </w:p>
          <w:p w14:paraId="01DF8552" w14:textId="77777777" w:rsidR="00252AA1" w:rsidRDefault="00252AA1" w:rsidP="00252AA1">
            <w:pPr>
              <w:pStyle w:val="Tabletext"/>
            </w:pPr>
            <w:r>
              <w:t>IDH2</w:t>
            </w:r>
            <w:r>
              <w:rPr>
                <w:vertAlign w:val="superscript"/>
              </w:rPr>
              <w:t>d</w:t>
            </w:r>
          </w:p>
          <w:p w14:paraId="770A4233" w14:textId="77777777" w:rsidR="00252AA1" w:rsidRDefault="00252AA1" w:rsidP="00252AA1">
            <w:pPr>
              <w:pStyle w:val="Tabletext"/>
              <w:rPr>
                <w:vertAlign w:val="superscript"/>
              </w:rPr>
            </w:pPr>
            <w:r>
              <w:t>FLT3</w:t>
            </w:r>
            <w:r>
              <w:rPr>
                <w:vertAlign w:val="superscript"/>
              </w:rPr>
              <w:t>e</w:t>
            </w:r>
          </w:p>
        </w:tc>
        <w:tc>
          <w:tcPr>
            <w:tcW w:w="1520" w:type="pct"/>
          </w:tcPr>
          <w:p w14:paraId="5F9A8D32" w14:textId="77777777" w:rsidR="00252AA1" w:rsidRDefault="00252AA1" w:rsidP="00252AA1">
            <w:pPr>
              <w:pStyle w:val="Tabletext"/>
            </w:pPr>
            <w:r>
              <w:t>11/127</w:t>
            </w:r>
            <w:r>
              <w:rPr>
                <w:spacing w:val="-1"/>
              </w:rPr>
              <w:t xml:space="preserve"> </w:t>
            </w:r>
            <w:r>
              <w:t>(8.7)</w:t>
            </w:r>
          </w:p>
          <w:p w14:paraId="4727B2DF" w14:textId="77777777" w:rsidR="00252AA1" w:rsidRDefault="00252AA1" w:rsidP="00252AA1">
            <w:pPr>
              <w:pStyle w:val="Tabletext"/>
            </w:pPr>
            <w:r>
              <w:t>18/127</w:t>
            </w:r>
            <w:r>
              <w:rPr>
                <w:spacing w:val="-1"/>
              </w:rPr>
              <w:t xml:space="preserve"> </w:t>
            </w:r>
            <w:r>
              <w:t>(14.2)</w:t>
            </w:r>
          </w:p>
          <w:p w14:paraId="5905EA94" w14:textId="77777777" w:rsidR="00252AA1" w:rsidRDefault="00252AA1" w:rsidP="00252AA1">
            <w:pPr>
              <w:pStyle w:val="Tabletext"/>
            </w:pPr>
            <w:r>
              <w:t>22/108</w:t>
            </w:r>
            <w:r>
              <w:rPr>
                <w:spacing w:val="-1"/>
              </w:rPr>
              <w:t xml:space="preserve"> </w:t>
            </w:r>
            <w:r>
              <w:t>(20.4)</w:t>
            </w:r>
          </w:p>
        </w:tc>
        <w:tc>
          <w:tcPr>
            <w:tcW w:w="1430" w:type="pct"/>
          </w:tcPr>
          <w:p w14:paraId="53051A3D" w14:textId="77777777" w:rsidR="00252AA1" w:rsidRDefault="00252AA1" w:rsidP="00252AA1">
            <w:pPr>
              <w:pStyle w:val="Tabletext"/>
            </w:pPr>
            <w:r>
              <w:t>23/245</w:t>
            </w:r>
            <w:r>
              <w:rPr>
                <w:spacing w:val="-1"/>
              </w:rPr>
              <w:t xml:space="preserve"> </w:t>
            </w:r>
            <w:r>
              <w:t>(9.4)</w:t>
            </w:r>
          </w:p>
          <w:p w14:paraId="05CC7446" w14:textId="77777777" w:rsidR="00252AA1" w:rsidRDefault="00252AA1" w:rsidP="00252AA1">
            <w:pPr>
              <w:pStyle w:val="Tabletext"/>
            </w:pPr>
            <w:r>
              <w:t>40/245</w:t>
            </w:r>
            <w:r>
              <w:rPr>
                <w:spacing w:val="-1"/>
              </w:rPr>
              <w:t xml:space="preserve"> </w:t>
            </w:r>
            <w:r>
              <w:t>(16.3)</w:t>
            </w:r>
          </w:p>
          <w:p w14:paraId="0F955A4E" w14:textId="77777777" w:rsidR="00252AA1" w:rsidRDefault="00252AA1" w:rsidP="00252AA1">
            <w:pPr>
              <w:pStyle w:val="Tabletext"/>
            </w:pPr>
            <w:r>
              <w:t>29/206</w:t>
            </w:r>
            <w:r>
              <w:rPr>
                <w:spacing w:val="-1"/>
              </w:rPr>
              <w:t xml:space="preserve"> </w:t>
            </w:r>
            <w:r>
              <w:t>(14.1)</w:t>
            </w:r>
          </w:p>
        </w:tc>
      </w:tr>
      <w:tr w:rsidR="00252AA1" w14:paraId="5DAF2AF0" w14:textId="77777777" w:rsidTr="000D6854">
        <w:trPr>
          <w:trHeight w:val="244"/>
        </w:trPr>
        <w:tc>
          <w:tcPr>
            <w:tcW w:w="2050" w:type="pct"/>
          </w:tcPr>
          <w:p w14:paraId="36A94729" w14:textId="77777777" w:rsidR="00252AA1" w:rsidRDefault="00252AA1" w:rsidP="00252AA1">
            <w:pPr>
              <w:pStyle w:val="Tabletext"/>
              <w:rPr>
                <w:vertAlign w:val="superscript"/>
              </w:rPr>
            </w:pPr>
            <w:r>
              <w:t>NPM1</w:t>
            </w:r>
            <w:r>
              <w:rPr>
                <w:vertAlign w:val="superscript"/>
              </w:rPr>
              <w:t>f</w:t>
            </w:r>
          </w:p>
        </w:tc>
        <w:tc>
          <w:tcPr>
            <w:tcW w:w="1520" w:type="pct"/>
          </w:tcPr>
          <w:p w14:paraId="171BB2CF" w14:textId="77777777" w:rsidR="00252AA1" w:rsidRDefault="00252AA1" w:rsidP="00252AA1">
            <w:pPr>
              <w:pStyle w:val="Tabletext"/>
            </w:pPr>
            <w:r>
              <w:t>17/86</w:t>
            </w:r>
            <w:r>
              <w:rPr>
                <w:spacing w:val="-1"/>
              </w:rPr>
              <w:t xml:space="preserve"> </w:t>
            </w:r>
            <w:r>
              <w:t>(19.8)</w:t>
            </w:r>
          </w:p>
        </w:tc>
        <w:tc>
          <w:tcPr>
            <w:tcW w:w="1430" w:type="pct"/>
          </w:tcPr>
          <w:p w14:paraId="1CA76A8B" w14:textId="77777777" w:rsidR="00252AA1" w:rsidRDefault="00252AA1" w:rsidP="00252AA1">
            <w:pPr>
              <w:pStyle w:val="Tabletext"/>
            </w:pPr>
            <w:r>
              <w:t>27/163</w:t>
            </w:r>
            <w:r>
              <w:rPr>
                <w:spacing w:val="-1"/>
              </w:rPr>
              <w:t xml:space="preserve"> </w:t>
            </w:r>
            <w:r>
              <w:t>(16.6)</w:t>
            </w:r>
          </w:p>
        </w:tc>
      </w:tr>
      <w:tr w:rsidR="00252AA1" w14:paraId="0150CC58" w14:textId="77777777" w:rsidTr="000D6854">
        <w:trPr>
          <w:trHeight w:val="233"/>
        </w:trPr>
        <w:tc>
          <w:tcPr>
            <w:tcW w:w="2050" w:type="pct"/>
          </w:tcPr>
          <w:p w14:paraId="240F2E3A" w14:textId="77777777" w:rsidR="00252AA1" w:rsidRDefault="00252AA1" w:rsidP="00252AA1">
            <w:pPr>
              <w:pStyle w:val="Tabletext"/>
              <w:rPr>
                <w:vertAlign w:val="superscript"/>
              </w:rPr>
            </w:pPr>
            <w:r>
              <w:t>TP53</w:t>
            </w:r>
            <w:r>
              <w:rPr>
                <w:vertAlign w:val="superscript"/>
              </w:rPr>
              <w:t>f</w:t>
            </w:r>
          </w:p>
        </w:tc>
        <w:tc>
          <w:tcPr>
            <w:tcW w:w="1520" w:type="pct"/>
          </w:tcPr>
          <w:p w14:paraId="756D3644" w14:textId="77777777" w:rsidR="00252AA1" w:rsidRDefault="00252AA1" w:rsidP="00252AA1">
            <w:pPr>
              <w:pStyle w:val="Tabletext"/>
            </w:pPr>
            <w:r>
              <w:t>14/86</w:t>
            </w:r>
            <w:r>
              <w:rPr>
                <w:spacing w:val="-1"/>
              </w:rPr>
              <w:t xml:space="preserve"> </w:t>
            </w:r>
            <w:r>
              <w:t>(16.3)</w:t>
            </w:r>
          </w:p>
        </w:tc>
        <w:tc>
          <w:tcPr>
            <w:tcW w:w="1430" w:type="pct"/>
          </w:tcPr>
          <w:p w14:paraId="79C7CEAD" w14:textId="77777777" w:rsidR="00252AA1" w:rsidRDefault="00252AA1" w:rsidP="00252AA1">
            <w:pPr>
              <w:pStyle w:val="Tabletext"/>
            </w:pPr>
            <w:r>
              <w:t>38/163</w:t>
            </w:r>
            <w:r>
              <w:rPr>
                <w:spacing w:val="-1"/>
              </w:rPr>
              <w:t xml:space="preserve"> </w:t>
            </w:r>
            <w:r>
              <w:t>(23.3)</w:t>
            </w:r>
          </w:p>
        </w:tc>
      </w:tr>
    </w:tbl>
    <w:p w14:paraId="3A915763" w14:textId="77777777" w:rsidR="000D6854" w:rsidRDefault="000D6854" w:rsidP="000D6854">
      <w:pPr>
        <w:pStyle w:val="TableDescription"/>
      </w:pPr>
      <w:r w:rsidRPr="00C17EF4">
        <w:t>FLT3 =</w:t>
      </w:r>
      <w:r w:rsidRPr="00C17EF4">
        <w:rPr>
          <w:spacing w:val="-1"/>
        </w:rPr>
        <w:t xml:space="preserve"> </w:t>
      </w:r>
      <w:r w:rsidRPr="00C17EF4">
        <w:t>FMS-like</w:t>
      </w:r>
      <w:r w:rsidRPr="00C17EF4">
        <w:rPr>
          <w:spacing w:val="-1"/>
        </w:rPr>
        <w:t xml:space="preserve"> </w:t>
      </w:r>
      <w:r w:rsidRPr="00C17EF4">
        <w:t>tyrosine</w:t>
      </w:r>
      <w:r w:rsidRPr="00C17EF4">
        <w:rPr>
          <w:spacing w:val="-1"/>
        </w:rPr>
        <w:t xml:space="preserve"> </w:t>
      </w:r>
      <w:r w:rsidRPr="00C17EF4">
        <w:t>kinase</w:t>
      </w:r>
      <w:r w:rsidRPr="00C17EF4">
        <w:rPr>
          <w:spacing w:val="-1"/>
        </w:rPr>
        <w:t xml:space="preserve"> </w:t>
      </w:r>
      <w:r w:rsidRPr="00C17EF4">
        <w:t>3;</w:t>
      </w:r>
      <w:r w:rsidRPr="00C17EF4">
        <w:rPr>
          <w:spacing w:val="-1"/>
        </w:rPr>
        <w:t xml:space="preserve"> </w:t>
      </w:r>
      <w:r w:rsidRPr="00C17EF4">
        <w:t>IDH =</w:t>
      </w:r>
      <w:r w:rsidRPr="00C17EF4">
        <w:rPr>
          <w:spacing w:val="-1"/>
        </w:rPr>
        <w:t xml:space="preserve"> </w:t>
      </w:r>
      <w:r w:rsidRPr="00C17EF4">
        <w:t>isocitrate</w:t>
      </w:r>
      <w:r w:rsidRPr="00C17EF4">
        <w:rPr>
          <w:spacing w:val="-1"/>
        </w:rPr>
        <w:t xml:space="preserve"> </w:t>
      </w:r>
      <w:r w:rsidRPr="00C17EF4">
        <w:t>dehydrogenase;</w:t>
      </w:r>
      <w:r w:rsidRPr="00C17EF4">
        <w:rPr>
          <w:spacing w:val="2"/>
        </w:rPr>
        <w:t xml:space="preserve"> </w:t>
      </w:r>
      <w:r w:rsidRPr="00C17EF4">
        <w:t>N</w:t>
      </w:r>
      <w:r w:rsidRPr="00C17EF4">
        <w:rPr>
          <w:spacing w:val="-1"/>
        </w:rPr>
        <w:t xml:space="preserve"> </w:t>
      </w:r>
      <w:r w:rsidRPr="00C17EF4">
        <w:t>=</w:t>
      </w:r>
      <w:r w:rsidRPr="00C17EF4">
        <w:rPr>
          <w:spacing w:val="-1"/>
        </w:rPr>
        <w:t xml:space="preserve"> </w:t>
      </w:r>
      <w:r w:rsidRPr="00C17EF4">
        <w:t>sample</w:t>
      </w:r>
      <w:r w:rsidRPr="00C17EF4">
        <w:rPr>
          <w:spacing w:val="-2"/>
        </w:rPr>
        <w:t xml:space="preserve"> </w:t>
      </w:r>
      <w:r w:rsidRPr="00C17EF4">
        <w:t>size;</w:t>
      </w:r>
      <w:r w:rsidRPr="00C17EF4">
        <w:rPr>
          <w:spacing w:val="2"/>
        </w:rPr>
        <w:t xml:space="preserve"> </w:t>
      </w:r>
      <w:r w:rsidRPr="00C17EF4">
        <w:t>n</w:t>
      </w:r>
      <w:r w:rsidRPr="00C17EF4">
        <w:rPr>
          <w:spacing w:val="-1"/>
        </w:rPr>
        <w:t xml:space="preserve"> </w:t>
      </w:r>
      <w:r w:rsidRPr="00C17EF4">
        <w:t>=</w:t>
      </w:r>
      <w:r w:rsidRPr="00C17EF4">
        <w:rPr>
          <w:spacing w:val="-1"/>
        </w:rPr>
        <w:t xml:space="preserve"> </w:t>
      </w:r>
      <w:r w:rsidRPr="00C17EF4">
        <w:t>number</w:t>
      </w:r>
      <w:r w:rsidRPr="00C17EF4">
        <w:rPr>
          <w:spacing w:val="-1"/>
        </w:rPr>
        <w:t xml:space="preserve"> </w:t>
      </w:r>
      <w:r w:rsidRPr="00C17EF4">
        <w:t>of patients;</w:t>
      </w:r>
      <w:r>
        <w:t xml:space="preserve"> </w:t>
      </w:r>
      <w:r w:rsidRPr="00C17EF4">
        <w:t>NPM</w:t>
      </w:r>
      <w:r w:rsidRPr="00C17EF4">
        <w:rPr>
          <w:spacing w:val="-1"/>
        </w:rPr>
        <w:t xml:space="preserve"> </w:t>
      </w:r>
      <w:r w:rsidRPr="00C17EF4">
        <w:t>=</w:t>
      </w:r>
      <w:proofErr w:type="spellStart"/>
      <w:r w:rsidRPr="00C17EF4">
        <w:t>nucleophosmin</w:t>
      </w:r>
      <w:proofErr w:type="spellEnd"/>
      <w:r w:rsidRPr="00C17EF4">
        <w:t>; PBO =</w:t>
      </w:r>
      <w:r w:rsidRPr="00C17EF4">
        <w:rPr>
          <w:spacing w:val="-1"/>
        </w:rPr>
        <w:t xml:space="preserve"> </w:t>
      </w:r>
      <w:r w:rsidRPr="00C17EF4">
        <w:t>placebo; TP =</w:t>
      </w:r>
      <w:r w:rsidRPr="00C17EF4">
        <w:rPr>
          <w:spacing w:val="-1"/>
        </w:rPr>
        <w:t xml:space="preserve"> </w:t>
      </w:r>
      <w:proofErr w:type="spellStart"/>
      <w:r w:rsidRPr="00C17EF4">
        <w:t>tumor</w:t>
      </w:r>
      <w:proofErr w:type="spellEnd"/>
      <w:r w:rsidRPr="00C17EF4">
        <w:rPr>
          <w:spacing w:val="-1"/>
        </w:rPr>
        <w:t xml:space="preserve"> </w:t>
      </w:r>
      <w:r w:rsidRPr="00C17EF4">
        <w:t>protein; VEN</w:t>
      </w:r>
      <w:r w:rsidRPr="00C17EF4">
        <w:rPr>
          <w:spacing w:val="-1"/>
        </w:rPr>
        <w:t xml:space="preserve"> </w:t>
      </w:r>
      <w:r w:rsidRPr="00C17EF4">
        <w:t>=</w:t>
      </w:r>
      <w:r w:rsidRPr="00C17EF4">
        <w:rPr>
          <w:spacing w:val="-2"/>
        </w:rPr>
        <w:t xml:space="preserve"> </w:t>
      </w:r>
      <w:proofErr w:type="spellStart"/>
      <w:r w:rsidRPr="00C17EF4">
        <w:t>venetoclax</w:t>
      </w:r>
      <w:proofErr w:type="spellEnd"/>
      <w:r>
        <w:t>.</w:t>
      </w:r>
    </w:p>
    <w:p w14:paraId="15636C35" w14:textId="0BA20309" w:rsidR="000D6854" w:rsidRDefault="000D6854" w:rsidP="000D6854">
      <w:pPr>
        <w:pStyle w:val="TableDescription"/>
      </w:pPr>
      <w:r>
        <w:t xml:space="preserve">Data </w:t>
      </w:r>
      <w:proofErr w:type="spellStart"/>
      <w:r>
        <w:t>cutoff</w:t>
      </w:r>
      <w:proofErr w:type="spellEnd"/>
      <w:r>
        <w:t xml:space="preserve"> 4 January 2020.</w:t>
      </w:r>
    </w:p>
    <w:p w14:paraId="615B289D" w14:textId="7E490BAE" w:rsidR="00B25115" w:rsidRDefault="00B25115" w:rsidP="000D6854">
      <w:pPr>
        <w:pStyle w:val="TableDescription"/>
      </w:pPr>
      <w:r>
        <w:t xml:space="preserve">a. </w:t>
      </w:r>
      <w:r w:rsidRPr="00B25115">
        <w:t>Per the 2016 National Comprehensive Cancer Network (NCCN) Guidelines</w:t>
      </w:r>
    </w:p>
    <w:p w14:paraId="35D79AE2" w14:textId="50E971AA" w:rsidR="000D6854" w:rsidRDefault="000D6854" w:rsidP="000D6854">
      <w:pPr>
        <w:pStyle w:val="TableDescription"/>
      </w:pPr>
      <w:r>
        <w:t xml:space="preserve">b. </w:t>
      </w:r>
      <w:r w:rsidRPr="00C17EF4">
        <w:t>Number</w:t>
      </w:r>
      <w:r w:rsidRPr="00C17EF4">
        <w:rPr>
          <w:spacing w:val="-1"/>
        </w:rPr>
        <w:t xml:space="preserve"> </w:t>
      </w:r>
      <w:r w:rsidRPr="00C17EF4">
        <w:t>of evaluable</w:t>
      </w:r>
      <w:r w:rsidRPr="00C17EF4">
        <w:rPr>
          <w:spacing w:val="-1"/>
        </w:rPr>
        <w:t xml:space="preserve"> </w:t>
      </w:r>
      <w:r w:rsidRPr="00C17EF4">
        <w:t>biomarker</w:t>
      </w:r>
      <w:r w:rsidRPr="00C17EF4">
        <w:rPr>
          <w:spacing w:val="-1"/>
        </w:rPr>
        <w:t xml:space="preserve"> </w:t>
      </w:r>
      <w:r w:rsidRPr="00C17EF4">
        <w:t>mutation</w:t>
      </w:r>
      <w:r w:rsidRPr="00C17EF4">
        <w:rPr>
          <w:spacing w:val="-1"/>
        </w:rPr>
        <w:t xml:space="preserve"> </w:t>
      </w:r>
      <w:r w:rsidRPr="00C17EF4">
        <w:t>analysis</w:t>
      </w:r>
      <w:r w:rsidRPr="00C17EF4">
        <w:rPr>
          <w:spacing w:val="1"/>
        </w:rPr>
        <w:t xml:space="preserve"> </w:t>
      </w:r>
      <w:r w:rsidRPr="00C17EF4">
        <w:t>specimens</w:t>
      </w:r>
      <w:r w:rsidRPr="00C17EF4">
        <w:rPr>
          <w:spacing w:val="-1"/>
        </w:rPr>
        <w:t xml:space="preserve"> </w:t>
      </w:r>
      <w:r w:rsidRPr="00C17EF4">
        <w:t>received</w:t>
      </w:r>
      <w:r w:rsidRPr="00C17EF4">
        <w:rPr>
          <w:spacing w:val="-1"/>
        </w:rPr>
        <w:t xml:space="preserve"> </w:t>
      </w:r>
      <w:r w:rsidR="00C7639C">
        <w:t>at Baseline</w:t>
      </w:r>
    </w:p>
    <w:p w14:paraId="4B602116" w14:textId="524DCEEE" w:rsidR="000D6854" w:rsidRDefault="000D6854" w:rsidP="000D6854">
      <w:pPr>
        <w:pStyle w:val="TableDescription"/>
      </w:pPr>
      <w:r>
        <w:lastRenderedPageBreak/>
        <w:t xml:space="preserve">c. </w:t>
      </w:r>
      <w:r w:rsidRPr="00C17EF4">
        <w:t>Detected</w:t>
      </w:r>
      <w:r w:rsidRPr="00C17EF4">
        <w:rPr>
          <w:spacing w:val="-1"/>
        </w:rPr>
        <w:t xml:space="preserve"> </w:t>
      </w:r>
      <w:r w:rsidRPr="00C17EF4">
        <w:t>by</w:t>
      </w:r>
      <w:r w:rsidRPr="00C17EF4">
        <w:rPr>
          <w:spacing w:val="2"/>
        </w:rPr>
        <w:t xml:space="preserve"> </w:t>
      </w:r>
      <w:r w:rsidRPr="00C17EF4">
        <w:t>Abbott</w:t>
      </w:r>
      <w:r w:rsidRPr="00C17EF4">
        <w:rPr>
          <w:spacing w:val="-1"/>
        </w:rPr>
        <w:t xml:space="preserve"> </w:t>
      </w:r>
      <w:proofErr w:type="spellStart"/>
      <w:r w:rsidRPr="00C17EF4">
        <w:t>RealT</w:t>
      </w:r>
      <w:r w:rsidRPr="000D6854">
        <w:t>ime</w:t>
      </w:r>
      <w:proofErr w:type="spellEnd"/>
      <w:r w:rsidRPr="00C17EF4">
        <w:rPr>
          <w:i/>
          <w:iCs/>
        </w:rPr>
        <w:t xml:space="preserve"> </w:t>
      </w:r>
      <w:r w:rsidRPr="00C17EF4">
        <w:t>IDH1 assay</w:t>
      </w:r>
    </w:p>
    <w:p w14:paraId="26365EFC" w14:textId="77777777" w:rsidR="000D6854" w:rsidRDefault="000D6854" w:rsidP="000D6854">
      <w:pPr>
        <w:pStyle w:val="TableDescription"/>
      </w:pPr>
      <w:r>
        <w:t xml:space="preserve">d. </w:t>
      </w:r>
      <w:r w:rsidRPr="00C17EF4">
        <w:t>Detected</w:t>
      </w:r>
      <w:r w:rsidRPr="00C17EF4">
        <w:rPr>
          <w:spacing w:val="-1"/>
        </w:rPr>
        <w:t xml:space="preserve"> </w:t>
      </w:r>
      <w:r w:rsidRPr="00C17EF4">
        <w:t>by Abbott</w:t>
      </w:r>
      <w:r w:rsidRPr="00C17EF4">
        <w:rPr>
          <w:spacing w:val="-1"/>
        </w:rPr>
        <w:t xml:space="preserve"> </w:t>
      </w:r>
      <w:proofErr w:type="spellStart"/>
      <w:r w:rsidRPr="00C17EF4">
        <w:t>RealT</w:t>
      </w:r>
      <w:r w:rsidRPr="000D6854">
        <w:t>ime</w:t>
      </w:r>
      <w:proofErr w:type="spellEnd"/>
      <w:r w:rsidRPr="00C17EF4">
        <w:rPr>
          <w:i/>
          <w:iCs/>
          <w:spacing w:val="2"/>
        </w:rPr>
        <w:t xml:space="preserve"> </w:t>
      </w:r>
      <w:r w:rsidRPr="00C17EF4">
        <w:t>IDH2 assay</w:t>
      </w:r>
    </w:p>
    <w:p w14:paraId="3BC14090" w14:textId="7554216A" w:rsidR="00252AA1" w:rsidRDefault="000D6854" w:rsidP="000D6854">
      <w:pPr>
        <w:pStyle w:val="TableDescription"/>
      </w:pPr>
      <w:r>
        <w:t xml:space="preserve">e. </w:t>
      </w:r>
      <w:r w:rsidRPr="00C17EF4">
        <w:t>Detected</w:t>
      </w:r>
      <w:r w:rsidRPr="00C17EF4">
        <w:rPr>
          <w:spacing w:val="-1"/>
        </w:rPr>
        <w:t xml:space="preserve"> </w:t>
      </w:r>
      <w:r w:rsidRPr="00C17EF4">
        <w:t xml:space="preserve">by </w:t>
      </w:r>
      <w:proofErr w:type="spellStart"/>
      <w:r w:rsidRPr="00C17EF4">
        <w:t>LeukoStrat</w:t>
      </w:r>
      <w:proofErr w:type="spellEnd"/>
      <w:r w:rsidRPr="00C17EF4">
        <w:t xml:space="preserve"> </w:t>
      </w:r>
      <w:proofErr w:type="spellStart"/>
      <w:r w:rsidRPr="00C17EF4">
        <w:t>CDx</w:t>
      </w:r>
      <w:proofErr w:type="spellEnd"/>
      <w:r w:rsidRPr="00C17EF4">
        <w:rPr>
          <w:spacing w:val="1"/>
        </w:rPr>
        <w:t xml:space="preserve"> </w:t>
      </w:r>
      <w:r w:rsidRPr="00C17EF4">
        <w:t>FLT3 mutation</w:t>
      </w:r>
      <w:r w:rsidRPr="00C17EF4">
        <w:rPr>
          <w:spacing w:val="-1"/>
        </w:rPr>
        <w:t xml:space="preserve"> </w:t>
      </w:r>
      <w:r w:rsidRPr="00C17EF4">
        <w:t>assay</w:t>
      </w:r>
      <w:r>
        <w:t xml:space="preserve"> f. </w:t>
      </w:r>
      <w:r w:rsidRPr="00C17EF4">
        <w:t>Detected</w:t>
      </w:r>
      <w:r w:rsidRPr="00C17EF4">
        <w:rPr>
          <w:spacing w:val="1"/>
        </w:rPr>
        <w:t xml:space="preserve"> </w:t>
      </w:r>
      <w:r w:rsidRPr="00C17EF4">
        <w:t xml:space="preserve">by </w:t>
      </w:r>
      <w:proofErr w:type="spellStart"/>
      <w:r w:rsidRPr="00C17EF4">
        <w:t>MyAML</w:t>
      </w:r>
      <w:proofErr w:type="spellEnd"/>
      <w:r w:rsidRPr="00C17EF4">
        <w:t xml:space="preserve"> assay</w:t>
      </w:r>
    </w:p>
    <w:p w14:paraId="0B9F3F36" w14:textId="54059373" w:rsidR="000D6854" w:rsidRDefault="000D6854" w:rsidP="000D6854">
      <w:r w:rsidRPr="00C20E0F">
        <w:t>Follow</w:t>
      </w:r>
      <w:r w:rsidR="00C20E0F" w:rsidRPr="00C20E0F">
        <w:t xml:space="preserve"> </w:t>
      </w:r>
      <w:r w:rsidRPr="00C20E0F">
        <w:t xml:space="preserve">up for this study was for 20.5 months. Treatment duration was 7.6 months for </w:t>
      </w:r>
      <w:proofErr w:type="spellStart"/>
      <w:r w:rsidR="002557F5" w:rsidRPr="00C20E0F">
        <w:t>ven</w:t>
      </w:r>
      <w:r w:rsidR="00C20E0F" w:rsidRPr="00C20E0F">
        <w:t>e</w:t>
      </w:r>
      <w:r w:rsidR="002557F5" w:rsidRPr="00C20E0F">
        <w:t>toclax</w:t>
      </w:r>
      <w:proofErr w:type="spellEnd"/>
      <w:r w:rsidR="002557F5" w:rsidRPr="00C20E0F">
        <w:t xml:space="preserve"> in combination with </w:t>
      </w:r>
      <w:proofErr w:type="spellStart"/>
      <w:r w:rsidR="002557F5" w:rsidRPr="00C20E0F">
        <w:t>azacitidine</w:t>
      </w:r>
      <w:proofErr w:type="spellEnd"/>
      <w:r w:rsidR="002557F5" w:rsidRPr="00C20E0F">
        <w:t xml:space="preserve"> </w:t>
      </w:r>
      <w:r w:rsidRPr="00C20E0F">
        <w:t xml:space="preserve">arm and 4.3 months for the </w:t>
      </w:r>
      <w:r w:rsidR="002557F5" w:rsidRPr="00C20E0F">
        <w:t xml:space="preserve">placebo in combination with </w:t>
      </w:r>
      <w:proofErr w:type="spellStart"/>
      <w:r w:rsidR="002557F5" w:rsidRPr="00C20E0F">
        <w:t>azacitidine</w:t>
      </w:r>
      <w:proofErr w:type="spellEnd"/>
      <w:r w:rsidRPr="00C20E0F">
        <w:t xml:space="preserve"> arm, with 37.5% and 20.8% of </w:t>
      </w:r>
      <w:proofErr w:type="spellStart"/>
      <w:r w:rsidR="00C20E0F" w:rsidRPr="00C20E0F">
        <w:t>venetoclax</w:t>
      </w:r>
      <w:proofErr w:type="spellEnd"/>
      <w:r w:rsidR="002557F5" w:rsidRPr="00C20E0F">
        <w:t xml:space="preserve"> in combination with </w:t>
      </w:r>
      <w:proofErr w:type="spellStart"/>
      <w:r w:rsidR="002557F5" w:rsidRPr="00C20E0F">
        <w:t>azacitidine</w:t>
      </w:r>
      <w:proofErr w:type="spellEnd"/>
      <w:r w:rsidR="002557F5" w:rsidRPr="00C20E0F">
        <w:t xml:space="preserve"> </w:t>
      </w:r>
      <w:r w:rsidRPr="00C20E0F">
        <w:t xml:space="preserve">arm and </w:t>
      </w:r>
      <w:r w:rsidR="002557F5" w:rsidRPr="00C20E0F">
        <w:t xml:space="preserve">placebo in combination with </w:t>
      </w:r>
      <w:proofErr w:type="spellStart"/>
      <w:r w:rsidR="002557F5" w:rsidRPr="00C20E0F">
        <w:t>azacitidine</w:t>
      </w:r>
      <w:proofErr w:type="spellEnd"/>
      <w:r w:rsidR="002557F5" w:rsidRPr="00C20E0F">
        <w:t xml:space="preserve"> </w:t>
      </w:r>
      <w:r w:rsidRPr="00C20E0F">
        <w:t xml:space="preserve">arm, respectively treated for </w:t>
      </w:r>
      <w:r w:rsidR="00F73C61">
        <w:t>more than</w:t>
      </w:r>
      <w:r w:rsidRPr="00C20E0F">
        <w:t xml:space="preserve"> 12 months.</w:t>
      </w:r>
    </w:p>
    <w:p w14:paraId="7748B8CE" w14:textId="1741E21E" w:rsidR="000D6854" w:rsidRDefault="000D6854" w:rsidP="000D6854">
      <w:r>
        <w:t>Patients underwent a median of 7 cycles and 4.5 cycles of therapy</w:t>
      </w:r>
      <w:r w:rsidR="002557F5">
        <w:t xml:space="preserve">, </w:t>
      </w:r>
      <w:proofErr w:type="spellStart"/>
      <w:r w:rsidR="00C20E0F">
        <w:t>venetoclax</w:t>
      </w:r>
      <w:proofErr w:type="spellEnd"/>
      <w:r w:rsidR="002557F5">
        <w:t xml:space="preserve"> in combination with </w:t>
      </w:r>
      <w:proofErr w:type="spellStart"/>
      <w:r w:rsidR="002557F5">
        <w:t>azacitidine</w:t>
      </w:r>
      <w:proofErr w:type="spellEnd"/>
      <w:r>
        <w:t xml:space="preserve"> arm and </w:t>
      </w:r>
      <w:r w:rsidR="002557F5">
        <w:t>placebo</w:t>
      </w:r>
      <w:r w:rsidR="002557F5" w:rsidRPr="002557F5">
        <w:t xml:space="preserve"> </w:t>
      </w:r>
      <w:r w:rsidR="002557F5">
        <w:t xml:space="preserve">in combination with </w:t>
      </w:r>
      <w:proofErr w:type="spellStart"/>
      <w:r w:rsidR="002557F5">
        <w:t>azacitidine</w:t>
      </w:r>
      <w:proofErr w:type="spellEnd"/>
      <w:r w:rsidR="002557F5">
        <w:t xml:space="preserve"> </w:t>
      </w:r>
      <w:r>
        <w:t>arm, respectively. Around</w:t>
      </w:r>
      <w:r w:rsidR="00F73C61">
        <w:t xml:space="preserve"> </w:t>
      </w:r>
      <w:r>
        <w:t xml:space="preserve">57% and 42.4% of the </w:t>
      </w:r>
      <w:proofErr w:type="spellStart"/>
      <w:r w:rsidR="00C20E0F">
        <w:t>venetoclax</w:t>
      </w:r>
      <w:proofErr w:type="spellEnd"/>
      <w:r w:rsidR="002557F5">
        <w:t xml:space="preserve"> in combination with </w:t>
      </w:r>
      <w:proofErr w:type="spellStart"/>
      <w:r w:rsidR="002557F5">
        <w:t>azacitidine</w:t>
      </w:r>
      <w:proofErr w:type="spellEnd"/>
      <w:r w:rsidR="002557F5">
        <w:t xml:space="preserve"> arm </w:t>
      </w:r>
      <w:proofErr w:type="spellStart"/>
      <w:r>
        <w:t>arm</w:t>
      </w:r>
      <w:proofErr w:type="spellEnd"/>
      <w:r>
        <w:t xml:space="preserve"> and </w:t>
      </w:r>
      <w:r w:rsidR="002557F5">
        <w:t>placebo</w:t>
      </w:r>
      <w:r w:rsidR="002557F5" w:rsidRPr="002557F5">
        <w:t xml:space="preserve"> </w:t>
      </w:r>
      <w:r w:rsidR="002557F5">
        <w:t xml:space="preserve">in combination with </w:t>
      </w:r>
      <w:proofErr w:type="spellStart"/>
      <w:r w:rsidR="002557F5">
        <w:t>azacitidine</w:t>
      </w:r>
      <w:proofErr w:type="spellEnd"/>
      <w:r w:rsidR="002557F5">
        <w:t xml:space="preserve"> </w:t>
      </w:r>
      <w:r>
        <w:t xml:space="preserve">arm, respectively received </w:t>
      </w:r>
      <w:r w:rsidR="00F73C61">
        <w:t>more than</w:t>
      </w:r>
      <w:r>
        <w:t xml:space="preserve"> 5 cycles of therapy. Median </w:t>
      </w:r>
      <w:proofErr w:type="spellStart"/>
      <w:r w:rsidR="00F73C61">
        <w:t>azacitidine</w:t>
      </w:r>
      <w:proofErr w:type="spellEnd"/>
      <w:r>
        <w:t xml:space="preserve"> exposure was 7 months and 3.8 months in</w:t>
      </w:r>
      <w:r w:rsidR="002557F5">
        <w:t xml:space="preserve"> the</w:t>
      </w:r>
      <w:r>
        <w:t xml:space="preserve"> </w:t>
      </w:r>
      <w:proofErr w:type="spellStart"/>
      <w:r w:rsidR="00C20E0F">
        <w:t>venetoclax</w:t>
      </w:r>
      <w:proofErr w:type="spellEnd"/>
      <w:r w:rsidR="002557F5">
        <w:t xml:space="preserve"> in combination with </w:t>
      </w:r>
      <w:proofErr w:type="spellStart"/>
      <w:r w:rsidR="002557F5">
        <w:t>azacitidine</w:t>
      </w:r>
      <w:proofErr w:type="spellEnd"/>
      <w:r w:rsidR="002557F5">
        <w:t xml:space="preserve"> arm</w:t>
      </w:r>
      <w:r>
        <w:t xml:space="preserve"> and </w:t>
      </w:r>
      <w:r w:rsidR="002557F5">
        <w:t>placebo</w:t>
      </w:r>
      <w:r w:rsidR="002557F5" w:rsidRPr="002557F5">
        <w:t xml:space="preserve"> </w:t>
      </w:r>
      <w:r w:rsidR="002557F5">
        <w:t xml:space="preserve">in combination with </w:t>
      </w:r>
      <w:proofErr w:type="spellStart"/>
      <w:r w:rsidR="002557F5">
        <w:t>azacitidine</w:t>
      </w:r>
      <w:proofErr w:type="spellEnd"/>
      <w:r w:rsidR="002557F5">
        <w:t xml:space="preserve"> </w:t>
      </w:r>
      <w:r>
        <w:t xml:space="preserve">arm, respectively. At least </w:t>
      </w:r>
      <w:r w:rsidR="002557F5">
        <w:t>one</w:t>
      </w:r>
      <w:r>
        <w:t xml:space="preserve"> dose interruption was experienced by 94.3% v</w:t>
      </w:r>
      <w:r w:rsidR="002557F5">
        <w:t>ersus</w:t>
      </w:r>
      <w:r>
        <w:t xml:space="preserve"> 77.8% of the </w:t>
      </w:r>
      <w:proofErr w:type="spellStart"/>
      <w:r w:rsidR="00C20E0F">
        <w:t>venetoclax</w:t>
      </w:r>
      <w:proofErr w:type="spellEnd"/>
      <w:r w:rsidR="002557F5">
        <w:t xml:space="preserve"> in combination with </w:t>
      </w:r>
      <w:proofErr w:type="spellStart"/>
      <w:r w:rsidR="002557F5">
        <w:t>azacitidine</w:t>
      </w:r>
      <w:proofErr w:type="spellEnd"/>
      <w:r w:rsidR="002557F5">
        <w:t xml:space="preserve"> arm </w:t>
      </w:r>
      <w:r>
        <w:t xml:space="preserve">and </w:t>
      </w:r>
      <w:r w:rsidR="002557F5">
        <w:t>placebo</w:t>
      </w:r>
      <w:r w:rsidR="002557F5" w:rsidRPr="002557F5">
        <w:t xml:space="preserve"> </w:t>
      </w:r>
      <w:r w:rsidR="002557F5">
        <w:t xml:space="preserve">in combination with </w:t>
      </w:r>
      <w:proofErr w:type="spellStart"/>
      <w:r w:rsidR="002557F5">
        <w:t>azacitidine</w:t>
      </w:r>
      <w:proofErr w:type="spellEnd"/>
      <w:r w:rsidR="002557F5">
        <w:t xml:space="preserve"> </w:t>
      </w:r>
      <w:r>
        <w:t>arm, respectively.</w:t>
      </w:r>
    </w:p>
    <w:p w14:paraId="558C4C00" w14:textId="1BD4A58C" w:rsidR="00264BBA" w:rsidRDefault="00264BBA" w:rsidP="00264BBA">
      <w:pPr>
        <w:pStyle w:val="Heading6"/>
      </w:pPr>
      <w:r>
        <w:t>Overall survival</w:t>
      </w:r>
    </w:p>
    <w:p w14:paraId="3792C2F0" w14:textId="09528993" w:rsidR="000D6854" w:rsidRDefault="002557F5" w:rsidP="000D6854">
      <w:r w:rsidRPr="002557F5">
        <w:t>The overall survival outcome is presented below</w:t>
      </w:r>
      <w:r>
        <w:t xml:space="preserve"> (</w:t>
      </w:r>
      <w:r>
        <w:fldChar w:fldCharType="begin"/>
      </w:r>
      <w:r>
        <w:instrText xml:space="preserve"> REF _Ref98336619 \h </w:instrText>
      </w:r>
      <w:r>
        <w:fldChar w:fldCharType="separate"/>
      </w:r>
      <w:r w:rsidR="00211D51" w:rsidRPr="002557F5">
        <w:t xml:space="preserve">Table </w:t>
      </w:r>
      <w:r w:rsidR="00211D51">
        <w:rPr>
          <w:noProof/>
        </w:rPr>
        <w:t>6</w:t>
      </w:r>
      <w:r>
        <w:fldChar w:fldCharType="end"/>
      </w:r>
      <w:r>
        <w:t>).</w:t>
      </w:r>
    </w:p>
    <w:p w14:paraId="5E448C02" w14:textId="5A0F183B" w:rsidR="002557F5" w:rsidRDefault="002557F5" w:rsidP="002557F5">
      <w:pPr>
        <w:pStyle w:val="TableTitle"/>
      </w:pPr>
      <w:bookmarkStart w:id="50" w:name="_Ref98336619"/>
      <w:r w:rsidRPr="002557F5">
        <w:t xml:space="preserve">Table </w:t>
      </w:r>
      <w:fldSimple w:instr=" SEQ Table \* ARABIC ">
        <w:r w:rsidR="007E2134">
          <w:rPr>
            <w:noProof/>
          </w:rPr>
          <w:t>6</w:t>
        </w:r>
      </w:fldSimple>
      <w:bookmarkEnd w:id="50"/>
      <w:r>
        <w:t>: VIALE-A trial Overall survival</w:t>
      </w:r>
    </w:p>
    <w:tbl>
      <w:tblPr>
        <w:tblStyle w:val="TableTGAblue"/>
        <w:tblW w:w="4840" w:type="pct"/>
        <w:tblLook w:val="0000" w:firstRow="0" w:lastRow="0" w:firstColumn="0" w:lastColumn="0" w:noHBand="0" w:noVBand="0"/>
      </w:tblPr>
      <w:tblGrid>
        <w:gridCol w:w="3817"/>
        <w:gridCol w:w="2126"/>
        <w:gridCol w:w="2270"/>
      </w:tblGrid>
      <w:tr w:rsidR="002557F5" w14:paraId="19CE5C9F" w14:textId="77777777" w:rsidTr="000E6442">
        <w:trPr>
          <w:trHeight w:val="489"/>
        </w:trPr>
        <w:tc>
          <w:tcPr>
            <w:tcW w:w="2324" w:type="pct"/>
            <w:shd w:val="clear" w:color="auto" w:fill="006DA7"/>
          </w:tcPr>
          <w:p w14:paraId="6EA98688" w14:textId="77777777" w:rsidR="002557F5" w:rsidRPr="000E6442" w:rsidRDefault="002557F5" w:rsidP="002557F5">
            <w:pPr>
              <w:pStyle w:val="Tabletext"/>
              <w:rPr>
                <w:sz w:val="20"/>
                <w:szCs w:val="20"/>
              </w:rPr>
            </w:pPr>
          </w:p>
        </w:tc>
        <w:tc>
          <w:tcPr>
            <w:tcW w:w="1294" w:type="pct"/>
            <w:shd w:val="clear" w:color="auto" w:fill="006DA7"/>
          </w:tcPr>
          <w:p w14:paraId="44B8B121" w14:textId="59556EEB" w:rsidR="000E6442" w:rsidRPr="000E6442" w:rsidRDefault="003A398B" w:rsidP="000E6442">
            <w:pPr>
              <w:pStyle w:val="Tabletext"/>
              <w:ind w:left="0"/>
              <w:jc w:val="center"/>
              <w:rPr>
                <w:b/>
                <w:bCs/>
                <w:color w:val="FFFFFF" w:themeColor="background1"/>
                <w:szCs w:val="19"/>
              </w:rPr>
            </w:pPr>
            <w:r w:rsidRPr="000E6442">
              <w:rPr>
                <w:b/>
                <w:bCs/>
                <w:color w:val="FFFFFF" w:themeColor="background1"/>
                <w:spacing w:val="-8"/>
                <w:szCs w:val="19"/>
              </w:rPr>
              <w:t xml:space="preserve">Placebo + </w:t>
            </w:r>
            <w:proofErr w:type="spellStart"/>
            <w:r w:rsidRPr="000E6442">
              <w:rPr>
                <w:b/>
                <w:bCs/>
                <w:color w:val="FFFFFF" w:themeColor="background1"/>
                <w:szCs w:val="19"/>
              </w:rPr>
              <w:t>azac</w:t>
            </w:r>
            <w:r w:rsidR="00F97336" w:rsidRPr="000E6442">
              <w:rPr>
                <w:b/>
                <w:bCs/>
                <w:color w:val="FFFFFF" w:themeColor="background1"/>
                <w:szCs w:val="19"/>
              </w:rPr>
              <w:t>i</w:t>
            </w:r>
            <w:r w:rsidRPr="000E6442">
              <w:rPr>
                <w:b/>
                <w:bCs/>
                <w:color w:val="FFFFFF" w:themeColor="background1"/>
                <w:szCs w:val="19"/>
              </w:rPr>
              <w:t>tidine</w:t>
            </w:r>
            <w:proofErr w:type="spellEnd"/>
          </w:p>
          <w:p w14:paraId="789B1380" w14:textId="0AED17DA" w:rsidR="002557F5" w:rsidRPr="000E6442" w:rsidRDefault="002557F5" w:rsidP="000E6442">
            <w:pPr>
              <w:pStyle w:val="Tabletext"/>
              <w:ind w:left="0"/>
              <w:jc w:val="center"/>
              <w:rPr>
                <w:b/>
                <w:bCs/>
                <w:color w:val="FFFFFF" w:themeColor="background1"/>
                <w:szCs w:val="19"/>
              </w:rPr>
            </w:pPr>
            <w:r w:rsidRPr="000E6442">
              <w:rPr>
                <w:b/>
                <w:bCs/>
                <w:color w:val="FFFFFF" w:themeColor="background1"/>
                <w:szCs w:val="19"/>
              </w:rPr>
              <w:t>(N</w:t>
            </w:r>
            <w:r w:rsidRPr="000E6442">
              <w:rPr>
                <w:b/>
                <w:bCs/>
                <w:color w:val="FFFFFF" w:themeColor="background1"/>
                <w:spacing w:val="-1"/>
                <w:szCs w:val="19"/>
              </w:rPr>
              <w:t xml:space="preserve"> </w:t>
            </w:r>
            <w:r w:rsidRPr="000E6442">
              <w:rPr>
                <w:b/>
                <w:bCs/>
                <w:color w:val="FFFFFF" w:themeColor="background1"/>
                <w:szCs w:val="19"/>
              </w:rPr>
              <w:t>=</w:t>
            </w:r>
            <w:r w:rsidRPr="000E6442">
              <w:rPr>
                <w:b/>
                <w:bCs/>
                <w:color w:val="FFFFFF" w:themeColor="background1"/>
                <w:spacing w:val="-3"/>
                <w:szCs w:val="19"/>
              </w:rPr>
              <w:t xml:space="preserve"> </w:t>
            </w:r>
            <w:r w:rsidRPr="000E6442">
              <w:rPr>
                <w:b/>
                <w:bCs/>
                <w:color w:val="FFFFFF" w:themeColor="background1"/>
                <w:szCs w:val="19"/>
              </w:rPr>
              <w:t>145)</w:t>
            </w:r>
          </w:p>
        </w:tc>
        <w:tc>
          <w:tcPr>
            <w:tcW w:w="1381" w:type="pct"/>
            <w:shd w:val="clear" w:color="auto" w:fill="006DA7"/>
          </w:tcPr>
          <w:p w14:paraId="7D55A2DA" w14:textId="3D8D129A" w:rsidR="000E6442" w:rsidRPr="000E6442" w:rsidRDefault="003A398B" w:rsidP="000E6442">
            <w:pPr>
              <w:pStyle w:val="Tabletext"/>
              <w:ind w:left="0"/>
              <w:jc w:val="center"/>
              <w:rPr>
                <w:b/>
                <w:bCs/>
                <w:color w:val="FFFFFF" w:themeColor="background1"/>
                <w:szCs w:val="19"/>
              </w:rPr>
            </w:pPr>
            <w:proofErr w:type="spellStart"/>
            <w:r w:rsidRPr="000E6442">
              <w:rPr>
                <w:b/>
                <w:bCs/>
                <w:color w:val="FFFFFF" w:themeColor="background1"/>
                <w:szCs w:val="19"/>
              </w:rPr>
              <w:t>Venetoclax</w:t>
            </w:r>
            <w:proofErr w:type="spellEnd"/>
            <w:r w:rsidRPr="000E6442">
              <w:rPr>
                <w:b/>
                <w:bCs/>
                <w:color w:val="FFFFFF" w:themeColor="background1"/>
                <w:szCs w:val="19"/>
              </w:rPr>
              <w:t xml:space="preserve"> 400</w:t>
            </w:r>
            <w:r w:rsidRPr="000E6442">
              <w:rPr>
                <w:b/>
                <w:bCs/>
                <w:color w:val="FFFFFF" w:themeColor="background1"/>
                <w:spacing w:val="-2"/>
                <w:szCs w:val="19"/>
              </w:rPr>
              <w:t xml:space="preserve"> </w:t>
            </w:r>
            <w:r w:rsidRPr="000E6442">
              <w:rPr>
                <w:b/>
                <w:bCs/>
                <w:color w:val="FFFFFF" w:themeColor="background1"/>
                <w:szCs w:val="19"/>
              </w:rPr>
              <w:t>mg</w:t>
            </w:r>
            <w:r w:rsidRPr="000E6442">
              <w:rPr>
                <w:b/>
                <w:bCs/>
                <w:color w:val="FFFFFF" w:themeColor="background1"/>
                <w:spacing w:val="-3"/>
                <w:szCs w:val="19"/>
              </w:rPr>
              <w:t xml:space="preserve"> once daily </w:t>
            </w:r>
            <w:r w:rsidRPr="000E6442">
              <w:rPr>
                <w:b/>
                <w:bCs/>
                <w:color w:val="FFFFFF" w:themeColor="background1"/>
                <w:szCs w:val="19"/>
              </w:rPr>
              <w:t xml:space="preserve">+ </w:t>
            </w:r>
            <w:proofErr w:type="spellStart"/>
            <w:r w:rsidRPr="000E6442">
              <w:rPr>
                <w:b/>
                <w:bCs/>
                <w:color w:val="FFFFFF" w:themeColor="background1"/>
                <w:szCs w:val="19"/>
              </w:rPr>
              <w:t>azac</w:t>
            </w:r>
            <w:r w:rsidR="00F97336" w:rsidRPr="000E6442">
              <w:rPr>
                <w:b/>
                <w:bCs/>
                <w:color w:val="FFFFFF" w:themeColor="background1"/>
                <w:szCs w:val="19"/>
              </w:rPr>
              <w:t>i</w:t>
            </w:r>
            <w:r w:rsidRPr="000E6442">
              <w:rPr>
                <w:b/>
                <w:bCs/>
                <w:color w:val="FFFFFF" w:themeColor="background1"/>
                <w:szCs w:val="19"/>
              </w:rPr>
              <w:t>tidine</w:t>
            </w:r>
            <w:proofErr w:type="spellEnd"/>
          </w:p>
          <w:p w14:paraId="70481EB1" w14:textId="216A1288" w:rsidR="002557F5" w:rsidRPr="000E6442" w:rsidRDefault="002557F5" w:rsidP="000E6442">
            <w:pPr>
              <w:pStyle w:val="Tabletext"/>
              <w:ind w:left="0"/>
              <w:jc w:val="center"/>
              <w:rPr>
                <w:b/>
                <w:bCs/>
                <w:color w:val="FFFFFF" w:themeColor="background1"/>
                <w:szCs w:val="19"/>
              </w:rPr>
            </w:pPr>
            <w:r w:rsidRPr="000E6442">
              <w:rPr>
                <w:b/>
                <w:bCs/>
                <w:color w:val="FFFFFF" w:themeColor="background1"/>
                <w:szCs w:val="19"/>
              </w:rPr>
              <w:t>(N =</w:t>
            </w:r>
            <w:r w:rsidRPr="000E6442">
              <w:rPr>
                <w:b/>
                <w:bCs/>
                <w:color w:val="FFFFFF" w:themeColor="background1"/>
                <w:spacing w:val="-1"/>
                <w:szCs w:val="19"/>
              </w:rPr>
              <w:t xml:space="preserve"> </w:t>
            </w:r>
            <w:r w:rsidRPr="000E6442">
              <w:rPr>
                <w:b/>
                <w:bCs/>
                <w:color w:val="FFFFFF" w:themeColor="background1"/>
                <w:szCs w:val="19"/>
              </w:rPr>
              <w:t>286)</w:t>
            </w:r>
          </w:p>
        </w:tc>
      </w:tr>
      <w:tr w:rsidR="002557F5" w14:paraId="2E3CC0FE" w14:textId="77777777" w:rsidTr="000E6442">
        <w:trPr>
          <w:trHeight w:val="263"/>
        </w:trPr>
        <w:tc>
          <w:tcPr>
            <w:tcW w:w="2324" w:type="pct"/>
          </w:tcPr>
          <w:p w14:paraId="1CC3FE08" w14:textId="77777777" w:rsidR="002557F5" w:rsidRPr="000E6442" w:rsidRDefault="002557F5" w:rsidP="002557F5">
            <w:pPr>
              <w:pStyle w:val="Tabletext"/>
              <w:rPr>
                <w:szCs w:val="19"/>
              </w:rPr>
            </w:pPr>
            <w:r w:rsidRPr="000E6442">
              <w:rPr>
                <w:szCs w:val="19"/>
              </w:rPr>
              <w:t>Events</w:t>
            </w:r>
            <w:r w:rsidRPr="000E6442">
              <w:rPr>
                <w:spacing w:val="-2"/>
                <w:szCs w:val="19"/>
              </w:rPr>
              <w:t xml:space="preserve"> </w:t>
            </w:r>
            <w:r w:rsidRPr="000E6442">
              <w:rPr>
                <w:szCs w:val="19"/>
              </w:rPr>
              <w:t>(deaths) -</w:t>
            </w:r>
            <w:r w:rsidRPr="000E6442">
              <w:rPr>
                <w:spacing w:val="-1"/>
                <w:szCs w:val="19"/>
              </w:rPr>
              <w:t xml:space="preserve"> </w:t>
            </w:r>
            <w:r w:rsidRPr="000E6442">
              <w:rPr>
                <w:szCs w:val="19"/>
              </w:rPr>
              <w:t>n</w:t>
            </w:r>
            <w:r w:rsidRPr="000E6442">
              <w:rPr>
                <w:spacing w:val="1"/>
                <w:szCs w:val="19"/>
              </w:rPr>
              <w:t xml:space="preserve"> </w:t>
            </w:r>
            <w:r w:rsidRPr="000E6442">
              <w:rPr>
                <w:szCs w:val="19"/>
              </w:rPr>
              <w:t>(%)</w:t>
            </w:r>
          </w:p>
        </w:tc>
        <w:tc>
          <w:tcPr>
            <w:tcW w:w="1294" w:type="pct"/>
          </w:tcPr>
          <w:p w14:paraId="25F52A36" w14:textId="77777777" w:rsidR="002557F5" w:rsidRPr="000E6442" w:rsidRDefault="002557F5" w:rsidP="002557F5">
            <w:pPr>
              <w:pStyle w:val="Tabletext"/>
              <w:rPr>
                <w:szCs w:val="19"/>
              </w:rPr>
            </w:pPr>
            <w:r w:rsidRPr="000E6442">
              <w:rPr>
                <w:szCs w:val="19"/>
              </w:rPr>
              <w:t>109</w:t>
            </w:r>
            <w:r w:rsidRPr="000E6442">
              <w:rPr>
                <w:spacing w:val="-1"/>
                <w:szCs w:val="19"/>
              </w:rPr>
              <w:t xml:space="preserve"> </w:t>
            </w:r>
            <w:r w:rsidRPr="000E6442">
              <w:rPr>
                <w:szCs w:val="19"/>
              </w:rPr>
              <w:t>(75.2%)</w:t>
            </w:r>
          </w:p>
        </w:tc>
        <w:tc>
          <w:tcPr>
            <w:tcW w:w="1381" w:type="pct"/>
          </w:tcPr>
          <w:p w14:paraId="49612106" w14:textId="77777777" w:rsidR="002557F5" w:rsidRPr="000E6442" w:rsidRDefault="002557F5" w:rsidP="002557F5">
            <w:pPr>
              <w:pStyle w:val="Tabletext"/>
              <w:rPr>
                <w:szCs w:val="19"/>
              </w:rPr>
            </w:pPr>
            <w:r w:rsidRPr="000E6442">
              <w:rPr>
                <w:szCs w:val="19"/>
              </w:rPr>
              <w:t>161</w:t>
            </w:r>
            <w:r w:rsidRPr="000E6442">
              <w:rPr>
                <w:spacing w:val="-1"/>
                <w:szCs w:val="19"/>
              </w:rPr>
              <w:t xml:space="preserve"> </w:t>
            </w:r>
            <w:r w:rsidRPr="000E6442">
              <w:rPr>
                <w:szCs w:val="19"/>
              </w:rPr>
              <w:t>(56.3%)</w:t>
            </w:r>
          </w:p>
        </w:tc>
      </w:tr>
      <w:tr w:rsidR="003A398B" w14:paraId="4A69F927" w14:textId="77777777" w:rsidTr="003A398B">
        <w:trPr>
          <w:trHeight w:val="243"/>
        </w:trPr>
        <w:tc>
          <w:tcPr>
            <w:tcW w:w="5000" w:type="pct"/>
            <w:gridSpan w:val="3"/>
          </w:tcPr>
          <w:p w14:paraId="66F46F98" w14:textId="72F33436" w:rsidR="003A398B" w:rsidRPr="000E6442" w:rsidRDefault="003A398B" w:rsidP="002557F5">
            <w:pPr>
              <w:pStyle w:val="Tabletext"/>
              <w:rPr>
                <w:b/>
                <w:bCs/>
                <w:szCs w:val="19"/>
              </w:rPr>
            </w:pPr>
            <w:r w:rsidRPr="000E6442">
              <w:rPr>
                <w:b/>
                <w:bCs/>
                <w:szCs w:val="19"/>
              </w:rPr>
              <w:t>Duration of</w:t>
            </w:r>
            <w:r w:rsidRPr="000E6442">
              <w:rPr>
                <w:b/>
                <w:bCs/>
                <w:spacing w:val="-1"/>
                <w:szCs w:val="19"/>
              </w:rPr>
              <w:t xml:space="preserve"> </w:t>
            </w:r>
            <w:r w:rsidRPr="000E6442">
              <w:rPr>
                <w:b/>
                <w:bCs/>
                <w:szCs w:val="19"/>
              </w:rPr>
              <w:t>Overall</w:t>
            </w:r>
            <w:r w:rsidRPr="000E6442">
              <w:rPr>
                <w:b/>
                <w:bCs/>
                <w:spacing w:val="-1"/>
                <w:szCs w:val="19"/>
              </w:rPr>
              <w:t xml:space="preserve"> </w:t>
            </w:r>
            <w:r w:rsidRPr="000E6442">
              <w:rPr>
                <w:b/>
                <w:bCs/>
                <w:szCs w:val="19"/>
              </w:rPr>
              <w:t>Survival (months)</w:t>
            </w:r>
          </w:p>
        </w:tc>
      </w:tr>
      <w:tr w:rsidR="002557F5" w14:paraId="361FCD09" w14:textId="77777777" w:rsidTr="000E6442">
        <w:trPr>
          <w:trHeight w:val="244"/>
        </w:trPr>
        <w:tc>
          <w:tcPr>
            <w:tcW w:w="2324" w:type="pct"/>
          </w:tcPr>
          <w:p w14:paraId="5E882C53" w14:textId="77777777" w:rsidR="002557F5" w:rsidRPr="000E6442" w:rsidRDefault="002557F5" w:rsidP="002557F5">
            <w:pPr>
              <w:pStyle w:val="Tabletext"/>
              <w:rPr>
                <w:szCs w:val="19"/>
              </w:rPr>
            </w:pPr>
            <w:r w:rsidRPr="000E6442">
              <w:rPr>
                <w:szCs w:val="19"/>
              </w:rPr>
              <w:t>25th (95%</w:t>
            </w:r>
            <w:r w:rsidRPr="000E6442">
              <w:rPr>
                <w:spacing w:val="-1"/>
                <w:szCs w:val="19"/>
              </w:rPr>
              <w:t xml:space="preserve"> </w:t>
            </w:r>
            <w:r w:rsidRPr="000E6442">
              <w:rPr>
                <w:szCs w:val="19"/>
              </w:rPr>
              <w:t>CI)</w:t>
            </w:r>
          </w:p>
        </w:tc>
        <w:tc>
          <w:tcPr>
            <w:tcW w:w="1294" w:type="pct"/>
          </w:tcPr>
          <w:p w14:paraId="29196038" w14:textId="77777777" w:rsidR="002557F5" w:rsidRPr="000E6442" w:rsidRDefault="002557F5" w:rsidP="002557F5">
            <w:pPr>
              <w:pStyle w:val="Tabletext"/>
              <w:rPr>
                <w:szCs w:val="19"/>
              </w:rPr>
            </w:pPr>
            <w:r w:rsidRPr="000E6442">
              <w:rPr>
                <w:szCs w:val="19"/>
              </w:rPr>
              <w:t>3.4</w:t>
            </w:r>
            <w:r w:rsidRPr="000E6442">
              <w:rPr>
                <w:spacing w:val="-1"/>
                <w:szCs w:val="19"/>
              </w:rPr>
              <w:t xml:space="preserve"> </w:t>
            </w:r>
            <w:r w:rsidRPr="000E6442">
              <w:rPr>
                <w:szCs w:val="19"/>
              </w:rPr>
              <w:t>(2.1,</w:t>
            </w:r>
            <w:r w:rsidRPr="000E6442">
              <w:rPr>
                <w:spacing w:val="1"/>
                <w:szCs w:val="19"/>
              </w:rPr>
              <w:t xml:space="preserve"> </w:t>
            </w:r>
            <w:r w:rsidRPr="000E6442">
              <w:rPr>
                <w:szCs w:val="19"/>
              </w:rPr>
              <w:t>4.9)</w:t>
            </w:r>
          </w:p>
        </w:tc>
        <w:tc>
          <w:tcPr>
            <w:tcW w:w="1381" w:type="pct"/>
          </w:tcPr>
          <w:p w14:paraId="4D8D05AE" w14:textId="77777777" w:rsidR="002557F5" w:rsidRPr="000E6442" w:rsidRDefault="002557F5" w:rsidP="002557F5">
            <w:pPr>
              <w:pStyle w:val="Tabletext"/>
              <w:rPr>
                <w:szCs w:val="19"/>
              </w:rPr>
            </w:pPr>
            <w:r w:rsidRPr="000E6442">
              <w:rPr>
                <w:szCs w:val="19"/>
              </w:rPr>
              <w:t>4.8</w:t>
            </w:r>
            <w:r w:rsidRPr="000E6442">
              <w:rPr>
                <w:spacing w:val="-1"/>
                <w:szCs w:val="19"/>
              </w:rPr>
              <w:t xml:space="preserve"> </w:t>
            </w:r>
            <w:r w:rsidRPr="000E6442">
              <w:rPr>
                <w:szCs w:val="19"/>
              </w:rPr>
              <w:t>(2.8,</w:t>
            </w:r>
            <w:r w:rsidRPr="000E6442">
              <w:rPr>
                <w:spacing w:val="1"/>
                <w:szCs w:val="19"/>
              </w:rPr>
              <w:t xml:space="preserve"> </w:t>
            </w:r>
            <w:r w:rsidRPr="000E6442">
              <w:rPr>
                <w:szCs w:val="19"/>
              </w:rPr>
              <w:t>6.5)</w:t>
            </w:r>
          </w:p>
        </w:tc>
      </w:tr>
      <w:tr w:rsidR="002557F5" w14:paraId="4380D40E" w14:textId="77777777" w:rsidTr="000E6442">
        <w:trPr>
          <w:trHeight w:val="244"/>
        </w:trPr>
        <w:tc>
          <w:tcPr>
            <w:tcW w:w="2324" w:type="pct"/>
          </w:tcPr>
          <w:p w14:paraId="7D09B087" w14:textId="77777777" w:rsidR="002557F5" w:rsidRPr="000E6442" w:rsidRDefault="002557F5" w:rsidP="002557F5">
            <w:pPr>
              <w:pStyle w:val="Tabletext"/>
              <w:rPr>
                <w:szCs w:val="19"/>
              </w:rPr>
            </w:pPr>
            <w:r w:rsidRPr="000E6442">
              <w:rPr>
                <w:szCs w:val="19"/>
              </w:rPr>
              <w:t>Median (95%</w:t>
            </w:r>
            <w:r w:rsidRPr="000E6442">
              <w:rPr>
                <w:spacing w:val="-1"/>
                <w:szCs w:val="19"/>
              </w:rPr>
              <w:t xml:space="preserve"> </w:t>
            </w:r>
            <w:r w:rsidRPr="000E6442">
              <w:rPr>
                <w:szCs w:val="19"/>
              </w:rPr>
              <w:t>CI)</w:t>
            </w:r>
          </w:p>
        </w:tc>
        <w:tc>
          <w:tcPr>
            <w:tcW w:w="1294" w:type="pct"/>
          </w:tcPr>
          <w:p w14:paraId="77C61836" w14:textId="77777777" w:rsidR="002557F5" w:rsidRPr="000E6442" w:rsidRDefault="002557F5" w:rsidP="002557F5">
            <w:pPr>
              <w:pStyle w:val="Tabletext"/>
              <w:rPr>
                <w:szCs w:val="19"/>
              </w:rPr>
            </w:pPr>
            <w:r w:rsidRPr="000E6442">
              <w:rPr>
                <w:szCs w:val="19"/>
              </w:rPr>
              <w:t>9.6</w:t>
            </w:r>
            <w:r w:rsidRPr="000E6442">
              <w:rPr>
                <w:spacing w:val="-1"/>
                <w:szCs w:val="19"/>
              </w:rPr>
              <w:t xml:space="preserve"> </w:t>
            </w:r>
            <w:r w:rsidRPr="000E6442">
              <w:rPr>
                <w:szCs w:val="19"/>
              </w:rPr>
              <w:t>(7.4,</w:t>
            </w:r>
            <w:r w:rsidRPr="000E6442">
              <w:rPr>
                <w:spacing w:val="1"/>
                <w:szCs w:val="19"/>
              </w:rPr>
              <w:t xml:space="preserve"> </w:t>
            </w:r>
            <w:r w:rsidRPr="000E6442">
              <w:rPr>
                <w:szCs w:val="19"/>
              </w:rPr>
              <w:t>12.7)</w:t>
            </w:r>
          </w:p>
        </w:tc>
        <w:tc>
          <w:tcPr>
            <w:tcW w:w="1381" w:type="pct"/>
          </w:tcPr>
          <w:p w14:paraId="059BC27C" w14:textId="77777777" w:rsidR="002557F5" w:rsidRPr="000E6442" w:rsidRDefault="002557F5" w:rsidP="002557F5">
            <w:pPr>
              <w:pStyle w:val="Tabletext"/>
              <w:rPr>
                <w:szCs w:val="19"/>
              </w:rPr>
            </w:pPr>
            <w:r w:rsidRPr="000E6442">
              <w:rPr>
                <w:szCs w:val="19"/>
              </w:rPr>
              <w:t>14.7</w:t>
            </w:r>
            <w:r w:rsidRPr="000E6442">
              <w:rPr>
                <w:spacing w:val="-1"/>
                <w:szCs w:val="19"/>
              </w:rPr>
              <w:t xml:space="preserve"> </w:t>
            </w:r>
            <w:r w:rsidRPr="000E6442">
              <w:rPr>
                <w:szCs w:val="19"/>
              </w:rPr>
              <w:t>(11.9,</w:t>
            </w:r>
            <w:r w:rsidRPr="000E6442">
              <w:rPr>
                <w:spacing w:val="1"/>
                <w:szCs w:val="19"/>
              </w:rPr>
              <w:t xml:space="preserve"> </w:t>
            </w:r>
            <w:r w:rsidRPr="000E6442">
              <w:rPr>
                <w:szCs w:val="19"/>
              </w:rPr>
              <w:t>18.7)</w:t>
            </w:r>
          </w:p>
        </w:tc>
      </w:tr>
      <w:tr w:rsidR="002557F5" w14:paraId="3D7BE497" w14:textId="77777777" w:rsidTr="000E6442">
        <w:trPr>
          <w:trHeight w:val="224"/>
        </w:trPr>
        <w:tc>
          <w:tcPr>
            <w:tcW w:w="2324" w:type="pct"/>
          </w:tcPr>
          <w:p w14:paraId="40540217" w14:textId="77777777" w:rsidR="002557F5" w:rsidRPr="000E6442" w:rsidRDefault="002557F5" w:rsidP="002557F5">
            <w:pPr>
              <w:pStyle w:val="Tabletext"/>
              <w:rPr>
                <w:szCs w:val="19"/>
              </w:rPr>
            </w:pPr>
            <w:r w:rsidRPr="000E6442">
              <w:rPr>
                <w:szCs w:val="19"/>
              </w:rPr>
              <w:t>75th (95%</w:t>
            </w:r>
            <w:r w:rsidRPr="000E6442">
              <w:rPr>
                <w:spacing w:val="-1"/>
                <w:szCs w:val="19"/>
              </w:rPr>
              <w:t xml:space="preserve"> </w:t>
            </w:r>
            <w:r w:rsidRPr="000E6442">
              <w:rPr>
                <w:szCs w:val="19"/>
              </w:rPr>
              <w:t>CI)</w:t>
            </w:r>
          </w:p>
        </w:tc>
        <w:tc>
          <w:tcPr>
            <w:tcW w:w="1294" w:type="pct"/>
          </w:tcPr>
          <w:p w14:paraId="71E1007F" w14:textId="77777777" w:rsidR="002557F5" w:rsidRPr="000E6442" w:rsidRDefault="002557F5" w:rsidP="002557F5">
            <w:pPr>
              <w:pStyle w:val="Tabletext"/>
              <w:rPr>
                <w:szCs w:val="19"/>
              </w:rPr>
            </w:pPr>
            <w:r w:rsidRPr="000E6442">
              <w:rPr>
                <w:szCs w:val="19"/>
              </w:rPr>
              <w:t>18.7</w:t>
            </w:r>
            <w:r w:rsidRPr="000E6442">
              <w:rPr>
                <w:spacing w:val="-1"/>
                <w:szCs w:val="19"/>
              </w:rPr>
              <w:t xml:space="preserve"> </w:t>
            </w:r>
            <w:r w:rsidRPr="000E6442">
              <w:rPr>
                <w:szCs w:val="19"/>
              </w:rPr>
              <w:t>(14.7,</w:t>
            </w:r>
            <w:r w:rsidRPr="000E6442">
              <w:rPr>
                <w:spacing w:val="1"/>
                <w:szCs w:val="19"/>
              </w:rPr>
              <w:t xml:space="preserve"> </w:t>
            </w:r>
            <w:r w:rsidRPr="000E6442">
              <w:rPr>
                <w:szCs w:val="19"/>
              </w:rPr>
              <w:t>28.8)</w:t>
            </w:r>
          </w:p>
        </w:tc>
        <w:tc>
          <w:tcPr>
            <w:tcW w:w="1381" w:type="pct"/>
          </w:tcPr>
          <w:p w14:paraId="5FDD07AA" w14:textId="77777777" w:rsidR="002557F5" w:rsidRPr="000E6442" w:rsidRDefault="002557F5" w:rsidP="002557F5">
            <w:pPr>
              <w:pStyle w:val="Tabletext"/>
              <w:rPr>
                <w:szCs w:val="19"/>
              </w:rPr>
            </w:pPr>
            <w:r w:rsidRPr="000E6442">
              <w:rPr>
                <w:szCs w:val="19"/>
              </w:rPr>
              <w:t>NR</w:t>
            </w:r>
          </w:p>
        </w:tc>
      </w:tr>
      <w:tr w:rsidR="002557F5" w14:paraId="32E7E621" w14:textId="77777777" w:rsidTr="000E6442">
        <w:trPr>
          <w:trHeight w:val="263"/>
        </w:trPr>
        <w:tc>
          <w:tcPr>
            <w:tcW w:w="2324" w:type="pct"/>
          </w:tcPr>
          <w:p w14:paraId="54FD5AE8" w14:textId="77777777" w:rsidR="002557F5" w:rsidRPr="000E6442" w:rsidRDefault="002557F5" w:rsidP="002557F5">
            <w:pPr>
              <w:pStyle w:val="Tabletext"/>
              <w:rPr>
                <w:szCs w:val="19"/>
              </w:rPr>
            </w:pPr>
            <w:r w:rsidRPr="000E6442">
              <w:rPr>
                <w:szCs w:val="19"/>
              </w:rPr>
              <w:t>6-Month Survival Estimate</w:t>
            </w:r>
            <w:r w:rsidRPr="000E6442">
              <w:rPr>
                <w:spacing w:val="-2"/>
                <w:szCs w:val="19"/>
              </w:rPr>
              <w:t xml:space="preserve"> </w:t>
            </w:r>
            <w:r w:rsidRPr="000E6442">
              <w:rPr>
                <w:szCs w:val="19"/>
              </w:rPr>
              <w:t>(95%</w:t>
            </w:r>
            <w:r w:rsidRPr="000E6442">
              <w:rPr>
                <w:spacing w:val="-1"/>
                <w:szCs w:val="19"/>
              </w:rPr>
              <w:t xml:space="preserve"> </w:t>
            </w:r>
            <w:r w:rsidRPr="000E6442">
              <w:rPr>
                <w:szCs w:val="19"/>
              </w:rPr>
              <w:t>CI)</w:t>
            </w:r>
          </w:p>
        </w:tc>
        <w:tc>
          <w:tcPr>
            <w:tcW w:w="1294" w:type="pct"/>
          </w:tcPr>
          <w:p w14:paraId="16955F42" w14:textId="77777777" w:rsidR="002557F5" w:rsidRPr="000E6442" w:rsidRDefault="002557F5" w:rsidP="002557F5">
            <w:pPr>
              <w:pStyle w:val="Tabletext"/>
              <w:rPr>
                <w:szCs w:val="19"/>
              </w:rPr>
            </w:pPr>
            <w:r w:rsidRPr="000E6442">
              <w:rPr>
                <w:szCs w:val="19"/>
              </w:rPr>
              <w:t>63.9%</w:t>
            </w:r>
            <w:r w:rsidRPr="000E6442">
              <w:rPr>
                <w:spacing w:val="-2"/>
                <w:szCs w:val="19"/>
              </w:rPr>
              <w:t xml:space="preserve"> </w:t>
            </w:r>
            <w:r w:rsidRPr="000E6442">
              <w:rPr>
                <w:szCs w:val="19"/>
              </w:rPr>
              <w:t>(55.5%, 71.2%)</w:t>
            </w:r>
          </w:p>
        </w:tc>
        <w:tc>
          <w:tcPr>
            <w:tcW w:w="1381" w:type="pct"/>
          </w:tcPr>
          <w:p w14:paraId="7B742CCE" w14:textId="77777777" w:rsidR="002557F5" w:rsidRPr="000E6442" w:rsidRDefault="002557F5" w:rsidP="002557F5">
            <w:pPr>
              <w:pStyle w:val="Tabletext"/>
              <w:rPr>
                <w:szCs w:val="19"/>
              </w:rPr>
            </w:pPr>
            <w:r w:rsidRPr="000E6442">
              <w:rPr>
                <w:szCs w:val="19"/>
              </w:rPr>
              <w:t>71.9%</w:t>
            </w:r>
            <w:r w:rsidRPr="000E6442">
              <w:rPr>
                <w:spacing w:val="-2"/>
                <w:szCs w:val="19"/>
              </w:rPr>
              <w:t xml:space="preserve"> </w:t>
            </w:r>
            <w:r w:rsidRPr="000E6442">
              <w:rPr>
                <w:szCs w:val="19"/>
              </w:rPr>
              <w:t>(66.3%, 76.8%)</w:t>
            </w:r>
          </w:p>
        </w:tc>
      </w:tr>
      <w:tr w:rsidR="002557F5" w14:paraId="2747FAAE" w14:textId="77777777" w:rsidTr="000E6442">
        <w:trPr>
          <w:trHeight w:val="243"/>
        </w:trPr>
        <w:tc>
          <w:tcPr>
            <w:tcW w:w="2324" w:type="pct"/>
          </w:tcPr>
          <w:p w14:paraId="05744D3E" w14:textId="77777777" w:rsidR="002557F5" w:rsidRPr="000E6442" w:rsidRDefault="002557F5" w:rsidP="002557F5">
            <w:pPr>
              <w:pStyle w:val="Tabletext"/>
              <w:rPr>
                <w:szCs w:val="19"/>
              </w:rPr>
            </w:pPr>
            <w:r w:rsidRPr="000E6442">
              <w:rPr>
                <w:szCs w:val="19"/>
              </w:rPr>
              <w:t>12-Month Survival Estimate</w:t>
            </w:r>
            <w:r w:rsidRPr="000E6442">
              <w:rPr>
                <w:spacing w:val="-2"/>
                <w:szCs w:val="19"/>
              </w:rPr>
              <w:t xml:space="preserve"> </w:t>
            </w:r>
            <w:r w:rsidRPr="000E6442">
              <w:rPr>
                <w:szCs w:val="19"/>
              </w:rPr>
              <w:t>(95%</w:t>
            </w:r>
            <w:r w:rsidRPr="000E6442">
              <w:rPr>
                <w:spacing w:val="-1"/>
                <w:szCs w:val="19"/>
              </w:rPr>
              <w:t xml:space="preserve"> </w:t>
            </w:r>
            <w:r w:rsidRPr="000E6442">
              <w:rPr>
                <w:szCs w:val="19"/>
              </w:rPr>
              <w:t>CI)</w:t>
            </w:r>
          </w:p>
        </w:tc>
        <w:tc>
          <w:tcPr>
            <w:tcW w:w="1294" w:type="pct"/>
          </w:tcPr>
          <w:p w14:paraId="59C4016A" w14:textId="77777777" w:rsidR="002557F5" w:rsidRPr="000E6442" w:rsidRDefault="002557F5" w:rsidP="002557F5">
            <w:pPr>
              <w:pStyle w:val="Tabletext"/>
              <w:rPr>
                <w:szCs w:val="19"/>
              </w:rPr>
            </w:pPr>
            <w:r w:rsidRPr="000E6442">
              <w:rPr>
                <w:szCs w:val="19"/>
              </w:rPr>
              <w:t>43.8%</w:t>
            </w:r>
            <w:r w:rsidRPr="000E6442">
              <w:rPr>
                <w:spacing w:val="-2"/>
                <w:szCs w:val="19"/>
              </w:rPr>
              <w:t xml:space="preserve"> </w:t>
            </w:r>
            <w:r w:rsidRPr="000E6442">
              <w:rPr>
                <w:szCs w:val="19"/>
              </w:rPr>
              <w:t>(35.5%, 51.8%)</w:t>
            </w:r>
          </w:p>
        </w:tc>
        <w:tc>
          <w:tcPr>
            <w:tcW w:w="1381" w:type="pct"/>
          </w:tcPr>
          <w:p w14:paraId="4F771AB2" w14:textId="77777777" w:rsidR="002557F5" w:rsidRPr="000E6442" w:rsidRDefault="002557F5" w:rsidP="002557F5">
            <w:pPr>
              <w:pStyle w:val="Tabletext"/>
              <w:rPr>
                <w:szCs w:val="19"/>
              </w:rPr>
            </w:pPr>
            <w:r w:rsidRPr="000E6442">
              <w:rPr>
                <w:szCs w:val="19"/>
              </w:rPr>
              <w:t>55.8%</w:t>
            </w:r>
            <w:r w:rsidRPr="000E6442">
              <w:rPr>
                <w:spacing w:val="-2"/>
                <w:szCs w:val="19"/>
              </w:rPr>
              <w:t xml:space="preserve"> </w:t>
            </w:r>
            <w:r w:rsidRPr="000E6442">
              <w:rPr>
                <w:szCs w:val="19"/>
              </w:rPr>
              <w:t>(49.7%, 61.5%)</w:t>
            </w:r>
          </w:p>
        </w:tc>
      </w:tr>
      <w:tr w:rsidR="002557F5" w14:paraId="4FEA7CB7" w14:textId="77777777" w:rsidTr="000E6442">
        <w:trPr>
          <w:trHeight w:val="224"/>
        </w:trPr>
        <w:tc>
          <w:tcPr>
            <w:tcW w:w="2324" w:type="pct"/>
          </w:tcPr>
          <w:p w14:paraId="0F689ACA" w14:textId="77777777" w:rsidR="002557F5" w:rsidRPr="000E6442" w:rsidRDefault="002557F5" w:rsidP="002557F5">
            <w:pPr>
              <w:pStyle w:val="Tabletext"/>
              <w:rPr>
                <w:szCs w:val="19"/>
              </w:rPr>
            </w:pPr>
            <w:r w:rsidRPr="000E6442">
              <w:rPr>
                <w:szCs w:val="19"/>
              </w:rPr>
              <w:t>24-Month Survival Estimate</w:t>
            </w:r>
            <w:r w:rsidRPr="000E6442">
              <w:rPr>
                <w:spacing w:val="-2"/>
                <w:szCs w:val="19"/>
              </w:rPr>
              <w:t xml:space="preserve"> </w:t>
            </w:r>
            <w:r w:rsidRPr="000E6442">
              <w:rPr>
                <w:szCs w:val="19"/>
              </w:rPr>
              <w:t>(95%</w:t>
            </w:r>
            <w:r w:rsidRPr="000E6442">
              <w:rPr>
                <w:spacing w:val="-1"/>
                <w:szCs w:val="19"/>
              </w:rPr>
              <w:t xml:space="preserve"> </w:t>
            </w:r>
            <w:r w:rsidRPr="000E6442">
              <w:rPr>
                <w:szCs w:val="19"/>
              </w:rPr>
              <w:t>CI)</w:t>
            </w:r>
          </w:p>
        </w:tc>
        <w:tc>
          <w:tcPr>
            <w:tcW w:w="1294" w:type="pct"/>
          </w:tcPr>
          <w:p w14:paraId="3B06E5FD" w14:textId="77777777" w:rsidR="002557F5" w:rsidRPr="000E6442" w:rsidRDefault="002557F5" w:rsidP="002557F5">
            <w:pPr>
              <w:pStyle w:val="Tabletext"/>
              <w:rPr>
                <w:szCs w:val="19"/>
              </w:rPr>
            </w:pPr>
            <w:r w:rsidRPr="000E6442">
              <w:rPr>
                <w:szCs w:val="19"/>
              </w:rPr>
              <w:t>18.3%</w:t>
            </w:r>
            <w:r w:rsidRPr="000E6442">
              <w:rPr>
                <w:spacing w:val="-2"/>
                <w:szCs w:val="19"/>
              </w:rPr>
              <w:t xml:space="preserve"> </w:t>
            </w:r>
            <w:r w:rsidRPr="000E6442">
              <w:rPr>
                <w:szCs w:val="19"/>
              </w:rPr>
              <w:t>(11.1%, 27.0%)</w:t>
            </w:r>
          </w:p>
        </w:tc>
        <w:tc>
          <w:tcPr>
            <w:tcW w:w="1381" w:type="pct"/>
          </w:tcPr>
          <w:p w14:paraId="12B1F401" w14:textId="77777777" w:rsidR="002557F5" w:rsidRPr="000E6442" w:rsidRDefault="002557F5" w:rsidP="002557F5">
            <w:pPr>
              <w:pStyle w:val="Tabletext"/>
              <w:rPr>
                <w:szCs w:val="19"/>
              </w:rPr>
            </w:pPr>
            <w:r w:rsidRPr="000E6442">
              <w:rPr>
                <w:szCs w:val="19"/>
              </w:rPr>
              <w:t>36.5%</w:t>
            </w:r>
            <w:r w:rsidRPr="000E6442">
              <w:rPr>
                <w:spacing w:val="-2"/>
                <w:szCs w:val="19"/>
              </w:rPr>
              <w:t xml:space="preserve"> </w:t>
            </w:r>
            <w:r w:rsidRPr="000E6442">
              <w:rPr>
                <w:szCs w:val="19"/>
              </w:rPr>
              <w:t>(29.7%, 43.4%)</w:t>
            </w:r>
          </w:p>
        </w:tc>
      </w:tr>
      <w:tr w:rsidR="002557F5" w14:paraId="32CDF5E9" w14:textId="77777777" w:rsidTr="000E6442">
        <w:trPr>
          <w:trHeight w:val="244"/>
        </w:trPr>
        <w:tc>
          <w:tcPr>
            <w:tcW w:w="2324" w:type="pct"/>
          </w:tcPr>
          <w:p w14:paraId="71BF54B7" w14:textId="77777777" w:rsidR="002557F5" w:rsidRPr="000E6442" w:rsidRDefault="002557F5" w:rsidP="002557F5">
            <w:pPr>
              <w:pStyle w:val="Tabletext"/>
              <w:rPr>
                <w:b/>
                <w:bCs/>
                <w:szCs w:val="19"/>
              </w:rPr>
            </w:pPr>
            <w:r w:rsidRPr="000E6442">
              <w:rPr>
                <w:b/>
                <w:bCs/>
                <w:szCs w:val="19"/>
              </w:rPr>
              <w:t>Treatment</w:t>
            </w:r>
            <w:r w:rsidRPr="000E6442">
              <w:rPr>
                <w:b/>
                <w:bCs/>
                <w:spacing w:val="-1"/>
                <w:szCs w:val="19"/>
              </w:rPr>
              <w:t xml:space="preserve"> </w:t>
            </w:r>
            <w:r w:rsidRPr="000E6442">
              <w:rPr>
                <w:b/>
                <w:bCs/>
                <w:szCs w:val="19"/>
              </w:rPr>
              <w:t>Comparison</w:t>
            </w:r>
            <w:r w:rsidRPr="000E6442">
              <w:rPr>
                <w:b/>
                <w:bCs/>
                <w:spacing w:val="1"/>
                <w:szCs w:val="19"/>
              </w:rPr>
              <w:t xml:space="preserve"> </w:t>
            </w:r>
            <w:r w:rsidRPr="000E6442">
              <w:rPr>
                <w:b/>
                <w:bCs/>
                <w:szCs w:val="19"/>
              </w:rPr>
              <w:t>(</w:t>
            </w:r>
            <w:proofErr w:type="spellStart"/>
            <w:r w:rsidRPr="000E6442">
              <w:rPr>
                <w:b/>
                <w:bCs/>
                <w:szCs w:val="19"/>
              </w:rPr>
              <w:t>Stratified</w:t>
            </w:r>
            <w:r w:rsidRPr="000E6442">
              <w:rPr>
                <w:b/>
                <w:bCs/>
                <w:szCs w:val="19"/>
                <w:vertAlign w:val="superscript"/>
              </w:rPr>
              <w:t>a</w:t>
            </w:r>
            <w:proofErr w:type="spellEnd"/>
            <w:r w:rsidRPr="000E6442">
              <w:rPr>
                <w:b/>
                <w:bCs/>
                <w:szCs w:val="19"/>
              </w:rPr>
              <w:t>)</w:t>
            </w:r>
          </w:p>
        </w:tc>
        <w:tc>
          <w:tcPr>
            <w:tcW w:w="2676" w:type="pct"/>
            <w:gridSpan w:val="2"/>
          </w:tcPr>
          <w:p w14:paraId="5421E152" w14:textId="1F9DCBE0" w:rsidR="002557F5" w:rsidRPr="000E6442" w:rsidRDefault="002557F5" w:rsidP="002557F5">
            <w:pPr>
              <w:pStyle w:val="Tabletext"/>
              <w:rPr>
                <w:b/>
                <w:bCs/>
                <w:szCs w:val="19"/>
              </w:rPr>
            </w:pPr>
            <w:r w:rsidRPr="000E6442">
              <w:rPr>
                <w:b/>
                <w:bCs/>
                <w:szCs w:val="19"/>
              </w:rPr>
              <w:t>VEN +</w:t>
            </w:r>
            <w:r w:rsidRPr="000E6442">
              <w:rPr>
                <w:b/>
                <w:bCs/>
                <w:spacing w:val="1"/>
                <w:szCs w:val="19"/>
              </w:rPr>
              <w:t xml:space="preserve"> </w:t>
            </w:r>
            <w:r w:rsidRPr="000E6442">
              <w:rPr>
                <w:b/>
                <w:bCs/>
                <w:szCs w:val="19"/>
              </w:rPr>
              <w:t>AZA</w:t>
            </w:r>
            <w:r w:rsidRPr="000E6442">
              <w:rPr>
                <w:b/>
                <w:bCs/>
                <w:spacing w:val="-1"/>
                <w:szCs w:val="19"/>
              </w:rPr>
              <w:t xml:space="preserve"> </w:t>
            </w:r>
            <w:r w:rsidRPr="000E6442">
              <w:rPr>
                <w:b/>
                <w:bCs/>
                <w:szCs w:val="19"/>
              </w:rPr>
              <w:t>v</w:t>
            </w:r>
            <w:r w:rsidR="000E6442" w:rsidRPr="000E6442">
              <w:rPr>
                <w:b/>
                <w:bCs/>
                <w:szCs w:val="19"/>
              </w:rPr>
              <w:t>ersu</w:t>
            </w:r>
            <w:r w:rsidRPr="000E6442">
              <w:rPr>
                <w:b/>
                <w:bCs/>
                <w:szCs w:val="19"/>
              </w:rPr>
              <w:t>s.</w:t>
            </w:r>
            <w:r w:rsidRPr="000E6442">
              <w:rPr>
                <w:b/>
                <w:bCs/>
                <w:spacing w:val="-2"/>
                <w:szCs w:val="19"/>
              </w:rPr>
              <w:t xml:space="preserve"> </w:t>
            </w:r>
            <w:r w:rsidRPr="000E6442">
              <w:rPr>
                <w:b/>
                <w:bCs/>
                <w:szCs w:val="19"/>
              </w:rPr>
              <w:t>PBO +</w:t>
            </w:r>
            <w:r w:rsidRPr="000E6442">
              <w:rPr>
                <w:b/>
                <w:bCs/>
                <w:spacing w:val="1"/>
                <w:szCs w:val="19"/>
              </w:rPr>
              <w:t xml:space="preserve"> </w:t>
            </w:r>
            <w:r w:rsidRPr="000E6442">
              <w:rPr>
                <w:b/>
                <w:bCs/>
                <w:szCs w:val="19"/>
              </w:rPr>
              <w:t>AZA</w:t>
            </w:r>
          </w:p>
        </w:tc>
      </w:tr>
      <w:tr w:rsidR="002557F5" w14:paraId="050C6056" w14:textId="77777777" w:rsidTr="000E6442">
        <w:trPr>
          <w:trHeight w:val="263"/>
        </w:trPr>
        <w:tc>
          <w:tcPr>
            <w:tcW w:w="2324" w:type="pct"/>
          </w:tcPr>
          <w:p w14:paraId="225FAD6F" w14:textId="77777777" w:rsidR="002557F5" w:rsidRPr="000E6442" w:rsidRDefault="002557F5" w:rsidP="002557F5">
            <w:pPr>
              <w:pStyle w:val="Tabletext"/>
              <w:rPr>
                <w:szCs w:val="19"/>
              </w:rPr>
            </w:pPr>
            <w:r w:rsidRPr="000E6442">
              <w:rPr>
                <w:szCs w:val="19"/>
              </w:rPr>
              <w:t>p-value</w:t>
            </w:r>
            <w:r w:rsidRPr="000E6442">
              <w:rPr>
                <w:spacing w:val="1"/>
                <w:szCs w:val="19"/>
              </w:rPr>
              <w:t xml:space="preserve"> </w:t>
            </w:r>
            <w:r w:rsidRPr="000E6442">
              <w:rPr>
                <w:szCs w:val="19"/>
              </w:rPr>
              <w:t>from</w:t>
            </w:r>
            <w:r w:rsidRPr="000E6442">
              <w:rPr>
                <w:spacing w:val="-1"/>
                <w:szCs w:val="19"/>
              </w:rPr>
              <w:t xml:space="preserve"> </w:t>
            </w:r>
            <w:r w:rsidRPr="000E6442">
              <w:rPr>
                <w:szCs w:val="19"/>
              </w:rPr>
              <w:t>Log-rank</w:t>
            </w:r>
            <w:r w:rsidRPr="000E6442">
              <w:rPr>
                <w:spacing w:val="1"/>
                <w:szCs w:val="19"/>
              </w:rPr>
              <w:t xml:space="preserve"> </w:t>
            </w:r>
            <w:r w:rsidRPr="000E6442">
              <w:rPr>
                <w:szCs w:val="19"/>
              </w:rPr>
              <w:t>Test</w:t>
            </w:r>
          </w:p>
        </w:tc>
        <w:tc>
          <w:tcPr>
            <w:tcW w:w="2676" w:type="pct"/>
            <w:gridSpan w:val="2"/>
          </w:tcPr>
          <w:p w14:paraId="4B8D413B" w14:textId="77777777" w:rsidR="002557F5" w:rsidRPr="000E6442" w:rsidRDefault="002557F5" w:rsidP="002557F5">
            <w:pPr>
              <w:pStyle w:val="Tabletext"/>
              <w:rPr>
                <w:szCs w:val="19"/>
              </w:rPr>
            </w:pPr>
            <w:r w:rsidRPr="000E6442">
              <w:rPr>
                <w:szCs w:val="19"/>
              </w:rPr>
              <w:t>&lt;</w:t>
            </w:r>
            <w:r w:rsidRPr="000E6442">
              <w:rPr>
                <w:spacing w:val="-2"/>
                <w:szCs w:val="19"/>
              </w:rPr>
              <w:t xml:space="preserve"> </w:t>
            </w:r>
            <w:r w:rsidRPr="000E6442">
              <w:rPr>
                <w:szCs w:val="19"/>
              </w:rPr>
              <w:t>0.001***</w:t>
            </w:r>
          </w:p>
        </w:tc>
      </w:tr>
      <w:tr w:rsidR="003A398B" w14:paraId="731AF3D5" w14:textId="77777777" w:rsidTr="003A398B">
        <w:trPr>
          <w:trHeight w:val="243"/>
        </w:trPr>
        <w:tc>
          <w:tcPr>
            <w:tcW w:w="5000" w:type="pct"/>
            <w:gridSpan w:val="3"/>
          </w:tcPr>
          <w:p w14:paraId="76CB5F7B" w14:textId="45B065E4" w:rsidR="003A398B" w:rsidRPr="000E6442" w:rsidRDefault="003A398B" w:rsidP="002557F5">
            <w:pPr>
              <w:pStyle w:val="Tabletext"/>
              <w:rPr>
                <w:b/>
                <w:bCs/>
                <w:szCs w:val="19"/>
              </w:rPr>
            </w:pPr>
            <w:r w:rsidRPr="000E6442">
              <w:rPr>
                <w:b/>
                <w:bCs/>
                <w:szCs w:val="19"/>
              </w:rPr>
              <w:t>Cox</w:t>
            </w:r>
            <w:r w:rsidRPr="000E6442">
              <w:rPr>
                <w:b/>
                <w:bCs/>
                <w:spacing w:val="-1"/>
                <w:szCs w:val="19"/>
              </w:rPr>
              <w:t xml:space="preserve"> </w:t>
            </w:r>
            <w:r w:rsidRPr="000E6442">
              <w:rPr>
                <w:b/>
                <w:bCs/>
                <w:szCs w:val="19"/>
              </w:rPr>
              <w:t>Proportional Hazard Model</w:t>
            </w:r>
          </w:p>
        </w:tc>
      </w:tr>
      <w:tr w:rsidR="002557F5" w14:paraId="68CFBC24" w14:textId="77777777" w:rsidTr="000E6442">
        <w:trPr>
          <w:trHeight w:val="224"/>
        </w:trPr>
        <w:tc>
          <w:tcPr>
            <w:tcW w:w="2324" w:type="pct"/>
          </w:tcPr>
          <w:p w14:paraId="6C091FD9" w14:textId="77777777" w:rsidR="002557F5" w:rsidRPr="000E6442" w:rsidRDefault="002557F5" w:rsidP="002557F5">
            <w:pPr>
              <w:pStyle w:val="Tabletext"/>
              <w:rPr>
                <w:szCs w:val="19"/>
              </w:rPr>
            </w:pPr>
            <w:r w:rsidRPr="000E6442">
              <w:rPr>
                <w:szCs w:val="19"/>
              </w:rPr>
              <w:t>Hazard Ratio (95%</w:t>
            </w:r>
            <w:r w:rsidRPr="000E6442">
              <w:rPr>
                <w:spacing w:val="-1"/>
                <w:szCs w:val="19"/>
              </w:rPr>
              <w:t xml:space="preserve"> </w:t>
            </w:r>
            <w:r w:rsidRPr="000E6442">
              <w:rPr>
                <w:szCs w:val="19"/>
              </w:rPr>
              <w:t>CI)</w:t>
            </w:r>
          </w:p>
        </w:tc>
        <w:tc>
          <w:tcPr>
            <w:tcW w:w="2676" w:type="pct"/>
            <w:gridSpan w:val="2"/>
          </w:tcPr>
          <w:p w14:paraId="3517B035" w14:textId="77777777" w:rsidR="002557F5" w:rsidRPr="000E6442" w:rsidRDefault="002557F5" w:rsidP="002557F5">
            <w:pPr>
              <w:pStyle w:val="Tabletext"/>
              <w:rPr>
                <w:szCs w:val="19"/>
              </w:rPr>
            </w:pPr>
            <w:r w:rsidRPr="000E6442">
              <w:rPr>
                <w:szCs w:val="19"/>
              </w:rPr>
              <w:t>0.662</w:t>
            </w:r>
            <w:r w:rsidRPr="000E6442">
              <w:rPr>
                <w:spacing w:val="-1"/>
                <w:szCs w:val="19"/>
              </w:rPr>
              <w:t xml:space="preserve"> </w:t>
            </w:r>
            <w:r w:rsidRPr="000E6442">
              <w:rPr>
                <w:szCs w:val="19"/>
              </w:rPr>
              <w:t>(0.518,</w:t>
            </w:r>
            <w:r w:rsidRPr="000E6442">
              <w:rPr>
                <w:spacing w:val="1"/>
                <w:szCs w:val="19"/>
              </w:rPr>
              <w:t xml:space="preserve"> </w:t>
            </w:r>
            <w:r w:rsidRPr="000E6442">
              <w:rPr>
                <w:szCs w:val="19"/>
              </w:rPr>
              <w:t>0.845)</w:t>
            </w:r>
          </w:p>
        </w:tc>
      </w:tr>
    </w:tbl>
    <w:p w14:paraId="560A4421" w14:textId="54EAFE29" w:rsidR="003A398B" w:rsidRDefault="003A398B" w:rsidP="003A398B">
      <w:pPr>
        <w:pStyle w:val="TableDescription"/>
      </w:pPr>
      <w:r w:rsidRPr="00002104">
        <w:lastRenderedPageBreak/>
        <w:t>AZA</w:t>
      </w:r>
      <w:r w:rsidRPr="00002104">
        <w:rPr>
          <w:spacing w:val="-1"/>
        </w:rPr>
        <w:t xml:space="preserve"> </w:t>
      </w:r>
      <w:r w:rsidRPr="00002104">
        <w:t>=</w:t>
      </w:r>
      <w:r w:rsidRPr="00002104">
        <w:rPr>
          <w:spacing w:val="-1"/>
        </w:rPr>
        <w:t xml:space="preserve"> </w:t>
      </w:r>
      <w:proofErr w:type="spellStart"/>
      <w:r w:rsidRPr="00002104">
        <w:t>azacitidine</w:t>
      </w:r>
      <w:proofErr w:type="spellEnd"/>
      <w:r w:rsidRPr="00002104">
        <w:t>; CI</w:t>
      </w:r>
      <w:r w:rsidRPr="00002104">
        <w:rPr>
          <w:spacing w:val="2"/>
        </w:rPr>
        <w:t xml:space="preserve"> </w:t>
      </w:r>
      <w:r w:rsidRPr="00002104">
        <w:t>=</w:t>
      </w:r>
      <w:r w:rsidRPr="00002104">
        <w:rPr>
          <w:spacing w:val="-1"/>
        </w:rPr>
        <w:t xml:space="preserve"> </w:t>
      </w:r>
      <w:r w:rsidRPr="00002104">
        <w:t>confidence interval; IVRS</w:t>
      </w:r>
      <w:r w:rsidRPr="00002104">
        <w:rPr>
          <w:spacing w:val="-1"/>
        </w:rPr>
        <w:t xml:space="preserve"> </w:t>
      </w:r>
      <w:r w:rsidRPr="00002104">
        <w:t>=</w:t>
      </w:r>
      <w:r w:rsidRPr="00002104">
        <w:rPr>
          <w:spacing w:val="-1"/>
        </w:rPr>
        <w:t xml:space="preserve"> </w:t>
      </w:r>
      <w:r w:rsidR="00F73C61">
        <w:t>i</w:t>
      </w:r>
      <w:r w:rsidRPr="00002104">
        <w:t>nteractive</w:t>
      </w:r>
      <w:r w:rsidRPr="00002104">
        <w:rPr>
          <w:spacing w:val="-1"/>
        </w:rPr>
        <w:t xml:space="preserve"> </w:t>
      </w:r>
      <w:r w:rsidR="00F73C61">
        <w:t>v</w:t>
      </w:r>
      <w:r w:rsidRPr="00002104">
        <w:t>oice</w:t>
      </w:r>
      <w:r w:rsidRPr="00002104">
        <w:rPr>
          <w:spacing w:val="1"/>
        </w:rPr>
        <w:t xml:space="preserve"> </w:t>
      </w:r>
      <w:r w:rsidR="00F73C61">
        <w:t>r</w:t>
      </w:r>
      <w:r w:rsidRPr="00002104">
        <w:t>esponse</w:t>
      </w:r>
      <w:r w:rsidRPr="00002104">
        <w:rPr>
          <w:spacing w:val="1"/>
        </w:rPr>
        <w:t xml:space="preserve"> </w:t>
      </w:r>
      <w:r w:rsidR="00F73C61">
        <w:t>s</w:t>
      </w:r>
      <w:r w:rsidRPr="00002104">
        <w:t>ystem;</w:t>
      </w:r>
      <w:r w:rsidRPr="00002104">
        <w:rPr>
          <w:spacing w:val="-1"/>
        </w:rPr>
        <w:t xml:space="preserve"> </w:t>
      </w:r>
      <w:r w:rsidRPr="00002104">
        <w:t>IWRS</w:t>
      </w:r>
      <w:r w:rsidRPr="00002104">
        <w:rPr>
          <w:spacing w:val="-2"/>
        </w:rPr>
        <w:t xml:space="preserve"> </w:t>
      </w:r>
      <w:r w:rsidRPr="00002104">
        <w:t>=</w:t>
      </w:r>
      <w:r w:rsidRPr="00002104">
        <w:rPr>
          <w:spacing w:val="-1"/>
        </w:rPr>
        <w:t xml:space="preserve"> </w:t>
      </w:r>
      <w:r w:rsidR="00F73C61">
        <w:t>i</w:t>
      </w:r>
      <w:r w:rsidRPr="00002104">
        <w:t>nteractive</w:t>
      </w:r>
      <w:r w:rsidRPr="00002104">
        <w:rPr>
          <w:spacing w:val="-1"/>
        </w:rPr>
        <w:t xml:space="preserve"> </w:t>
      </w:r>
      <w:r w:rsidR="00F73C61">
        <w:t>w</w:t>
      </w:r>
      <w:r w:rsidRPr="00002104">
        <w:t>eb</w:t>
      </w:r>
      <w:r w:rsidRPr="00002104">
        <w:rPr>
          <w:spacing w:val="-1"/>
        </w:rPr>
        <w:t xml:space="preserve"> </w:t>
      </w:r>
      <w:r w:rsidR="00F73C61">
        <w:t>r</w:t>
      </w:r>
      <w:r w:rsidRPr="00002104">
        <w:t>esponse</w:t>
      </w:r>
      <w:r w:rsidRPr="00002104">
        <w:rPr>
          <w:spacing w:val="-1"/>
        </w:rPr>
        <w:t xml:space="preserve"> </w:t>
      </w:r>
      <w:r w:rsidR="00F73C61">
        <w:t>s</w:t>
      </w:r>
      <w:r w:rsidRPr="00002104">
        <w:t>ystem;</w:t>
      </w:r>
      <w:r w:rsidRPr="00002104">
        <w:rPr>
          <w:spacing w:val="2"/>
        </w:rPr>
        <w:t xml:space="preserve"> </w:t>
      </w:r>
      <w:r w:rsidRPr="00002104">
        <w:t>N</w:t>
      </w:r>
      <w:r w:rsidRPr="00002104">
        <w:rPr>
          <w:spacing w:val="-1"/>
        </w:rPr>
        <w:t xml:space="preserve"> </w:t>
      </w:r>
      <w:r w:rsidRPr="00002104">
        <w:t>=</w:t>
      </w:r>
      <w:r w:rsidRPr="00002104">
        <w:rPr>
          <w:spacing w:val="-1"/>
        </w:rPr>
        <w:t xml:space="preserve"> </w:t>
      </w:r>
      <w:r w:rsidRPr="00002104">
        <w:t>sample</w:t>
      </w:r>
      <w:r w:rsidRPr="00002104">
        <w:rPr>
          <w:spacing w:val="-1"/>
        </w:rPr>
        <w:t xml:space="preserve"> </w:t>
      </w:r>
      <w:r w:rsidRPr="00002104">
        <w:t>size;</w:t>
      </w:r>
      <w:r w:rsidRPr="00002104">
        <w:rPr>
          <w:spacing w:val="2"/>
        </w:rPr>
        <w:t xml:space="preserve"> </w:t>
      </w:r>
      <w:r w:rsidRPr="00002104">
        <w:t>n</w:t>
      </w:r>
      <w:r w:rsidRPr="00002104">
        <w:rPr>
          <w:spacing w:val="-1"/>
        </w:rPr>
        <w:t xml:space="preserve"> </w:t>
      </w:r>
      <w:r w:rsidRPr="00002104">
        <w:t>=</w:t>
      </w:r>
      <w:r w:rsidRPr="00002104">
        <w:rPr>
          <w:spacing w:val="1"/>
        </w:rPr>
        <w:t xml:space="preserve"> </w:t>
      </w:r>
      <w:r w:rsidRPr="00002104">
        <w:t>number</w:t>
      </w:r>
      <w:r w:rsidRPr="00002104">
        <w:rPr>
          <w:spacing w:val="-1"/>
        </w:rPr>
        <w:t xml:space="preserve"> </w:t>
      </w:r>
      <w:r w:rsidRPr="00002104">
        <w:t>of patients;</w:t>
      </w:r>
      <w:r w:rsidRPr="00002104">
        <w:rPr>
          <w:spacing w:val="2"/>
        </w:rPr>
        <w:t xml:space="preserve"> </w:t>
      </w:r>
      <w:r w:rsidRPr="00002104">
        <w:t>NR =</w:t>
      </w:r>
      <w:r w:rsidRPr="00002104">
        <w:rPr>
          <w:spacing w:val="-1"/>
        </w:rPr>
        <w:t xml:space="preserve"> </w:t>
      </w:r>
      <w:r w:rsidRPr="00002104">
        <w:t>not</w:t>
      </w:r>
      <w:r w:rsidRPr="00002104">
        <w:rPr>
          <w:spacing w:val="-1"/>
        </w:rPr>
        <w:t xml:space="preserve"> </w:t>
      </w:r>
      <w:r w:rsidRPr="00002104">
        <w:t>reached; PBO =</w:t>
      </w:r>
      <w:r w:rsidRPr="00002104">
        <w:rPr>
          <w:spacing w:val="-2"/>
        </w:rPr>
        <w:t xml:space="preserve"> </w:t>
      </w:r>
      <w:r w:rsidRPr="00002104">
        <w:t>placebo;</w:t>
      </w:r>
      <w:r w:rsidRPr="00002104">
        <w:rPr>
          <w:spacing w:val="2"/>
        </w:rPr>
        <w:t xml:space="preserve"> </w:t>
      </w:r>
      <w:r w:rsidRPr="00002104">
        <w:t>VEN</w:t>
      </w:r>
      <w:r w:rsidRPr="00002104">
        <w:rPr>
          <w:spacing w:val="-1"/>
        </w:rPr>
        <w:t xml:space="preserve"> </w:t>
      </w:r>
      <w:r w:rsidRPr="00002104">
        <w:t>=</w:t>
      </w:r>
      <w:r w:rsidRPr="00002104">
        <w:rPr>
          <w:spacing w:val="-1"/>
        </w:rPr>
        <w:t xml:space="preserve"> </w:t>
      </w:r>
      <w:proofErr w:type="spellStart"/>
      <w:r w:rsidRPr="00002104">
        <w:t>venetoclax</w:t>
      </w:r>
      <w:proofErr w:type="spellEnd"/>
    </w:p>
    <w:p w14:paraId="4C9D575B" w14:textId="6B166AC0" w:rsidR="003A398B" w:rsidRDefault="003A398B" w:rsidP="003A398B">
      <w:pPr>
        <w:pStyle w:val="TableDescription"/>
      </w:pPr>
      <w:r w:rsidRPr="00002104">
        <w:t>a.</w:t>
      </w:r>
      <w:r w:rsidRPr="00002104">
        <w:rPr>
          <w:spacing w:val="40"/>
        </w:rPr>
        <w:t xml:space="preserve"> </w:t>
      </w:r>
      <w:r w:rsidRPr="00002104">
        <w:t>Stratified</w:t>
      </w:r>
      <w:r w:rsidRPr="00002104">
        <w:rPr>
          <w:spacing w:val="-1"/>
        </w:rPr>
        <w:t xml:space="preserve"> </w:t>
      </w:r>
      <w:r w:rsidRPr="00002104">
        <w:t>by age</w:t>
      </w:r>
      <w:r w:rsidRPr="00002104">
        <w:rPr>
          <w:spacing w:val="-1"/>
        </w:rPr>
        <w:t xml:space="preserve"> </w:t>
      </w:r>
      <w:r w:rsidRPr="00002104">
        <w:t>(18 to</w:t>
      </w:r>
      <w:r w:rsidRPr="00002104">
        <w:rPr>
          <w:spacing w:val="1"/>
        </w:rPr>
        <w:t xml:space="preserve"> </w:t>
      </w:r>
      <w:r w:rsidRPr="00002104">
        <w:t>&lt;</w:t>
      </w:r>
      <w:r w:rsidRPr="00002104">
        <w:rPr>
          <w:spacing w:val="-1"/>
        </w:rPr>
        <w:t xml:space="preserve"> </w:t>
      </w:r>
      <w:r w:rsidRPr="00002104">
        <w:t>75, ≥</w:t>
      </w:r>
      <w:r w:rsidRPr="00002104">
        <w:rPr>
          <w:spacing w:val="1"/>
        </w:rPr>
        <w:t xml:space="preserve"> </w:t>
      </w:r>
      <w:r w:rsidRPr="00002104">
        <w:t>75) and</w:t>
      </w:r>
      <w:r w:rsidRPr="00002104">
        <w:rPr>
          <w:spacing w:val="-1"/>
        </w:rPr>
        <w:t xml:space="preserve"> </w:t>
      </w:r>
      <w:r w:rsidRPr="00002104">
        <w:t>cytogenetics</w:t>
      </w:r>
      <w:r w:rsidRPr="00002104">
        <w:rPr>
          <w:spacing w:val="-1"/>
        </w:rPr>
        <w:t xml:space="preserve"> </w:t>
      </w:r>
      <w:r w:rsidRPr="00002104">
        <w:t>(intermediate</w:t>
      </w:r>
      <w:r w:rsidRPr="00002104">
        <w:rPr>
          <w:spacing w:val="-1"/>
        </w:rPr>
        <w:t xml:space="preserve"> </w:t>
      </w:r>
      <w:r w:rsidRPr="00002104">
        <w:t>risk, poor</w:t>
      </w:r>
      <w:r w:rsidRPr="00002104">
        <w:rPr>
          <w:spacing w:val="-1"/>
        </w:rPr>
        <w:t xml:space="preserve"> </w:t>
      </w:r>
      <w:r w:rsidRPr="00002104">
        <w:t>risk) from IVRS/IWRS.</w:t>
      </w:r>
    </w:p>
    <w:p w14:paraId="692DB877" w14:textId="04A9D048" w:rsidR="002557F5" w:rsidRDefault="003A398B" w:rsidP="002557F5">
      <w:r w:rsidRPr="003A398B">
        <w:t xml:space="preserve">The </w:t>
      </w:r>
      <w:r w:rsidR="00F73C61" w:rsidRPr="00F73C61">
        <w:t>Kaplan Meier</w:t>
      </w:r>
      <w:r w:rsidRPr="003A398B">
        <w:t xml:space="preserve"> curve for </w:t>
      </w:r>
      <w:r>
        <w:t>o</w:t>
      </w:r>
      <w:r w:rsidRPr="003A398B">
        <w:t xml:space="preserve">verall </w:t>
      </w:r>
      <w:r>
        <w:t>s</w:t>
      </w:r>
      <w:r w:rsidRPr="003A398B">
        <w:t>urvival is presented below</w:t>
      </w:r>
      <w:r>
        <w:t xml:space="preserve"> (</w:t>
      </w:r>
      <w:r>
        <w:fldChar w:fldCharType="begin"/>
      </w:r>
      <w:r>
        <w:instrText xml:space="preserve"> REF _Ref98337324 \h </w:instrText>
      </w:r>
      <w:r>
        <w:fldChar w:fldCharType="separate"/>
      </w:r>
      <w:r w:rsidR="00211D51" w:rsidRPr="003A398B">
        <w:t xml:space="preserve">Figure </w:t>
      </w:r>
      <w:r w:rsidR="00211D51">
        <w:rPr>
          <w:noProof/>
        </w:rPr>
        <w:t>2</w:t>
      </w:r>
      <w:r>
        <w:fldChar w:fldCharType="end"/>
      </w:r>
      <w:r w:rsidR="00ED3312">
        <w:t xml:space="preserve"> and </w:t>
      </w:r>
      <w:r w:rsidR="00ED3312">
        <w:fldChar w:fldCharType="begin"/>
      </w:r>
      <w:r w:rsidR="00ED3312">
        <w:instrText xml:space="preserve"> REF _Ref98338159 \h </w:instrText>
      </w:r>
      <w:r w:rsidR="00ED3312">
        <w:fldChar w:fldCharType="separate"/>
      </w:r>
      <w:r w:rsidR="00211D51" w:rsidRPr="00ED3312">
        <w:t xml:space="preserve">Table </w:t>
      </w:r>
      <w:r w:rsidR="00211D51">
        <w:rPr>
          <w:noProof/>
        </w:rPr>
        <w:t>7</w:t>
      </w:r>
      <w:r w:rsidR="00ED3312">
        <w:fldChar w:fldCharType="end"/>
      </w:r>
      <w:r>
        <w:t>).</w:t>
      </w:r>
    </w:p>
    <w:p w14:paraId="54104CC9" w14:textId="7B14B2AB" w:rsidR="003A398B" w:rsidRDefault="003A398B" w:rsidP="003A398B">
      <w:pPr>
        <w:pStyle w:val="FigureTitle"/>
      </w:pPr>
      <w:bookmarkStart w:id="51" w:name="_Ref98337324"/>
      <w:r w:rsidRPr="003A398B">
        <w:t xml:space="preserve">Figure </w:t>
      </w:r>
      <w:fldSimple w:instr=" SEQ Figure \* ARABIC ">
        <w:r w:rsidR="007E2134">
          <w:rPr>
            <w:noProof/>
          </w:rPr>
          <w:t>2</w:t>
        </w:r>
      </w:fldSimple>
      <w:bookmarkEnd w:id="51"/>
      <w:r>
        <w:t>: VIALE-A trial Overall survival curve</w:t>
      </w:r>
    </w:p>
    <w:p w14:paraId="7FE732F1" w14:textId="1846458F" w:rsidR="003A398B" w:rsidRDefault="003A398B" w:rsidP="003A398B">
      <w:r w:rsidRPr="005E294E">
        <w:rPr>
          <w:noProof/>
          <w:lang w:val="en-GB" w:eastAsia="en-GB"/>
        </w:rPr>
        <w:drawing>
          <wp:inline distT="0" distB="0" distL="0" distR="0" wp14:anchorId="455D6C34" wp14:editId="5D96B353">
            <wp:extent cx="5088835" cy="277250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lum bright="-20000" contrast="40000"/>
                      <a:extLst>
                        <a:ext uri="{28A0092B-C50C-407E-A947-70E740481C1C}">
                          <a14:useLocalDpi xmlns:a14="http://schemas.microsoft.com/office/drawing/2010/main" val="0"/>
                        </a:ext>
                      </a:extLst>
                    </a:blip>
                    <a:srcRect b="19858"/>
                    <a:stretch/>
                  </pic:blipFill>
                  <pic:spPr bwMode="auto">
                    <a:xfrm>
                      <a:off x="0" y="0"/>
                      <a:ext cx="5094656" cy="2775672"/>
                    </a:xfrm>
                    <a:prstGeom prst="rect">
                      <a:avLst/>
                    </a:prstGeom>
                    <a:noFill/>
                    <a:ln>
                      <a:noFill/>
                    </a:ln>
                    <a:extLst>
                      <a:ext uri="{53640926-AAD7-44D8-BBD7-CCE9431645EC}">
                        <a14:shadowObscured xmlns:a14="http://schemas.microsoft.com/office/drawing/2010/main"/>
                      </a:ext>
                    </a:extLst>
                  </pic:spPr>
                </pic:pic>
              </a:graphicData>
            </a:graphic>
          </wp:inline>
        </w:drawing>
      </w:r>
    </w:p>
    <w:p w14:paraId="5AE74528" w14:textId="121C78FD" w:rsidR="003A398B" w:rsidRDefault="003A398B" w:rsidP="003A398B">
      <w:pPr>
        <w:pStyle w:val="TableDescription"/>
      </w:pPr>
      <w:r>
        <w:t xml:space="preserve">AZA = </w:t>
      </w:r>
      <w:proofErr w:type="spellStart"/>
      <w:r>
        <w:t>azac</w:t>
      </w:r>
      <w:r w:rsidR="00754DD4">
        <w:t>i</w:t>
      </w:r>
      <w:r>
        <w:t>tidine</w:t>
      </w:r>
      <w:proofErr w:type="spellEnd"/>
      <w:r>
        <w:t xml:space="preserve">; IVRS = interactive voice response system; IWRS = interactive web response system; PBO = placebo; VEN = </w:t>
      </w:r>
      <w:proofErr w:type="spellStart"/>
      <w:r>
        <w:t>venetoclax</w:t>
      </w:r>
      <w:proofErr w:type="spellEnd"/>
    </w:p>
    <w:p w14:paraId="637E3762" w14:textId="3F8163FF" w:rsidR="003A398B" w:rsidRDefault="003A398B" w:rsidP="003A398B">
      <w:pPr>
        <w:pStyle w:val="TableDescription"/>
      </w:pPr>
      <w:r>
        <w:t>$ Stratified by age (18 to 75, ≥ 75) and cytogenetics (intermediate risk, poor risk) from IVRS/IWRS</w:t>
      </w:r>
    </w:p>
    <w:p w14:paraId="61E60095" w14:textId="68280B94" w:rsidR="003A398B" w:rsidRDefault="003A398B" w:rsidP="003A398B">
      <w:pPr>
        <w:pStyle w:val="TableDescription"/>
      </w:pPr>
      <w:r>
        <w:t xml:space="preserve">Note: Data included are subjected to </w:t>
      </w:r>
      <w:proofErr w:type="spellStart"/>
      <w:r>
        <w:t>cutoff</w:t>
      </w:r>
      <w:proofErr w:type="spellEnd"/>
      <w:r>
        <w:t xml:space="preserve"> date 4 January 2020</w:t>
      </w:r>
    </w:p>
    <w:p w14:paraId="63512639" w14:textId="4AB26C5E" w:rsidR="00ED3312" w:rsidRDefault="00ED3312" w:rsidP="00ED3312">
      <w:pPr>
        <w:pStyle w:val="TableTitle"/>
      </w:pPr>
      <w:bookmarkStart w:id="52" w:name="_Ref98338159"/>
      <w:r w:rsidRPr="00ED3312">
        <w:t xml:space="preserve">Table </w:t>
      </w:r>
      <w:fldSimple w:instr=" SEQ Table \* ARABIC ">
        <w:r w:rsidR="007E2134">
          <w:rPr>
            <w:noProof/>
          </w:rPr>
          <w:t>7</w:t>
        </w:r>
      </w:fldSimple>
      <w:bookmarkEnd w:id="52"/>
      <w:r>
        <w:t>: VIALE-A trial Forest plot for overall survival primary endpoint</w:t>
      </w:r>
    </w:p>
    <w:p w14:paraId="289438FA" w14:textId="23E76089" w:rsidR="00ED3312" w:rsidRDefault="00ED3312" w:rsidP="00ED3312">
      <w:r w:rsidRPr="00020C46">
        <w:rPr>
          <w:rFonts w:asciiTheme="minorHAnsi" w:hAnsiTheme="minorHAnsi"/>
          <w:noProof/>
          <w:lang w:val="en-GB" w:eastAsia="en-GB"/>
        </w:rPr>
        <w:drawing>
          <wp:inline distT="0" distB="0" distL="0" distR="0" wp14:anchorId="6697B025" wp14:editId="1A76E0B1">
            <wp:extent cx="5436642" cy="3562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a:lum bright="-20000" contrast="40000"/>
                      <a:extLst>
                        <a:ext uri="{28A0092B-C50C-407E-A947-70E740481C1C}">
                          <a14:useLocalDpi xmlns:a14="http://schemas.microsoft.com/office/drawing/2010/main" val="0"/>
                        </a:ext>
                      </a:extLst>
                    </a:blip>
                    <a:srcRect t="1332" r="3394" b="3235"/>
                    <a:stretch/>
                  </pic:blipFill>
                  <pic:spPr bwMode="auto">
                    <a:xfrm>
                      <a:off x="0" y="0"/>
                      <a:ext cx="5454645" cy="3574147"/>
                    </a:xfrm>
                    <a:prstGeom prst="rect">
                      <a:avLst/>
                    </a:prstGeom>
                    <a:noFill/>
                    <a:ln>
                      <a:noFill/>
                    </a:ln>
                    <a:extLst>
                      <a:ext uri="{53640926-AAD7-44D8-BBD7-CCE9431645EC}">
                        <a14:shadowObscured xmlns:a14="http://schemas.microsoft.com/office/drawing/2010/main"/>
                      </a:ext>
                    </a:extLst>
                  </pic:spPr>
                </pic:pic>
              </a:graphicData>
            </a:graphic>
          </wp:inline>
        </w:drawing>
      </w:r>
    </w:p>
    <w:p w14:paraId="749C8232" w14:textId="1E147EFC" w:rsidR="00264BBA" w:rsidRDefault="00264BBA" w:rsidP="00264BBA">
      <w:pPr>
        <w:pStyle w:val="Heading6"/>
      </w:pPr>
      <w:r>
        <w:lastRenderedPageBreak/>
        <w:t>Complete remission plus c</w:t>
      </w:r>
      <w:r w:rsidRPr="00B74FCB">
        <w:t>omplete remission with incomplete blood count recovery</w:t>
      </w:r>
    </w:p>
    <w:p w14:paraId="7E6F3F35" w14:textId="1726D06C" w:rsidR="00ED3312" w:rsidRDefault="00ED3312" w:rsidP="00ED3312">
      <w:r w:rsidRPr="00ED3312">
        <w:t xml:space="preserve">The complete remission </w:t>
      </w:r>
      <w:r w:rsidR="00264BBA">
        <w:t>(CR) plus</w:t>
      </w:r>
      <w:r w:rsidRPr="00ED3312">
        <w:t xml:space="preserve"> complete remission with incomplete blood recovery </w:t>
      </w:r>
      <w:r w:rsidR="00264BBA">
        <w:t xml:space="preserve">(CRi), or the </w:t>
      </w:r>
      <w:r w:rsidRPr="00ED3312">
        <w:t>composite complete remission</w:t>
      </w:r>
      <w:r w:rsidR="00264BBA">
        <w:t xml:space="preserve"> (CR plus CRi</w:t>
      </w:r>
      <w:r w:rsidRPr="00ED3312">
        <w:t>) was a co-primary endpoint in the EU and Japan. The results are tabulated below.</w:t>
      </w:r>
    </w:p>
    <w:p w14:paraId="228A3A6D" w14:textId="0B4F0F8E" w:rsidR="00ED3312" w:rsidRDefault="00ED3312" w:rsidP="00ED3312">
      <w:pPr>
        <w:pStyle w:val="TableTitle"/>
      </w:pPr>
      <w:r w:rsidRPr="00ED3312">
        <w:t xml:space="preserve">Table </w:t>
      </w:r>
      <w:fldSimple w:instr=" SEQ Table \* ARABIC ">
        <w:r w:rsidR="007E2134">
          <w:rPr>
            <w:noProof/>
          </w:rPr>
          <w:t>8</w:t>
        </w:r>
      </w:fldSimple>
      <w:r>
        <w:t>: VIALE-A trial Composite complete remission</w:t>
      </w:r>
    </w:p>
    <w:p w14:paraId="64796135" w14:textId="365F2F8D" w:rsidR="00ED3312" w:rsidRDefault="00ED3312" w:rsidP="00ED3312">
      <w:r w:rsidRPr="003F7A78">
        <w:rPr>
          <w:rFonts w:asciiTheme="minorHAnsi" w:eastAsia="TimesNewRoman" w:hAnsiTheme="minorHAnsi" w:cs="TimesNewRoman"/>
          <w:noProof/>
          <w:lang w:val="en-GB" w:eastAsia="en-GB"/>
        </w:rPr>
        <w:drawing>
          <wp:inline distT="0" distB="0" distL="0" distR="0" wp14:anchorId="57FD8FEA" wp14:editId="4B07E5CF">
            <wp:extent cx="4961614" cy="72322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lum bright="-20000" contrast="40000"/>
                      <a:extLst>
                        <a:ext uri="{28A0092B-C50C-407E-A947-70E740481C1C}">
                          <a14:useLocalDpi xmlns:a14="http://schemas.microsoft.com/office/drawing/2010/main" val="0"/>
                        </a:ext>
                      </a:extLst>
                    </a:blip>
                    <a:srcRect r="1793" b="64678"/>
                    <a:stretch/>
                  </pic:blipFill>
                  <pic:spPr bwMode="auto">
                    <a:xfrm>
                      <a:off x="0" y="0"/>
                      <a:ext cx="4963945" cy="723568"/>
                    </a:xfrm>
                    <a:prstGeom prst="rect">
                      <a:avLst/>
                    </a:prstGeom>
                    <a:noFill/>
                    <a:ln>
                      <a:noFill/>
                    </a:ln>
                    <a:extLst>
                      <a:ext uri="{53640926-AAD7-44D8-BBD7-CCE9431645EC}">
                        <a14:shadowObscured xmlns:a14="http://schemas.microsoft.com/office/drawing/2010/main"/>
                      </a:ext>
                    </a:extLst>
                  </pic:spPr>
                </pic:pic>
              </a:graphicData>
            </a:graphic>
          </wp:inline>
        </w:drawing>
      </w:r>
    </w:p>
    <w:p w14:paraId="7CAFF52F" w14:textId="3B11A787" w:rsidR="00ED3312" w:rsidRDefault="00ED3312" w:rsidP="00ED3312">
      <w:pPr>
        <w:pStyle w:val="TableDescription"/>
      </w:pPr>
      <w:r>
        <w:t xml:space="preserve">AZA = </w:t>
      </w:r>
      <w:proofErr w:type="spellStart"/>
      <w:r>
        <w:t>azac</w:t>
      </w:r>
      <w:r w:rsidR="00F97336">
        <w:t>i</w:t>
      </w:r>
      <w:r>
        <w:t>tidine</w:t>
      </w:r>
      <w:proofErr w:type="spellEnd"/>
      <w:r>
        <w:t xml:space="preserve">; CI = confidence interval; CR + CRi = composite complete remission; IA1 = interim analysis 1; IVRS = interactive voice response system; N = sample size; n = number of </w:t>
      </w:r>
      <w:proofErr w:type="gramStart"/>
      <w:r>
        <w:t>subject</w:t>
      </w:r>
      <w:proofErr w:type="gramEnd"/>
      <w:r>
        <w:t xml:space="preserve">; </w:t>
      </w:r>
      <w:proofErr w:type="spellStart"/>
      <w:r>
        <w:t>Pbo</w:t>
      </w:r>
      <w:proofErr w:type="spellEnd"/>
      <w:r>
        <w:t xml:space="preserve"> = placebo; VEN = </w:t>
      </w:r>
      <w:proofErr w:type="spellStart"/>
      <w:r>
        <w:t>venetoclax</w:t>
      </w:r>
      <w:proofErr w:type="spellEnd"/>
    </w:p>
    <w:p w14:paraId="40EF7C77" w14:textId="4B3C78EB" w:rsidR="00ED3312" w:rsidRDefault="00F87BDF" w:rsidP="00ED3312">
      <w:pPr>
        <w:pStyle w:val="TableDescription"/>
      </w:pPr>
      <w:r>
        <w:t>a</w:t>
      </w:r>
      <w:r w:rsidR="00ED3312">
        <w:t xml:space="preserve"> P-value is from Cochran-Mantel Haenszel test stratified by age (18 to &lt; 75, ≥ 75) and cytogenetics (intermediate risk, poor risk) from IVRS.</w:t>
      </w:r>
    </w:p>
    <w:p w14:paraId="2A87FE43" w14:textId="5DBBA76F" w:rsidR="00ED3312" w:rsidRDefault="00F87BDF" w:rsidP="00ED3312">
      <w:pPr>
        <w:pStyle w:val="TableDescription"/>
      </w:pPr>
      <w:r>
        <w:t>b</w:t>
      </w:r>
      <w:r w:rsidR="00ED3312">
        <w:t xml:space="preserve"> </w:t>
      </w:r>
      <w:r>
        <w:t>95% confidence interval is from the exact binomial distribution.</w:t>
      </w:r>
    </w:p>
    <w:p w14:paraId="0313327B" w14:textId="36AE7032" w:rsidR="00F87BDF" w:rsidRDefault="00F87BDF" w:rsidP="00ED3312">
      <w:pPr>
        <w:pStyle w:val="TableDescription"/>
      </w:pPr>
      <w:r>
        <w:t>Notes: ***, **, * at p = 0.001, 0.01, 0.05 levels, respectively</w:t>
      </w:r>
    </w:p>
    <w:p w14:paraId="5D1305E7" w14:textId="4A963E07" w:rsidR="00F87BDF" w:rsidRDefault="00F87BDF" w:rsidP="00ED3312">
      <w:pPr>
        <w:pStyle w:val="TableDescription"/>
      </w:pPr>
      <w:r>
        <w:t xml:space="preserve">Data included are subject to a </w:t>
      </w:r>
      <w:proofErr w:type="spellStart"/>
      <w:r>
        <w:t>cutoff</w:t>
      </w:r>
      <w:proofErr w:type="spellEnd"/>
      <w:r>
        <w:t xml:space="preserve"> date of 1 October 2018</w:t>
      </w:r>
    </w:p>
    <w:p w14:paraId="3275E7E6" w14:textId="48CA1593" w:rsidR="00F87BDF" w:rsidRDefault="00F87BDF" w:rsidP="00F87BDF">
      <w:r>
        <w:t xml:space="preserve">An analysis of CR </w:t>
      </w:r>
      <w:r w:rsidR="00F73C61">
        <w:t>plus</w:t>
      </w:r>
      <w:r>
        <w:t xml:space="preserve"> CRi (</w:t>
      </w:r>
      <w:r w:rsidR="00F73C61">
        <w:t>investigator assessed</w:t>
      </w:r>
      <w:r>
        <w:t xml:space="preserve">, including Group 2 added after protocol amendment 1)(N = 431) showed </w:t>
      </w:r>
      <w:proofErr w:type="spellStart"/>
      <w:r w:rsidR="00C20E0F">
        <w:t>venetoclax</w:t>
      </w:r>
      <w:proofErr w:type="spellEnd"/>
      <w:r w:rsidR="00F97336">
        <w:t xml:space="preserve"> in combination with </w:t>
      </w:r>
      <w:proofErr w:type="spellStart"/>
      <w:r w:rsidR="00F97336">
        <w:t>azacitidine</w:t>
      </w:r>
      <w:proofErr w:type="spellEnd"/>
      <w:r w:rsidR="00F97336">
        <w:t xml:space="preserve">, </w:t>
      </w:r>
      <w:r>
        <w:t>66.4% (CR of 36.7% and CRi of 29.7%) v</w:t>
      </w:r>
      <w:r w:rsidR="00F97336">
        <w:t>ersus</w:t>
      </w:r>
      <w:r>
        <w:t xml:space="preserve"> the </w:t>
      </w:r>
      <w:r w:rsidR="00F97336">
        <w:t xml:space="preserve">placebo in combination with </w:t>
      </w:r>
      <w:proofErr w:type="spellStart"/>
      <w:r w:rsidR="00F97336">
        <w:t>azacitidine</w:t>
      </w:r>
      <w:proofErr w:type="spellEnd"/>
      <w:r w:rsidR="00F97336">
        <w:t xml:space="preserve">, </w:t>
      </w:r>
      <w:r>
        <w:t>28.3% (CR of 17.9% and CRi of 10.3%) (p</w:t>
      </w:r>
      <w:r w:rsidR="00F97336">
        <w:t xml:space="preserve"> </w:t>
      </w:r>
      <w:r>
        <w:t>value &lt; 0.001).</w:t>
      </w:r>
    </w:p>
    <w:p w14:paraId="0BAA79A1" w14:textId="7B4F237D" w:rsidR="00264BBA" w:rsidRDefault="00264BBA" w:rsidP="00264BBA">
      <w:pPr>
        <w:pStyle w:val="Heading6"/>
      </w:pPr>
      <w:r>
        <w:t>Secondary endpoints</w:t>
      </w:r>
    </w:p>
    <w:p w14:paraId="00D67C7F" w14:textId="7E7181EB" w:rsidR="00F87BDF" w:rsidRDefault="00F87BDF" w:rsidP="00F87BDF">
      <w:r>
        <w:t>A summary of secondary endpoints is included below</w:t>
      </w:r>
      <w:r w:rsidR="000E6442">
        <w:t xml:space="preserve"> (</w:t>
      </w:r>
      <w:r w:rsidR="000E6442">
        <w:fldChar w:fldCharType="begin"/>
      </w:r>
      <w:r w:rsidR="000E6442">
        <w:instrText xml:space="preserve"> REF _Ref98398659 \h </w:instrText>
      </w:r>
      <w:r w:rsidR="000E6442">
        <w:fldChar w:fldCharType="separate"/>
      </w:r>
      <w:r w:rsidR="00211D51" w:rsidRPr="00F97336">
        <w:t xml:space="preserve">Table </w:t>
      </w:r>
      <w:r w:rsidR="00211D51">
        <w:rPr>
          <w:noProof/>
        </w:rPr>
        <w:t>9</w:t>
      </w:r>
      <w:r w:rsidR="000E6442">
        <w:fldChar w:fldCharType="end"/>
      </w:r>
      <w:r w:rsidR="000E6442">
        <w:t>)</w:t>
      </w:r>
    </w:p>
    <w:p w14:paraId="1B41FAB2" w14:textId="1769A9D2" w:rsidR="00F97336" w:rsidRDefault="00F97336" w:rsidP="002A4E04">
      <w:pPr>
        <w:pStyle w:val="TableTitle"/>
      </w:pPr>
      <w:bookmarkStart w:id="53" w:name="_Ref98398659"/>
      <w:r w:rsidRPr="00F97336">
        <w:t xml:space="preserve">Table </w:t>
      </w:r>
      <w:fldSimple w:instr=" SEQ Table \* ARABIC ">
        <w:r w:rsidR="007E2134">
          <w:rPr>
            <w:noProof/>
          </w:rPr>
          <w:t>9</w:t>
        </w:r>
      </w:fldSimple>
      <w:bookmarkEnd w:id="53"/>
      <w:r>
        <w:t>: VIALE-A trial Secondary efficacy endpoints</w:t>
      </w:r>
    </w:p>
    <w:tbl>
      <w:tblPr>
        <w:tblStyle w:val="TableTGAblue"/>
        <w:tblW w:w="5000" w:type="pct"/>
        <w:tblLook w:val="04A0" w:firstRow="1" w:lastRow="0" w:firstColumn="1" w:lastColumn="0" w:noHBand="0" w:noVBand="1"/>
      </w:tblPr>
      <w:tblGrid>
        <w:gridCol w:w="4036"/>
        <w:gridCol w:w="2257"/>
        <w:gridCol w:w="2191"/>
      </w:tblGrid>
      <w:tr w:rsidR="00F97336" w14:paraId="5D8591EF" w14:textId="77777777" w:rsidTr="00F73C61">
        <w:trPr>
          <w:cnfStyle w:val="100000000000" w:firstRow="1" w:lastRow="0" w:firstColumn="0" w:lastColumn="0" w:oddVBand="0" w:evenVBand="0" w:oddHBand="0" w:evenHBand="0" w:firstRowFirstColumn="0" w:firstRowLastColumn="0" w:lastRowFirstColumn="0" w:lastRowLastColumn="0"/>
          <w:trHeight w:val="489"/>
        </w:trPr>
        <w:tc>
          <w:tcPr>
            <w:tcW w:w="2379" w:type="pct"/>
          </w:tcPr>
          <w:p w14:paraId="3ED6857B" w14:textId="77777777" w:rsidR="00F97336" w:rsidRPr="000E6442" w:rsidRDefault="00F97336" w:rsidP="00F13010">
            <w:pPr>
              <w:pStyle w:val="TableParagraph"/>
              <w:kinsoku w:val="0"/>
              <w:overflowPunct w:val="0"/>
              <w:spacing w:line="223" w:lineRule="exact"/>
              <w:ind w:left="0"/>
              <w:jc w:val="center"/>
              <w:rPr>
                <w:rFonts w:asciiTheme="minorHAnsi" w:hAnsiTheme="minorHAnsi"/>
                <w:sz w:val="20"/>
                <w:szCs w:val="20"/>
              </w:rPr>
            </w:pPr>
            <w:r w:rsidRPr="000E6442">
              <w:rPr>
                <w:rFonts w:asciiTheme="minorHAnsi" w:hAnsiTheme="minorHAnsi"/>
                <w:sz w:val="20"/>
                <w:szCs w:val="20"/>
              </w:rPr>
              <w:t>Parameter</w:t>
            </w:r>
          </w:p>
        </w:tc>
        <w:tc>
          <w:tcPr>
            <w:tcW w:w="1330" w:type="pct"/>
            <w:hideMark/>
          </w:tcPr>
          <w:p w14:paraId="1374A400" w14:textId="4281FB0A" w:rsidR="00F73C61" w:rsidRDefault="00F73C61" w:rsidP="00F13010">
            <w:pPr>
              <w:pStyle w:val="TableParagraph"/>
              <w:kinsoku w:val="0"/>
              <w:overflowPunct w:val="0"/>
              <w:spacing w:line="240" w:lineRule="exact"/>
              <w:ind w:left="0" w:right="716"/>
              <w:jc w:val="center"/>
              <w:rPr>
                <w:rFonts w:asciiTheme="minorHAnsi" w:hAnsiTheme="minorHAnsi"/>
                <w:b w:val="0"/>
                <w:sz w:val="20"/>
                <w:szCs w:val="20"/>
              </w:rPr>
            </w:pPr>
            <w:r w:rsidRPr="00F73C61">
              <w:rPr>
                <w:rFonts w:asciiTheme="minorHAnsi" w:hAnsiTheme="minorHAnsi"/>
                <w:sz w:val="20"/>
                <w:szCs w:val="20"/>
              </w:rPr>
              <w:t xml:space="preserve">Placebo + </w:t>
            </w:r>
            <w:proofErr w:type="spellStart"/>
            <w:r w:rsidRPr="00F73C61">
              <w:rPr>
                <w:rFonts w:asciiTheme="minorHAnsi" w:hAnsiTheme="minorHAnsi"/>
                <w:sz w:val="20"/>
                <w:szCs w:val="20"/>
              </w:rPr>
              <w:t>azacitidine</w:t>
            </w:r>
            <w:proofErr w:type="spellEnd"/>
          </w:p>
          <w:p w14:paraId="46CB89DD" w14:textId="298CA3CC" w:rsidR="00F97336" w:rsidRPr="000E6442" w:rsidRDefault="00F97336" w:rsidP="00F13010">
            <w:pPr>
              <w:pStyle w:val="TableParagraph"/>
              <w:kinsoku w:val="0"/>
              <w:overflowPunct w:val="0"/>
              <w:spacing w:line="240" w:lineRule="exact"/>
              <w:ind w:left="0" w:right="716"/>
              <w:jc w:val="center"/>
              <w:rPr>
                <w:rFonts w:asciiTheme="minorHAnsi" w:hAnsiTheme="minorHAnsi"/>
                <w:sz w:val="20"/>
                <w:szCs w:val="20"/>
              </w:rPr>
            </w:pPr>
            <w:r w:rsidRPr="000E6442">
              <w:rPr>
                <w:rFonts w:asciiTheme="minorHAnsi" w:hAnsiTheme="minorHAnsi"/>
                <w:sz w:val="20"/>
                <w:szCs w:val="20"/>
              </w:rPr>
              <w:t>(N</w:t>
            </w:r>
            <w:r w:rsidRPr="000E6442">
              <w:rPr>
                <w:rFonts w:asciiTheme="minorHAnsi" w:hAnsiTheme="minorHAnsi"/>
                <w:spacing w:val="-1"/>
                <w:sz w:val="20"/>
                <w:szCs w:val="20"/>
              </w:rPr>
              <w:t xml:space="preserve"> </w:t>
            </w:r>
            <w:r w:rsidRPr="000E6442">
              <w:rPr>
                <w:rFonts w:asciiTheme="minorHAnsi" w:hAnsiTheme="minorHAnsi"/>
                <w:sz w:val="20"/>
                <w:szCs w:val="20"/>
              </w:rPr>
              <w:t>=</w:t>
            </w:r>
            <w:r w:rsidRPr="000E6442">
              <w:rPr>
                <w:rFonts w:asciiTheme="minorHAnsi" w:hAnsiTheme="minorHAnsi"/>
                <w:spacing w:val="-3"/>
                <w:sz w:val="20"/>
                <w:szCs w:val="20"/>
              </w:rPr>
              <w:t xml:space="preserve"> </w:t>
            </w:r>
            <w:r w:rsidRPr="000E6442">
              <w:rPr>
                <w:rFonts w:asciiTheme="minorHAnsi" w:hAnsiTheme="minorHAnsi"/>
                <w:sz w:val="20"/>
                <w:szCs w:val="20"/>
              </w:rPr>
              <w:t>145)</w:t>
            </w:r>
          </w:p>
        </w:tc>
        <w:tc>
          <w:tcPr>
            <w:tcW w:w="1291" w:type="pct"/>
            <w:hideMark/>
          </w:tcPr>
          <w:p w14:paraId="0974B662" w14:textId="06208B4C" w:rsidR="00F97336" w:rsidRPr="000E6442" w:rsidRDefault="00F73C61" w:rsidP="00F13010">
            <w:pPr>
              <w:pStyle w:val="TableParagraph"/>
              <w:kinsoku w:val="0"/>
              <w:overflowPunct w:val="0"/>
              <w:spacing w:line="240" w:lineRule="exact"/>
              <w:ind w:left="0" w:right="733"/>
              <w:jc w:val="center"/>
              <w:rPr>
                <w:rFonts w:asciiTheme="minorHAnsi" w:hAnsiTheme="minorHAnsi"/>
                <w:sz w:val="20"/>
                <w:szCs w:val="20"/>
              </w:rPr>
            </w:pPr>
            <w:proofErr w:type="spellStart"/>
            <w:r w:rsidRPr="00F73C61">
              <w:rPr>
                <w:rFonts w:asciiTheme="minorHAnsi" w:hAnsiTheme="minorHAnsi"/>
                <w:sz w:val="20"/>
                <w:szCs w:val="20"/>
              </w:rPr>
              <w:t>Venetoclax</w:t>
            </w:r>
            <w:proofErr w:type="spellEnd"/>
            <w:r>
              <w:rPr>
                <w:rFonts w:asciiTheme="minorHAnsi" w:hAnsiTheme="minorHAnsi"/>
                <w:sz w:val="20"/>
                <w:szCs w:val="20"/>
              </w:rPr>
              <w:t xml:space="preserve"> </w:t>
            </w:r>
            <w:r w:rsidRPr="00F73C61">
              <w:rPr>
                <w:rFonts w:asciiTheme="minorHAnsi" w:hAnsiTheme="minorHAnsi"/>
                <w:sz w:val="20"/>
                <w:szCs w:val="20"/>
              </w:rPr>
              <w:t xml:space="preserve">+ </w:t>
            </w:r>
            <w:proofErr w:type="spellStart"/>
            <w:r w:rsidRPr="00F73C61">
              <w:rPr>
                <w:rFonts w:asciiTheme="minorHAnsi" w:hAnsiTheme="minorHAnsi"/>
                <w:sz w:val="20"/>
                <w:szCs w:val="20"/>
              </w:rPr>
              <w:t>azacitidine</w:t>
            </w:r>
            <w:proofErr w:type="spellEnd"/>
            <w:r w:rsidRPr="00F73C61">
              <w:rPr>
                <w:rFonts w:asciiTheme="minorHAnsi" w:hAnsiTheme="minorHAnsi"/>
                <w:sz w:val="20"/>
                <w:szCs w:val="20"/>
              </w:rPr>
              <w:t xml:space="preserve"> </w:t>
            </w:r>
            <w:r w:rsidR="00F97336" w:rsidRPr="000E6442">
              <w:rPr>
                <w:rFonts w:asciiTheme="minorHAnsi" w:hAnsiTheme="minorHAnsi"/>
                <w:sz w:val="20"/>
                <w:szCs w:val="20"/>
              </w:rPr>
              <w:t>(N</w:t>
            </w:r>
            <w:r w:rsidR="00F97336" w:rsidRPr="000E6442">
              <w:rPr>
                <w:rFonts w:asciiTheme="minorHAnsi" w:hAnsiTheme="minorHAnsi"/>
                <w:spacing w:val="-1"/>
                <w:sz w:val="20"/>
                <w:szCs w:val="20"/>
              </w:rPr>
              <w:t xml:space="preserve"> </w:t>
            </w:r>
            <w:r w:rsidR="00F97336" w:rsidRPr="000E6442">
              <w:rPr>
                <w:rFonts w:asciiTheme="minorHAnsi" w:hAnsiTheme="minorHAnsi"/>
                <w:sz w:val="20"/>
                <w:szCs w:val="20"/>
              </w:rPr>
              <w:t>=</w:t>
            </w:r>
            <w:r w:rsidR="00F97336" w:rsidRPr="000E6442">
              <w:rPr>
                <w:rFonts w:asciiTheme="minorHAnsi" w:hAnsiTheme="minorHAnsi"/>
                <w:spacing w:val="-3"/>
                <w:sz w:val="20"/>
                <w:szCs w:val="20"/>
              </w:rPr>
              <w:t xml:space="preserve"> </w:t>
            </w:r>
            <w:r w:rsidR="00F97336" w:rsidRPr="000E6442">
              <w:rPr>
                <w:rFonts w:asciiTheme="minorHAnsi" w:hAnsiTheme="minorHAnsi"/>
                <w:sz w:val="20"/>
                <w:szCs w:val="20"/>
              </w:rPr>
              <w:t>286)</w:t>
            </w:r>
          </w:p>
        </w:tc>
      </w:tr>
      <w:tr w:rsidR="00EB7AA3" w14:paraId="111F0621" w14:textId="77777777" w:rsidTr="00F73C61">
        <w:trPr>
          <w:trHeight w:val="264"/>
        </w:trPr>
        <w:tc>
          <w:tcPr>
            <w:tcW w:w="5000" w:type="pct"/>
            <w:gridSpan w:val="3"/>
            <w:hideMark/>
          </w:tcPr>
          <w:p w14:paraId="302EDE9D" w14:textId="55AF0589" w:rsidR="00EB7AA3" w:rsidRPr="000E6442" w:rsidRDefault="00EB7AA3" w:rsidP="00EB7AA3">
            <w:pPr>
              <w:pStyle w:val="Tabletext"/>
              <w:rPr>
                <w:rFonts w:ascii="Times New Roman" w:hAnsi="Times New Roman"/>
                <w:b/>
                <w:bCs/>
                <w:sz w:val="18"/>
                <w:szCs w:val="18"/>
              </w:rPr>
            </w:pPr>
            <w:r w:rsidRPr="000E6442">
              <w:rPr>
                <w:b/>
                <w:bCs/>
              </w:rPr>
              <w:t>CR +</w:t>
            </w:r>
            <w:r w:rsidRPr="000E6442">
              <w:rPr>
                <w:b/>
                <w:bCs/>
                <w:spacing w:val="-1"/>
              </w:rPr>
              <w:t xml:space="preserve"> </w:t>
            </w:r>
            <w:proofErr w:type="spellStart"/>
            <w:r w:rsidRPr="000E6442">
              <w:rPr>
                <w:b/>
                <w:bCs/>
              </w:rPr>
              <w:t>CRh</w:t>
            </w:r>
            <w:proofErr w:type="spellEnd"/>
            <w:r w:rsidRPr="000E6442">
              <w:rPr>
                <w:b/>
                <w:bCs/>
              </w:rPr>
              <w:t xml:space="preserve"> Rate and Duration</w:t>
            </w:r>
            <w:r w:rsidRPr="000E6442">
              <w:rPr>
                <w:b/>
                <w:bCs/>
                <w:spacing w:val="1"/>
              </w:rPr>
              <w:t xml:space="preserve"> </w:t>
            </w:r>
            <w:r w:rsidRPr="000E6442">
              <w:rPr>
                <w:b/>
                <w:bCs/>
              </w:rPr>
              <w:t>of</w:t>
            </w:r>
            <w:r w:rsidRPr="000E6442">
              <w:rPr>
                <w:b/>
                <w:bCs/>
                <w:spacing w:val="-2"/>
              </w:rPr>
              <w:t xml:space="preserve"> </w:t>
            </w:r>
            <w:r w:rsidRPr="000E6442">
              <w:rPr>
                <w:b/>
                <w:bCs/>
              </w:rPr>
              <w:t>Response</w:t>
            </w:r>
          </w:p>
        </w:tc>
      </w:tr>
      <w:tr w:rsidR="00F97336" w14:paraId="202781C1" w14:textId="77777777" w:rsidTr="00F73C61">
        <w:trPr>
          <w:trHeight w:val="243"/>
        </w:trPr>
        <w:tc>
          <w:tcPr>
            <w:tcW w:w="2379" w:type="pct"/>
            <w:hideMark/>
          </w:tcPr>
          <w:p w14:paraId="6E3AD256" w14:textId="77777777" w:rsidR="00F97336" w:rsidRDefault="00F97336" w:rsidP="00EB7AA3">
            <w:pPr>
              <w:pStyle w:val="Tabletext"/>
            </w:pPr>
            <w:r>
              <w:t>Responders;</w:t>
            </w:r>
            <w:r>
              <w:rPr>
                <w:spacing w:val="-2"/>
              </w:rPr>
              <w:t xml:space="preserve"> </w:t>
            </w:r>
            <w:r>
              <w:t>n</w:t>
            </w:r>
            <w:r>
              <w:rPr>
                <w:spacing w:val="1"/>
              </w:rPr>
              <w:t xml:space="preserve"> </w:t>
            </w:r>
            <w:r>
              <w:t>(%)</w:t>
            </w:r>
            <w:r>
              <w:rPr>
                <w:spacing w:val="2"/>
              </w:rPr>
              <w:t xml:space="preserve"> </w:t>
            </w:r>
            <w:r>
              <w:t>[95%</w:t>
            </w:r>
            <w:r>
              <w:rPr>
                <w:spacing w:val="-2"/>
              </w:rPr>
              <w:t xml:space="preserve"> </w:t>
            </w:r>
            <w:r>
              <w:t>CI]</w:t>
            </w:r>
          </w:p>
        </w:tc>
        <w:tc>
          <w:tcPr>
            <w:tcW w:w="1330" w:type="pct"/>
            <w:hideMark/>
          </w:tcPr>
          <w:p w14:paraId="61A42FD7" w14:textId="77777777" w:rsidR="00F97336" w:rsidRDefault="00F97336" w:rsidP="00EB7AA3">
            <w:pPr>
              <w:pStyle w:val="Tabletext"/>
            </w:pPr>
            <w:r>
              <w:t>33</w:t>
            </w:r>
            <w:r>
              <w:rPr>
                <w:spacing w:val="-1"/>
              </w:rPr>
              <w:t xml:space="preserve"> </w:t>
            </w:r>
            <w:r>
              <w:t>(22.8)</w:t>
            </w:r>
            <w:r>
              <w:rPr>
                <w:spacing w:val="-2"/>
              </w:rPr>
              <w:t xml:space="preserve"> </w:t>
            </w:r>
            <w:r>
              <w:t>[16.2,</w:t>
            </w:r>
            <w:r>
              <w:rPr>
                <w:spacing w:val="1"/>
              </w:rPr>
              <w:t xml:space="preserve"> </w:t>
            </w:r>
            <w:r>
              <w:t>30.5]</w:t>
            </w:r>
          </w:p>
        </w:tc>
        <w:tc>
          <w:tcPr>
            <w:tcW w:w="1291" w:type="pct"/>
            <w:hideMark/>
          </w:tcPr>
          <w:p w14:paraId="72CC3C05" w14:textId="77777777" w:rsidR="00F97336" w:rsidRDefault="00F97336" w:rsidP="00EB7AA3">
            <w:pPr>
              <w:pStyle w:val="Tabletext"/>
            </w:pPr>
            <w:r>
              <w:t>185</w:t>
            </w:r>
            <w:r>
              <w:rPr>
                <w:spacing w:val="-1"/>
              </w:rPr>
              <w:t xml:space="preserve"> </w:t>
            </w:r>
            <w:r>
              <w:t>(64.7)</w:t>
            </w:r>
            <w:r>
              <w:rPr>
                <w:spacing w:val="-1"/>
              </w:rPr>
              <w:t xml:space="preserve"> </w:t>
            </w:r>
            <w:r>
              <w:t>[58.8, 70.2]</w:t>
            </w:r>
          </w:p>
        </w:tc>
      </w:tr>
      <w:tr w:rsidR="00F97336" w14:paraId="192BC7B4" w14:textId="77777777" w:rsidTr="00F73C61">
        <w:trPr>
          <w:trHeight w:val="243"/>
        </w:trPr>
        <w:tc>
          <w:tcPr>
            <w:tcW w:w="2379" w:type="pct"/>
            <w:hideMark/>
          </w:tcPr>
          <w:p w14:paraId="26A99F5C" w14:textId="77777777" w:rsidR="00F97336" w:rsidRDefault="00F97336" w:rsidP="00EB7AA3">
            <w:pPr>
              <w:pStyle w:val="Tabletext"/>
            </w:pPr>
            <w:r>
              <w:t>p-value</w:t>
            </w:r>
            <w:r>
              <w:rPr>
                <w:spacing w:val="-2"/>
              </w:rPr>
              <w:t xml:space="preserve"> </w:t>
            </w:r>
            <w:r>
              <w:t>(CMH</w:t>
            </w:r>
            <w:r>
              <w:rPr>
                <w:spacing w:val="1"/>
              </w:rPr>
              <w:t xml:space="preserve"> </w:t>
            </w:r>
            <w:r>
              <w:t>test)</w:t>
            </w:r>
          </w:p>
        </w:tc>
        <w:tc>
          <w:tcPr>
            <w:tcW w:w="2621" w:type="pct"/>
            <w:gridSpan w:val="2"/>
            <w:hideMark/>
          </w:tcPr>
          <w:p w14:paraId="54534285" w14:textId="77777777" w:rsidR="00F97336" w:rsidRDefault="00F97336" w:rsidP="00EB7AA3">
            <w:pPr>
              <w:pStyle w:val="Tabletext"/>
            </w:pPr>
            <w:r>
              <w:t>p &lt;</w:t>
            </w:r>
            <w:r>
              <w:rPr>
                <w:spacing w:val="-1"/>
              </w:rPr>
              <w:t xml:space="preserve"> </w:t>
            </w:r>
            <w:r>
              <w:t>0.001</w:t>
            </w:r>
          </w:p>
        </w:tc>
      </w:tr>
      <w:tr w:rsidR="00F97336" w14:paraId="4BAA2ACF" w14:textId="77777777" w:rsidTr="00F73C61">
        <w:trPr>
          <w:trHeight w:val="449"/>
        </w:trPr>
        <w:tc>
          <w:tcPr>
            <w:tcW w:w="2379" w:type="pct"/>
            <w:hideMark/>
          </w:tcPr>
          <w:p w14:paraId="3F9900A2" w14:textId="77777777" w:rsidR="00F97336" w:rsidRDefault="00F97336" w:rsidP="00EB7AA3">
            <w:pPr>
              <w:pStyle w:val="Tabletext"/>
            </w:pPr>
            <w:r>
              <w:t>Duration</w:t>
            </w:r>
            <w:r>
              <w:rPr>
                <w:spacing w:val="-2"/>
              </w:rPr>
              <w:t xml:space="preserve"> </w:t>
            </w:r>
            <w:r>
              <w:t>of</w:t>
            </w:r>
            <w:r>
              <w:rPr>
                <w:spacing w:val="-3"/>
              </w:rPr>
              <w:t xml:space="preserve"> </w:t>
            </w:r>
            <w:r>
              <w:t>Response</w:t>
            </w:r>
            <w:r>
              <w:rPr>
                <w:spacing w:val="-3"/>
              </w:rPr>
              <w:t xml:space="preserve"> </w:t>
            </w:r>
            <w:r>
              <w:t>(months);</w:t>
            </w:r>
            <w:r>
              <w:rPr>
                <w:spacing w:val="-3"/>
              </w:rPr>
              <w:t xml:space="preserve"> </w:t>
            </w:r>
            <w:r>
              <w:t>median</w:t>
            </w:r>
            <w:r>
              <w:rPr>
                <w:spacing w:val="-1"/>
              </w:rPr>
              <w:t xml:space="preserve"> </w:t>
            </w:r>
            <w:r>
              <w:t>(95%</w:t>
            </w:r>
            <w:r>
              <w:rPr>
                <w:spacing w:val="-3"/>
              </w:rPr>
              <w:t xml:space="preserve"> </w:t>
            </w:r>
            <w:r>
              <w:t>CI)</w:t>
            </w:r>
          </w:p>
        </w:tc>
        <w:tc>
          <w:tcPr>
            <w:tcW w:w="1330" w:type="pct"/>
            <w:hideMark/>
          </w:tcPr>
          <w:p w14:paraId="6BBA2230" w14:textId="77777777" w:rsidR="00F97336" w:rsidRDefault="00F97336" w:rsidP="00EB7AA3">
            <w:pPr>
              <w:pStyle w:val="Tabletext"/>
            </w:pPr>
            <w:r>
              <w:t>13.9</w:t>
            </w:r>
            <w:r>
              <w:rPr>
                <w:spacing w:val="-1"/>
              </w:rPr>
              <w:t xml:space="preserve"> </w:t>
            </w:r>
            <w:r>
              <w:t>(10.4, 15.7)</w:t>
            </w:r>
          </w:p>
        </w:tc>
        <w:tc>
          <w:tcPr>
            <w:tcW w:w="1291" w:type="pct"/>
            <w:hideMark/>
          </w:tcPr>
          <w:p w14:paraId="5EBE7562" w14:textId="77777777" w:rsidR="00F97336" w:rsidRDefault="00F97336" w:rsidP="00EB7AA3">
            <w:pPr>
              <w:pStyle w:val="Tabletext"/>
            </w:pPr>
            <w:r>
              <w:t>17.8</w:t>
            </w:r>
            <w:r>
              <w:rPr>
                <w:spacing w:val="-1"/>
              </w:rPr>
              <w:t xml:space="preserve"> </w:t>
            </w:r>
            <w:r>
              <w:t>(15.3,</w:t>
            </w:r>
            <w:r>
              <w:rPr>
                <w:spacing w:val="1"/>
              </w:rPr>
              <w:t xml:space="preserve"> </w:t>
            </w:r>
            <w:r>
              <w:t>NR)</w:t>
            </w:r>
          </w:p>
        </w:tc>
      </w:tr>
      <w:tr w:rsidR="00EB7AA3" w14:paraId="1E65BB5C" w14:textId="77777777" w:rsidTr="00F73C61">
        <w:trPr>
          <w:trHeight w:val="264"/>
        </w:trPr>
        <w:tc>
          <w:tcPr>
            <w:tcW w:w="5000" w:type="pct"/>
            <w:gridSpan w:val="3"/>
            <w:hideMark/>
          </w:tcPr>
          <w:p w14:paraId="20920F68" w14:textId="06FF0F8D" w:rsidR="00EB7AA3" w:rsidRPr="000E6442" w:rsidRDefault="00EB7AA3" w:rsidP="00EB7AA3">
            <w:pPr>
              <w:pStyle w:val="Tabletext"/>
              <w:rPr>
                <w:rFonts w:ascii="Times New Roman" w:hAnsi="Times New Roman"/>
                <w:b/>
                <w:bCs/>
                <w:sz w:val="18"/>
                <w:szCs w:val="18"/>
              </w:rPr>
            </w:pPr>
            <w:r w:rsidRPr="000E6442">
              <w:rPr>
                <w:b/>
                <w:bCs/>
              </w:rPr>
              <w:t>CR +</w:t>
            </w:r>
            <w:r w:rsidRPr="000E6442">
              <w:rPr>
                <w:b/>
                <w:bCs/>
                <w:spacing w:val="-2"/>
              </w:rPr>
              <w:t xml:space="preserve"> </w:t>
            </w:r>
            <w:proofErr w:type="spellStart"/>
            <w:r w:rsidRPr="000E6442">
              <w:rPr>
                <w:b/>
                <w:bCs/>
              </w:rPr>
              <w:t>CRh</w:t>
            </w:r>
            <w:proofErr w:type="spellEnd"/>
            <w:r w:rsidRPr="000E6442">
              <w:rPr>
                <w:b/>
                <w:bCs/>
                <w:spacing w:val="1"/>
              </w:rPr>
              <w:t xml:space="preserve"> </w:t>
            </w:r>
            <w:r w:rsidRPr="000E6442">
              <w:rPr>
                <w:b/>
                <w:bCs/>
              </w:rPr>
              <w:t>Rate by</w:t>
            </w:r>
            <w:r w:rsidRPr="000E6442">
              <w:rPr>
                <w:b/>
                <w:bCs/>
                <w:spacing w:val="-1"/>
              </w:rPr>
              <w:t xml:space="preserve"> </w:t>
            </w:r>
            <w:r w:rsidRPr="000E6442">
              <w:rPr>
                <w:b/>
                <w:bCs/>
              </w:rPr>
              <w:t>the</w:t>
            </w:r>
            <w:r w:rsidRPr="000E6442">
              <w:rPr>
                <w:b/>
                <w:bCs/>
                <w:spacing w:val="-1"/>
              </w:rPr>
              <w:t xml:space="preserve"> </w:t>
            </w:r>
            <w:r w:rsidRPr="000E6442">
              <w:rPr>
                <w:b/>
                <w:bCs/>
              </w:rPr>
              <w:t>Initiation</w:t>
            </w:r>
            <w:r w:rsidRPr="000E6442">
              <w:rPr>
                <w:b/>
                <w:bCs/>
                <w:spacing w:val="1"/>
              </w:rPr>
              <w:t xml:space="preserve"> </w:t>
            </w:r>
            <w:r w:rsidRPr="000E6442">
              <w:rPr>
                <w:b/>
                <w:bCs/>
              </w:rPr>
              <w:t>of</w:t>
            </w:r>
            <w:r w:rsidRPr="000E6442">
              <w:rPr>
                <w:b/>
                <w:bCs/>
                <w:spacing w:val="-2"/>
              </w:rPr>
              <w:t xml:space="preserve"> </w:t>
            </w:r>
            <w:r w:rsidRPr="000E6442">
              <w:rPr>
                <w:b/>
                <w:bCs/>
              </w:rPr>
              <w:t>Cycle 2</w:t>
            </w:r>
          </w:p>
        </w:tc>
      </w:tr>
      <w:tr w:rsidR="00F97336" w14:paraId="69D77627" w14:textId="77777777" w:rsidTr="00F73C61">
        <w:trPr>
          <w:trHeight w:val="244"/>
        </w:trPr>
        <w:tc>
          <w:tcPr>
            <w:tcW w:w="2379" w:type="pct"/>
            <w:hideMark/>
          </w:tcPr>
          <w:p w14:paraId="3FD18333" w14:textId="77777777" w:rsidR="00F97336" w:rsidRDefault="00F97336" w:rsidP="00EB7AA3">
            <w:pPr>
              <w:pStyle w:val="Tabletext"/>
            </w:pPr>
            <w:r>
              <w:t>Responders;</w:t>
            </w:r>
            <w:r>
              <w:rPr>
                <w:spacing w:val="-2"/>
              </w:rPr>
              <w:t xml:space="preserve"> </w:t>
            </w:r>
            <w:r>
              <w:t>n</w:t>
            </w:r>
            <w:r>
              <w:rPr>
                <w:spacing w:val="1"/>
              </w:rPr>
              <w:t xml:space="preserve"> </w:t>
            </w:r>
            <w:r>
              <w:t>(%)</w:t>
            </w:r>
            <w:r>
              <w:rPr>
                <w:spacing w:val="2"/>
              </w:rPr>
              <w:t xml:space="preserve"> </w:t>
            </w:r>
            <w:r>
              <w:t>[95%</w:t>
            </w:r>
            <w:r>
              <w:rPr>
                <w:spacing w:val="-2"/>
              </w:rPr>
              <w:t xml:space="preserve"> </w:t>
            </w:r>
            <w:r>
              <w:t>CI]</w:t>
            </w:r>
          </w:p>
        </w:tc>
        <w:tc>
          <w:tcPr>
            <w:tcW w:w="1330" w:type="pct"/>
            <w:hideMark/>
          </w:tcPr>
          <w:p w14:paraId="63A32001" w14:textId="77777777" w:rsidR="00F97336" w:rsidRDefault="00F97336" w:rsidP="00EB7AA3">
            <w:pPr>
              <w:pStyle w:val="Tabletext"/>
            </w:pPr>
            <w:r>
              <w:t>8</w:t>
            </w:r>
            <w:r>
              <w:rPr>
                <w:spacing w:val="-1"/>
              </w:rPr>
              <w:t xml:space="preserve"> </w:t>
            </w:r>
            <w:r>
              <w:t>(5.5)</w:t>
            </w:r>
            <w:r>
              <w:rPr>
                <w:spacing w:val="1"/>
              </w:rPr>
              <w:t xml:space="preserve"> </w:t>
            </w:r>
            <w:r>
              <w:t>[2.4,</w:t>
            </w:r>
            <w:r>
              <w:rPr>
                <w:spacing w:val="1"/>
              </w:rPr>
              <w:t xml:space="preserve"> </w:t>
            </w:r>
            <w:r>
              <w:t>10.6]</w:t>
            </w:r>
          </w:p>
        </w:tc>
        <w:tc>
          <w:tcPr>
            <w:tcW w:w="1291" w:type="pct"/>
            <w:hideMark/>
          </w:tcPr>
          <w:p w14:paraId="040FB676" w14:textId="77777777" w:rsidR="00F97336" w:rsidRDefault="00F97336" w:rsidP="00EB7AA3">
            <w:pPr>
              <w:pStyle w:val="Tabletext"/>
            </w:pPr>
            <w:r>
              <w:t>114</w:t>
            </w:r>
            <w:r>
              <w:rPr>
                <w:spacing w:val="-1"/>
              </w:rPr>
              <w:t xml:space="preserve"> </w:t>
            </w:r>
            <w:r>
              <w:t>(39.9)</w:t>
            </w:r>
            <w:r>
              <w:rPr>
                <w:spacing w:val="-1"/>
              </w:rPr>
              <w:t xml:space="preserve"> </w:t>
            </w:r>
            <w:r>
              <w:t>[34.1, 45.8]</w:t>
            </w:r>
          </w:p>
        </w:tc>
      </w:tr>
      <w:tr w:rsidR="00F97336" w14:paraId="6BA4E1BE" w14:textId="77777777" w:rsidTr="00F73C61">
        <w:trPr>
          <w:trHeight w:val="224"/>
        </w:trPr>
        <w:tc>
          <w:tcPr>
            <w:tcW w:w="2379" w:type="pct"/>
            <w:hideMark/>
          </w:tcPr>
          <w:p w14:paraId="09DC933C" w14:textId="77777777" w:rsidR="00F97336" w:rsidRDefault="00F97336" w:rsidP="00EB7AA3">
            <w:pPr>
              <w:pStyle w:val="Tabletext"/>
            </w:pPr>
            <w:r>
              <w:t>p-value</w:t>
            </w:r>
            <w:r>
              <w:rPr>
                <w:spacing w:val="-2"/>
              </w:rPr>
              <w:t xml:space="preserve"> </w:t>
            </w:r>
            <w:r>
              <w:t>(CMH</w:t>
            </w:r>
            <w:r>
              <w:rPr>
                <w:spacing w:val="1"/>
              </w:rPr>
              <w:t xml:space="preserve"> </w:t>
            </w:r>
            <w:r>
              <w:t>test)</w:t>
            </w:r>
          </w:p>
        </w:tc>
        <w:tc>
          <w:tcPr>
            <w:tcW w:w="2621" w:type="pct"/>
            <w:gridSpan w:val="2"/>
            <w:hideMark/>
          </w:tcPr>
          <w:p w14:paraId="6E0908D6" w14:textId="77777777" w:rsidR="00F97336" w:rsidRDefault="00F97336" w:rsidP="00EB7AA3">
            <w:pPr>
              <w:pStyle w:val="Tabletext"/>
            </w:pPr>
            <w:r>
              <w:t>p &lt;</w:t>
            </w:r>
            <w:r>
              <w:rPr>
                <w:spacing w:val="-1"/>
              </w:rPr>
              <w:t xml:space="preserve"> </w:t>
            </w:r>
            <w:r>
              <w:t>0.001</w:t>
            </w:r>
          </w:p>
        </w:tc>
      </w:tr>
      <w:tr w:rsidR="00EB7AA3" w14:paraId="5B2B68F9" w14:textId="77777777" w:rsidTr="00F73C61">
        <w:trPr>
          <w:trHeight w:val="261"/>
        </w:trPr>
        <w:tc>
          <w:tcPr>
            <w:tcW w:w="5000" w:type="pct"/>
            <w:gridSpan w:val="3"/>
            <w:hideMark/>
          </w:tcPr>
          <w:p w14:paraId="04DADBB5" w14:textId="0E5EBEDB" w:rsidR="00EB7AA3" w:rsidRPr="00F73C61" w:rsidRDefault="00EB7AA3" w:rsidP="00EB7AA3">
            <w:pPr>
              <w:pStyle w:val="Tabletext"/>
              <w:rPr>
                <w:rFonts w:ascii="Times New Roman" w:hAnsi="Times New Roman"/>
                <w:b/>
                <w:bCs/>
                <w:sz w:val="18"/>
                <w:szCs w:val="18"/>
              </w:rPr>
            </w:pPr>
            <w:r w:rsidRPr="00F73C61">
              <w:rPr>
                <w:b/>
                <w:bCs/>
              </w:rPr>
              <w:t>Postbaseline</w:t>
            </w:r>
            <w:r w:rsidRPr="00F73C61">
              <w:rPr>
                <w:b/>
                <w:bCs/>
                <w:spacing w:val="-1"/>
              </w:rPr>
              <w:t xml:space="preserve"> </w:t>
            </w:r>
            <w:r w:rsidRPr="00F73C61">
              <w:rPr>
                <w:b/>
                <w:bCs/>
              </w:rPr>
              <w:t>RBC</w:t>
            </w:r>
            <w:r w:rsidRPr="00F73C61">
              <w:rPr>
                <w:b/>
                <w:bCs/>
                <w:spacing w:val="-1"/>
              </w:rPr>
              <w:t xml:space="preserve"> </w:t>
            </w:r>
            <w:r w:rsidRPr="00F73C61">
              <w:rPr>
                <w:b/>
                <w:bCs/>
              </w:rPr>
              <w:t>Transfusion</w:t>
            </w:r>
            <w:r w:rsidRPr="00F73C61">
              <w:rPr>
                <w:b/>
                <w:bCs/>
                <w:spacing w:val="2"/>
              </w:rPr>
              <w:t xml:space="preserve"> </w:t>
            </w:r>
            <w:r w:rsidRPr="00F73C61">
              <w:rPr>
                <w:b/>
                <w:bCs/>
              </w:rPr>
              <w:t>Independence</w:t>
            </w:r>
          </w:p>
        </w:tc>
      </w:tr>
      <w:tr w:rsidR="00F97336" w14:paraId="44B0F513" w14:textId="77777777" w:rsidTr="00F73C61">
        <w:trPr>
          <w:trHeight w:val="244"/>
        </w:trPr>
        <w:tc>
          <w:tcPr>
            <w:tcW w:w="2379" w:type="pct"/>
            <w:hideMark/>
          </w:tcPr>
          <w:p w14:paraId="2B66F778" w14:textId="77777777" w:rsidR="00F97336" w:rsidRDefault="00F97336" w:rsidP="00EB7AA3">
            <w:pPr>
              <w:pStyle w:val="Tabletext"/>
            </w:pPr>
            <w:r>
              <w:t>Responders;</w:t>
            </w:r>
            <w:r>
              <w:rPr>
                <w:spacing w:val="-2"/>
              </w:rPr>
              <w:t xml:space="preserve"> </w:t>
            </w:r>
            <w:r>
              <w:t>n</w:t>
            </w:r>
            <w:r>
              <w:rPr>
                <w:spacing w:val="1"/>
              </w:rPr>
              <w:t xml:space="preserve"> </w:t>
            </w:r>
            <w:r>
              <w:t>(%)</w:t>
            </w:r>
            <w:r>
              <w:rPr>
                <w:spacing w:val="2"/>
              </w:rPr>
              <w:t xml:space="preserve"> </w:t>
            </w:r>
            <w:r>
              <w:t>[95%</w:t>
            </w:r>
            <w:r>
              <w:rPr>
                <w:spacing w:val="-2"/>
              </w:rPr>
              <w:t xml:space="preserve"> </w:t>
            </w:r>
            <w:r>
              <w:t>CI]</w:t>
            </w:r>
          </w:p>
        </w:tc>
        <w:tc>
          <w:tcPr>
            <w:tcW w:w="1330" w:type="pct"/>
            <w:hideMark/>
          </w:tcPr>
          <w:p w14:paraId="2830765C" w14:textId="77777777" w:rsidR="00F97336" w:rsidRDefault="00F97336" w:rsidP="00EB7AA3">
            <w:pPr>
              <w:pStyle w:val="Tabletext"/>
            </w:pPr>
            <w:r>
              <w:t>51</w:t>
            </w:r>
            <w:r>
              <w:rPr>
                <w:spacing w:val="-2"/>
              </w:rPr>
              <w:t xml:space="preserve"> </w:t>
            </w:r>
            <w:r>
              <w:t>(35.2%) [27.4%,</w:t>
            </w:r>
            <w:r>
              <w:rPr>
                <w:spacing w:val="-1"/>
              </w:rPr>
              <w:t xml:space="preserve"> </w:t>
            </w:r>
            <w:r>
              <w:t>43.5%]</w:t>
            </w:r>
          </w:p>
        </w:tc>
        <w:tc>
          <w:tcPr>
            <w:tcW w:w="1291" w:type="pct"/>
            <w:hideMark/>
          </w:tcPr>
          <w:p w14:paraId="66397100" w14:textId="77777777" w:rsidR="00F97336" w:rsidRDefault="00F97336" w:rsidP="00EB7AA3">
            <w:pPr>
              <w:pStyle w:val="Tabletext"/>
            </w:pPr>
            <w:r>
              <w:t>171</w:t>
            </w:r>
            <w:r>
              <w:rPr>
                <w:spacing w:val="-3"/>
              </w:rPr>
              <w:t xml:space="preserve"> </w:t>
            </w:r>
            <w:r>
              <w:t>(59.8%)</w:t>
            </w:r>
            <w:r>
              <w:rPr>
                <w:spacing w:val="-1"/>
              </w:rPr>
              <w:t xml:space="preserve"> </w:t>
            </w:r>
            <w:r>
              <w:t>[53.9%,</w:t>
            </w:r>
            <w:r>
              <w:rPr>
                <w:spacing w:val="-1"/>
              </w:rPr>
              <w:t xml:space="preserve"> </w:t>
            </w:r>
            <w:r>
              <w:t>65.5%]</w:t>
            </w:r>
          </w:p>
        </w:tc>
      </w:tr>
      <w:tr w:rsidR="00F97336" w14:paraId="2BD23C54" w14:textId="77777777" w:rsidTr="00F73C61">
        <w:trPr>
          <w:trHeight w:val="224"/>
        </w:trPr>
        <w:tc>
          <w:tcPr>
            <w:tcW w:w="2379" w:type="pct"/>
            <w:hideMark/>
          </w:tcPr>
          <w:p w14:paraId="53B6BF34" w14:textId="77777777" w:rsidR="00F97336" w:rsidRDefault="00F97336" w:rsidP="00EB7AA3">
            <w:pPr>
              <w:pStyle w:val="Tabletext"/>
            </w:pPr>
            <w:r>
              <w:lastRenderedPageBreak/>
              <w:t>p-value</w:t>
            </w:r>
            <w:r>
              <w:rPr>
                <w:spacing w:val="-2"/>
              </w:rPr>
              <w:t xml:space="preserve"> </w:t>
            </w:r>
            <w:r>
              <w:t>(CMH</w:t>
            </w:r>
            <w:r>
              <w:rPr>
                <w:spacing w:val="1"/>
              </w:rPr>
              <w:t xml:space="preserve"> </w:t>
            </w:r>
            <w:r>
              <w:t>test)</w:t>
            </w:r>
          </w:p>
        </w:tc>
        <w:tc>
          <w:tcPr>
            <w:tcW w:w="2621" w:type="pct"/>
            <w:gridSpan w:val="2"/>
            <w:hideMark/>
          </w:tcPr>
          <w:p w14:paraId="24D21DE9" w14:textId="77777777" w:rsidR="00F97336" w:rsidRDefault="00F97336" w:rsidP="00EB7AA3">
            <w:pPr>
              <w:pStyle w:val="Tabletext"/>
            </w:pPr>
            <w:r>
              <w:t>p &lt;</w:t>
            </w:r>
            <w:r>
              <w:rPr>
                <w:spacing w:val="-1"/>
              </w:rPr>
              <w:t xml:space="preserve"> </w:t>
            </w:r>
            <w:r>
              <w:t>0.001</w:t>
            </w:r>
          </w:p>
        </w:tc>
      </w:tr>
      <w:tr w:rsidR="000E6442" w14:paraId="23D1CD6F" w14:textId="77777777" w:rsidTr="00F73C61">
        <w:trPr>
          <w:trHeight w:val="263"/>
        </w:trPr>
        <w:tc>
          <w:tcPr>
            <w:tcW w:w="5000" w:type="pct"/>
            <w:gridSpan w:val="3"/>
            <w:hideMark/>
          </w:tcPr>
          <w:p w14:paraId="37C1E097" w14:textId="4CA26863" w:rsidR="000E6442" w:rsidRPr="000E6442" w:rsidRDefault="000E6442" w:rsidP="00EB7AA3">
            <w:pPr>
              <w:pStyle w:val="Tabletext"/>
              <w:rPr>
                <w:rFonts w:ascii="Times New Roman" w:hAnsi="Times New Roman"/>
                <w:b/>
                <w:bCs/>
                <w:sz w:val="18"/>
                <w:szCs w:val="18"/>
              </w:rPr>
            </w:pPr>
            <w:r w:rsidRPr="000E6442">
              <w:rPr>
                <w:b/>
                <w:bCs/>
              </w:rPr>
              <w:t>CR +</w:t>
            </w:r>
            <w:r w:rsidRPr="000E6442">
              <w:rPr>
                <w:b/>
                <w:bCs/>
                <w:spacing w:val="-1"/>
              </w:rPr>
              <w:t xml:space="preserve"> </w:t>
            </w:r>
            <w:proofErr w:type="spellStart"/>
            <w:r w:rsidRPr="000E6442">
              <w:rPr>
                <w:b/>
                <w:bCs/>
              </w:rPr>
              <w:t>CRh</w:t>
            </w:r>
            <w:proofErr w:type="spellEnd"/>
            <w:r w:rsidRPr="000E6442">
              <w:rPr>
                <w:b/>
                <w:bCs/>
                <w:spacing w:val="1"/>
              </w:rPr>
              <w:t xml:space="preserve"> </w:t>
            </w:r>
            <w:r w:rsidRPr="000E6442">
              <w:rPr>
                <w:b/>
                <w:bCs/>
              </w:rPr>
              <w:t>Rate in IDH1/IDH2</w:t>
            </w:r>
          </w:p>
        </w:tc>
      </w:tr>
      <w:tr w:rsidR="00F97336" w14:paraId="17B08FB5" w14:textId="77777777" w:rsidTr="00F73C61">
        <w:trPr>
          <w:trHeight w:val="243"/>
        </w:trPr>
        <w:tc>
          <w:tcPr>
            <w:tcW w:w="2379" w:type="pct"/>
            <w:hideMark/>
          </w:tcPr>
          <w:p w14:paraId="42C2E73A" w14:textId="77777777" w:rsidR="00F97336" w:rsidRDefault="00F97336" w:rsidP="00EB7AA3">
            <w:pPr>
              <w:pStyle w:val="Tabletext"/>
            </w:pPr>
            <w:r>
              <w:t>Responders;</w:t>
            </w:r>
            <w:r>
              <w:rPr>
                <w:spacing w:val="-2"/>
              </w:rPr>
              <w:t xml:space="preserve"> </w:t>
            </w:r>
            <w:r>
              <w:t>n/N</w:t>
            </w:r>
            <w:r>
              <w:rPr>
                <w:spacing w:val="1"/>
              </w:rPr>
              <w:t xml:space="preserve"> </w:t>
            </w:r>
            <w:r>
              <w:t>(%)</w:t>
            </w:r>
            <w:r>
              <w:rPr>
                <w:spacing w:val="1"/>
              </w:rPr>
              <w:t xml:space="preserve"> </w:t>
            </w:r>
            <w:r>
              <w:t>[95%</w:t>
            </w:r>
            <w:r>
              <w:rPr>
                <w:spacing w:val="-1"/>
              </w:rPr>
              <w:t xml:space="preserve"> </w:t>
            </w:r>
            <w:r>
              <w:t>CI]</w:t>
            </w:r>
          </w:p>
        </w:tc>
        <w:tc>
          <w:tcPr>
            <w:tcW w:w="1330" w:type="pct"/>
            <w:hideMark/>
          </w:tcPr>
          <w:p w14:paraId="4A2D75FC" w14:textId="77777777" w:rsidR="00F97336" w:rsidRDefault="00F97336" w:rsidP="00EB7AA3">
            <w:pPr>
              <w:pStyle w:val="Tabletext"/>
            </w:pPr>
            <w:r>
              <w:t>2/28</w:t>
            </w:r>
            <w:r>
              <w:rPr>
                <w:spacing w:val="-1"/>
              </w:rPr>
              <w:t xml:space="preserve"> </w:t>
            </w:r>
            <w:r>
              <w:t>(7.1)</w:t>
            </w:r>
            <w:r>
              <w:rPr>
                <w:spacing w:val="-1"/>
              </w:rPr>
              <w:t xml:space="preserve"> </w:t>
            </w:r>
            <w:r>
              <w:t>[0.9, 23.5]</w:t>
            </w:r>
          </w:p>
        </w:tc>
        <w:tc>
          <w:tcPr>
            <w:tcW w:w="1291" w:type="pct"/>
            <w:hideMark/>
          </w:tcPr>
          <w:p w14:paraId="4D141D30" w14:textId="77777777" w:rsidR="00F97336" w:rsidRDefault="00F97336" w:rsidP="00EB7AA3">
            <w:pPr>
              <w:pStyle w:val="Tabletext"/>
            </w:pPr>
            <w:r>
              <w:t>44/61</w:t>
            </w:r>
            <w:r>
              <w:rPr>
                <w:spacing w:val="-2"/>
              </w:rPr>
              <w:t xml:space="preserve"> </w:t>
            </w:r>
            <w:r>
              <w:t>(72.1) [59.2, 82.9]</w:t>
            </w:r>
          </w:p>
        </w:tc>
      </w:tr>
      <w:tr w:rsidR="00F97336" w14:paraId="01CD7C9F" w14:textId="77777777" w:rsidTr="00F73C61">
        <w:trPr>
          <w:trHeight w:val="224"/>
        </w:trPr>
        <w:tc>
          <w:tcPr>
            <w:tcW w:w="2379" w:type="pct"/>
            <w:hideMark/>
          </w:tcPr>
          <w:p w14:paraId="6B85E15A" w14:textId="77777777" w:rsidR="00F97336" w:rsidRDefault="00F97336" w:rsidP="00EB7AA3">
            <w:pPr>
              <w:pStyle w:val="Tabletext"/>
            </w:pPr>
            <w:r>
              <w:t>p-value</w:t>
            </w:r>
            <w:r>
              <w:rPr>
                <w:spacing w:val="-2"/>
              </w:rPr>
              <w:t xml:space="preserve"> </w:t>
            </w:r>
            <w:r>
              <w:t>(Fisher’s</w:t>
            </w:r>
            <w:r>
              <w:rPr>
                <w:spacing w:val="-1"/>
              </w:rPr>
              <w:t xml:space="preserve"> </w:t>
            </w:r>
            <w:r>
              <w:t>exact test)</w:t>
            </w:r>
          </w:p>
        </w:tc>
        <w:tc>
          <w:tcPr>
            <w:tcW w:w="2621" w:type="pct"/>
            <w:gridSpan w:val="2"/>
            <w:hideMark/>
          </w:tcPr>
          <w:p w14:paraId="0A23284B" w14:textId="77777777" w:rsidR="00F97336" w:rsidRDefault="00F97336" w:rsidP="00EB7AA3">
            <w:pPr>
              <w:pStyle w:val="Tabletext"/>
            </w:pPr>
            <w:r>
              <w:t>p &lt;</w:t>
            </w:r>
            <w:r>
              <w:rPr>
                <w:spacing w:val="-1"/>
              </w:rPr>
              <w:t xml:space="preserve"> </w:t>
            </w:r>
            <w:r>
              <w:t>0.001</w:t>
            </w:r>
          </w:p>
        </w:tc>
      </w:tr>
      <w:tr w:rsidR="000E6442" w14:paraId="6C648437" w14:textId="77777777" w:rsidTr="00F73C61">
        <w:trPr>
          <w:trHeight w:val="264"/>
        </w:trPr>
        <w:tc>
          <w:tcPr>
            <w:tcW w:w="5000" w:type="pct"/>
            <w:gridSpan w:val="3"/>
            <w:hideMark/>
          </w:tcPr>
          <w:p w14:paraId="3D7C80C3" w14:textId="27DBA6E3" w:rsidR="000E6442" w:rsidRPr="000E6442" w:rsidRDefault="000E6442" w:rsidP="00EB7AA3">
            <w:pPr>
              <w:pStyle w:val="Tabletext"/>
              <w:rPr>
                <w:rFonts w:ascii="Times New Roman" w:hAnsi="Times New Roman"/>
                <w:b/>
                <w:bCs/>
                <w:sz w:val="18"/>
                <w:szCs w:val="18"/>
              </w:rPr>
            </w:pPr>
            <w:r w:rsidRPr="000E6442">
              <w:rPr>
                <w:b/>
                <w:bCs/>
              </w:rPr>
              <w:t>CR Rate and Duration</w:t>
            </w:r>
            <w:r w:rsidRPr="000E6442">
              <w:rPr>
                <w:b/>
                <w:bCs/>
                <w:spacing w:val="1"/>
              </w:rPr>
              <w:t xml:space="preserve"> </w:t>
            </w:r>
            <w:r w:rsidRPr="000E6442">
              <w:rPr>
                <w:b/>
                <w:bCs/>
              </w:rPr>
              <w:t>of</w:t>
            </w:r>
            <w:r w:rsidRPr="000E6442">
              <w:rPr>
                <w:b/>
                <w:bCs/>
                <w:spacing w:val="-1"/>
              </w:rPr>
              <w:t xml:space="preserve"> </w:t>
            </w:r>
            <w:r w:rsidRPr="000E6442">
              <w:rPr>
                <w:b/>
                <w:bCs/>
              </w:rPr>
              <w:t>Response</w:t>
            </w:r>
          </w:p>
        </w:tc>
      </w:tr>
      <w:tr w:rsidR="00F97336" w14:paraId="01381C6E" w14:textId="77777777" w:rsidTr="00F73C61">
        <w:trPr>
          <w:trHeight w:val="244"/>
        </w:trPr>
        <w:tc>
          <w:tcPr>
            <w:tcW w:w="2379" w:type="pct"/>
            <w:hideMark/>
          </w:tcPr>
          <w:p w14:paraId="673127D7" w14:textId="77777777" w:rsidR="00F97336" w:rsidRDefault="00F97336" w:rsidP="00EB7AA3">
            <w:pPr>
              <w:pStyle w:val="Tabletext"/>
            </w:pPr>
            <w:r>
              <w:t>Responders;</w:t>
            </w:r>
            <w:r>
              <w:rPr>
                <w:spacing w:val="-2"/>
              </w:rPr>
              <w:t xml:space="preserve"> </w:t>
            </w:r>
            <w:r>
              <w:t>n/N</w:t>
            </w:r>
            <w:r>
              <w:rPr>
                <w:spacing w:val="1"/>
              </w:rPr>
              <w:t xml:space="preserve"> </w:t>
            </w:r>
            <w:r>
              <w:t>(%)</w:t>
            </w:r>
            <w:r>
              <w:rPr>
                <w:spacing w:val="1"/>
              </w:rPr>
              <w:t xml:space="preserve"> </w:t>
            </w:r>
            <w:r>
              <w:t>[95%</w:t>
            </w:r>
            <w:r>
              <w:rPr>
                <w:spacing w:val="-1"/>
              </w:rPr>
              <w:t xml:space="preserve"> </w:t>
            </w:r>
            <w:r>
              <w:t>CI]</w:t>
            </w:r>
          </w:p>
        </w:tc>
        <w:tc>
          <w:tcPr>
            <w:tcW w:w="1330" w:type="pct"/>
            <w:hideMark/>
          </w:tcPr>
          <w:p w14:paraId="63D258AB" w14:textId="77777777" w:rsidR="00F97336" w:rsidRDefault="00F97336" w:rsidP="00EB7AA3">
            <w:pPr>
              <w:pStyle w:val="Tabletext"/>
            </w:pPr>
            <w:r>
              <w:t>26</w:t>
            </w:r>
            <w:r>
              <w:rPr>
                <w:spacing w:val="-1"/>
              </w:rPr>
              <w:t xml:space="preserve"> </w:t>
            </w:r>
            <w:r>
              <w:t>(17.9)</w:t>
            </w:r>
            <w:r>
              <w:rPr>
                <w:spacing w:val="-2"/>
              </w:rPr>
              <w:t xml:space="preserve"> </w:t>
            </w:r>
            <w:r>
              <w:t>[12.1,</w:t>
            </w:r>
            <w:r>
              <w:rPr>
                <w:spacing w:val="1"/>
              </w:rPr>
              <w:t xml:space="preserve"> </w:t>
            </w:r>
            <w:r>
              <w:t>25.2]</w:t>
            </w:r>
          </w:p>
        </w:tc>
        <w:tc>
          <w:tcPr>
            <w:tcW w:w="1291" w:type="pct"/>
            <w:hideMark/>
          </w:tcPr>
          <w:p w14:paraId="17A071BD" w14:textId="77777777" w:rsidR="00F97336" w:rsidRDefault="00F97336" w:rsidP="00EB7AA3">
            <w:pPr>
              <w:pStyle w:val="Tabletext"/>
            </w:pPr>
            <w:r>
              <w:t>105</w:t>
            </w:r>
            <w:r>
              <w:rPr>
                <w:spacing w:val="-1"/>
              </w:rPr>
              <w:t xml:space="preserve"> </w:t>
            </w:r>
            <w:r>
              <w:t>(36.7)</w:t>
            </w:r>
            <w:r>
              <w:rPr>
                <w:spacing w:val="-1"/>
              </w:rPr>
              <w:t xml:space="preserve"> </w:t>
            </w:r>
            <w:r>
              <w:t>[31.1, 42.6]</w:t>
            </w:r>
          </w:p>
        </w:tc>
      </w:tr>
      <w:tr w:rsidR="00F97336" w14:paraId="2E08D7E4" w14:textId="77777777" w:rsidTr="00F73C61">
        <w:trPr>
          <w:trHeight w:val="243"/>
        </w:trPr>
        <w:tc>
          <w:tcPr>
            <w:tcW w:w="2379" w:type="pct"/>
            <w:hideMark/>
          </w:tcPr>
          <w:p w14:paraId="60A76759" w14:textId="77777777" w:rsidR="00F97336" w:rsidRDefault="00F97336" w:rsidP="00EB7AA3">
            <w:pPr>
              <w:pStyle w:val="Tabletext"/>
            </w:pPr>
            <w:r>
              <w:t>p-value</w:t>
            </w:r>
            <w:r>
              <w:rPr>
                <w:spacing w:val="-2"/>
              </w:rPr>
              <w:t xml:space="preserve"> </w:t>
            </w:r>
            <w:r>
              <w:t>(CMH</w:t>
            </w:r>
            <w:r>
              <w:rPr>
                <w:spacing w:val="1"/>
              </w:rPr>
              <w:t xml:space="preserve"> </w:t>
            </w:r>
            <w:r>
              <w:t>test)</w:t>
            </w:r>
          </w:p>
        </w:tc>
        <w:tc>
          <w:tcPr>
            <w:tcW w:w="2621" w:type="pct"/>
            <w:gridSpan w:val="2"/>
            <w:hideMark/>
          </w:tcPr>
          <w:p w14:paraId="1134B4CD" w14:textId="77777777" w:rsidR="00F97336" w:rsidRDefault="00F97336" w:rsidP="00EB7AA3">
            <w:pPr>
              <w:pStyle w:val="Tabletext"/>
            </w:pPr>
            <w:r>
              <w:t>p &lt;</w:t>
            </w:r>
            <w:r>
              <w:rPr>
                <w:spacing w:val="-1"/>
              </w:rPr>
              <w:t xml:space="preserve"> </w:t>
            </w:r>
            <w:r>
              <w:t>0.001</w:t>
            </w:r>
          </w:p>
        </w:tc>
      </w:tr>
      <w:tr w:rsidR="00F97336" w14:paraId="3FAA0633" w14:textId="77777777" w:rsidTr="00F73C61">
        <w:trPr>
          <w:trHeight w:val="223"/>
        </w:trPr>
        <w:tc>
          <w:tcPr>
            <w:tcW w:w="2379" w:type="pct"/>
            <w:hideMark/>
          </w:tcPr>
          <w:p w14:paraId="244F213E" w14:textId="77777777" w:rsidR="00F97336" w:rsidRDefault="00F97336" w:rsidP="00EB7AA3">
            <w:pPr>
              <w:pStyle w:val="Tabletext"/>
            </w:pPr>
            <w:r>
              <w:t>Duration</w:t>
            </w:r>
            <w:r>
              <w:rPr>
                <w:spacing w:val="-2"/>
              </w:rPr>
              <w:t xml:space="preserve"> </w:t>
            </w:r>
            <w:r>
              <w:t>of</w:t>
            </w:r>
            <w:r>
              <w:rPr>
                <w:spacing w:val="-3"/>
              </w:rPr>
              <w:t xml:space="preserve"> </w:t>
            </w:r>
            <w:r>
              <w:t>Response</w:t>
            </w:r>
            <w:r>
              <w:rPr>
                <w:spacing w:val="-3"/>
              </w:rPr>
              <w:t xml:space="preserve"> </w:t>
            </w:r>
            <w:r>
              <w:t>(months);</w:t>
            </w:r>
            <w:r>
              <w:rPr>
                <w:spacing w:val="-3"/>
              </w:rPr>
              <w:t xml:space="preserve"> </w:t>
            </w:r>
            <w:r>
              <w:t>median</w:t>
            </w:r>
            <w:r>
              <w:rPr>
                <w:spacing w:val="-1"/>
              </w:rPr>
              <w:t xml:space="preserve"> </w:t>
            </w:r>
            <w:r>
              <w:t>(95%</w:t>
            </w:r>
            <w:r>
              <w:rPr>
                <w:spacing w:val="-3"/>
              </w:rPr>
              <w:t xml:space="preserve"> </w:t>
            </w:r>
            <w:r>
              <w:t>CI)</w:t>
            </w:r>
          </w:p>
        </w:tc>
        <w:tc>
          <w:tcPr>
            <w:tcW w:w="1330" w:type="pct"/>
            <w:hideMark/>
          </w:tcPr>
          <w:p w14:paraId="0ABB1215" w14:textId="77777777" w:rsidR="00F97336" w:rsidRDefault="00F97336" w:rsidP="00EB7AA3">
            <w:pPr>
              <w:pStyle w:val="Tabletext"/>
            </w:pPr>
            <w:r>
              <w:t>13.3</w:t>
            </w:r>
            <w:r>
              <w:rPr>
                <w:spacing w:val="-1"/>
              </w:rPr>
              <w:t xml:space="preserve"> </w:t>
            </w:r>
            <w:r>
              <w:t>(8.5,</w:t>
            </w:r>
            <w:r>
              <w:rPr>
                <w:spacing w:val="1"/>
              </w:rPr>
              <w:t xml:space="preserve"> </w:t>
            </w:r>
            <w:r>
              <w:t>17.6)</w:t>
            </w:r>
          </w:p>
        </w:tc>
        <w:tc>
          <w:tcPr>
            <w:tcW w:w="1291" w:type="pct"/>
            <w:hideMark/>
          </w:tcPr>
          <w:p w14:paraId="45B158D7" w14:textId="77777777" w:rsidR="00F97336" w:rsidRDefault="00F97336" w:rsidP="00EB7AA3">
            <w:pPr>
              <w:pStyle w:val="Tabletext"/>
            </w:pPr>
            <w:r>
              <w:t>17.5</w:t>
            </w:r>
            <w:r>
              <w:rPr>
                <w:spacing w:val="-1"/>
              </w:rPr>
              <w:t xml:space="preserve"> </w:t>
            </w:r>
            <w:r>
              <w:t>(15.3,</w:t>
            </w:r>
            <w:r>
              <w:rPr>
                <w:spacing w:val="1"/>
              </w:rPr>
              <w:t xml:space="preserve"> </w:t>
            </w:r>
            <w:r>
              <w:t>NR)</w:t>
            </w:r>
          </w:p>
        </w:tc>
      </w:tr>
      <w:tr w:rsidR="000E6442" w14:paraId="1FFF9AC4" w14:textId="77777777" w:rsidTr="00F73C61">
        <w:trPr>
          <w:trHeight w:val="264"/>
        </w:trPr>
        <w:tc>
          <w:tcPr>
            <w:tcW w:w="5000" w:type="pct"/>
            <w:gridSpan w:val="3"/>
            <w:hideMark/>
          </w:tcPr>
          <w:p w14:paraId="51D2D343" w14:textId="6623693A" w:rsidR="000E6442" w:rsidRPr="000E6442" w:rsidRDefault="000E6442" w:rsidP="00EB7AA3">
            <w:pPr>
              <w:pStyle w:val="Tabletext"/>
              <w:rPr>
                <w:rFonts w:ascii="Times New Roman" w:hAnsi="Times New Roman"/>
                <w:b/>
                <w:bCs/>
                <w:sz w:val="18"/>
                <w:szCs w:val="18"/>
              </w:rPr>
            </w:pPr>
            <w:r w:rsidRPr="000E6442">
              <w:rPr>
                <w:b/>
                <w:bCs/>
              </w:rPr>
              <w:t>CR +</w:t>
            </w:r>
            <w:r w:rsidRPr="000E6442">
              <w:rPr>
                <w:b/>
                <w:bCs/>
                <w:spacing w:val="-1"/>
              </w:rPr>
              <w:t xml:space="preserve"> </w:t>
            </w:r>
            <w:proofErr w:type="spellStart"/>
            <w:r w:rsidRPr="000E6442">
              <w:rPr>
                <w:b/>
                <w:bCs/>
              </w:rPr>
              <w:t>CRh</w:t>
            </w:r>
            <w:proofErr w:type="spellEnd"/>
            <w:r w:rsidRPr="000E6442">
              <w:rPr>
                <w:b/>
                <w:bCs/>
                <w:spacing w:val="1"/>
              </w:rPr>
              <w:t xml:space="preserve"> </w:t>
            </w:r>
            <w:r w:rsidRPr="000E6442">
              <w:rPr>
                <w:b/>
                <w:bCs/>
              </w:rPr>
              <w:t>Rate in</w:t>
            </w:r>
            <w:r w:rsidRPr="000E6442">
              <w:rPr>
                <w:b/>
                <w:bCs/>
                <w:spacing w:val="1"/>
              </w:rPr>
              <w:t xml:space="preserve"> </w:t>
            </w:r>
            <w:r w:rsidRPr="000E6442">
              <w:rPr>
                <w:b/>
                <w:bCs/>
              </w:rPr>
              <w:t>FLT3</w:t>
            </w:r>
          </w:p>
        </w:tc>
      </w:tr>
      <w:tr w:rsidR="00F97336" w14:paraId="40636E01" w14:textId="77777777" w:rsidTr="00F73C61">
        <w:trPr>
          <w:trHeight w:val="244"/>
        </w:trPr>
        <w:tc>
          <w:tcPr>
            <w:tcW w:w="2379" w:type="pct"/>
            <w:hideMark/>
          </w:tcPr>
          <w:p w14:paraId="2BE11A7C" w14:textId="77777777" w:rsidR="00F97336" w:rsidRDefault="00F97336" w:rsidP="00EB7AA3">
            <w:pPr>
              <w:pStyle w:val="Tabletext"/>
            </w:pPr>
            <w:r>
              <w:t>Responders;</w:t>
            </w:r>
            <w:r>
              <w:rPr>
                <w:spacing w:val="-2"/>
              </w:rPr>
              <w:t xml:space="preserve"> </w:t>
            </w:r>
            <w:r>
              <w:t>n/N</w:t>
            </w:r>
            <w:r>
              <w:rPr>
                <w:spacing w:val="1"/>
              </w:rPr>
              <w:t xml:space="preserve"> </w:t>
            </w:r>
            <w:r>
              <w:t>(%)</w:t>
            </w:r>
            <w:r>
              <w:rPr>
                <w:spacing w:val="1"/>
              </w:rPr>
              <w:t xml:space="preserve"> </w:t>
            </w:r>
            <w:r>
              <w:t>[95%</w:t>
            </w:r>
            <w:r>
              <w:rPr>
                <w:spacing w:val="-1"/>
              </w:rPr>
              <w:t xml:space="preserve"> </w:t>
            </w:r>
            <w:r>
              <w:t>CI]</w:t>
            </w:r>
          </w:p>
        </w:tc>
        <w:tc>
          <w:tcPr>
            <w:tcW w:w="1330" w:type="pct"/>
            <w:hideMark/>
          </w:tcPr>
          <w:p w14:paraId="75C1D33F" w14:textId="77777777" w:rsidR="00F97336" w:rsidRDefault="00F97336" w:rsidP="00EB7AA3">
            <w:pPr>
              <w:pStyle w:val="Tabletext"/>
            </w:pPr>
            <w:r>
              <w:t>4/22</w:t>
            </w:r>
            <w:r>
              <w:rPr>
                <w:spacing w:val="-1"/>
              </w:rPr>
              <w:t xml:space="preserve"> </w:t>
            </w:r>
            <w:r>
              <w:t>(18.2)</w:t>
            </w:r>
            <w:r>
              <w:rPr>
                <w:spacing w:val="-1"/>
              </w:rPr>
              <w:t xml:space="preserve"> </w:t>
            </w:r>
            <w:r>
              <w:t>[5.2, 40.3]</w:t>
            </w:r>
          </w:p>
        </w:tc>
        <w:tc>
          <w:tcPr>
            <w:tcW w:w="1291" w:type="pct"/>
            <w:hideMark/>
          </w:tcPr>
          <w:p w14:paraId="27D20DAD" w14:textId="77777777" w:rsidR="00F97336" w:rsidRDefault="00F97336" w:rsidP="00EB7AA3">
            <w:pPr>
              <w:pStyle w:val="Tabletext"/>
            </w:pPr>
            <w:r>
              <w:t>19/29</w:t>
            </w:r>
            <w:r>
              <w:rPr>
                <w:spacing w:val="-2"/>
              </w:rPr>
              <w:t xml:space="preserve"> </w:t>
            </w:r>
            <w:r>
              <w:t>(65.5) [45.7, 82.1]</w:t>
            </w:r>
          </w:p>
        </w:tc>
      </w:tr>
      <w:tr w:rsidR="00F97336" w14:paraId="47964A2F" w14:textId="77777777" w:rsidTr="00F73C61">
        <w:trPr>
          <w:trHeight w:val="224"/>
        </w:trPr>
        <w:tc>
          <w:tcPr>
            <w:tcW w:w="2379" w:type="pct"/>
            <w:hideMark/>
          </w:tcPr>
          <w:p w14:paraId="417FF321" w14:textId="77777777" w:rsidR="00F97336" w:rsidRDefault="00F97336" w:rsidP="00EB7AA3">
            <w:pPr>
              <w:pStyle w:val="Tabletext"/>
            </w:pPr>
            <w:r>
              <w:t>p-value</w:t>
            </w:r>
            <w:r>
              <w:rPr>
                <w:spacing w:val="-2"/>
              </w:rPr>
              <w:t xml:space="preserve"> </w:t>
            </w:r>
            <w:r>
              <w:t>(Fisher’s</w:t>
            </w:r>
            <w:r>
              <w:rPr>
                <w:spacing w:val="-1"/>
              </w:rPr>
              <w:t xml:space="preserve"> </w:t>
            </w:r>
            <w:r>
              <w:t>exact test)</w:t>
            </w:r>
          </w:p>
        </w:tc>
        <w:tc>
          <w:tcPr>
            <w:tcW w:w="2621" w:type="pct"/>
            <w:gridSpan w:val="2"/>
            <w:hideMark/>
          </w:tcPr>
          <w:p w14:paraId="649F1FDD" w14:textId="77777777" w:rsidR="00F97336" w:rsidRDefault="00F97336" w:rsidP="00EB7AA3">
            <w:pPr>
              <w:pStyle w:val="Tabletext"/>
            </w:pPr>
            <w:r>
              <w:t>p =</w:t>
            </w:r>
            <w:r>
              <w:rPr>
                <w:spacing w:val="-1"/>
              </w:rPr>
              <w:t xml:space="preserve"> </w:t>
            </w:r>
            <w:r>
              <w:t>0.001</w:t>
            </w:r>
          </w:p>
        </w:tc>
      </w:tr>
      <w:tr w:rsidR="000E6442" w14:paraId="2C134CBC" w14:textId="77777777" w:rsidTr="00F73C61">
        <w:trPr>
          <w:trHeight w:val="261"/>
        </w:trPr>
        <w:tc>
          <w:tcPr>
            <w:tcW w:w="5000" w:type="pct"/>
            <w:gridSpan w:val="3"/>
            <w:hideMark/>
          </w:tcPr>
          <w:p w14:paraId="6C985C21" w14:textId="3D472242" w:rsidR="000E6442" w:rsidRPr="000E6442" w:rsidRDefault="000E6442" w:rsidP="00EB7AA3">
            <w:pPr>
              <w:pStyle w:val="Tabletext"/>
              <w:rPr>
                <w:rFonts w:ascii="Times New Roman" w:hAnsi="Times New Roman"/>
                <w:b/>
                <w:bCs/>
                <w:sz w:val="18"/>
                <w:szCs w:val="18"/>
              </w:rPr>
            </w:pPr>
            <w:r w:rsidRPr="000E6442">
              <w:rPr>
                <w:b/>
                <w:bCs/>
              </w:rPr>
              <w:t>Postbaseline</w:t>
            </w:r>
            <w:r w:rsidRPr="000E6442">
              <w:rPr>
                <w:b/>
                <w:bCs/>
                <w:spacing w:val="-2"/>
              </w:rPr>
              <w:t xml:space="preserve"> </w:t>
            </w:r>
            <w:r w:rsidRPr="000E6442">
              <w:rPr>
                <w:b/>
                <w:bCs/>
              </w:rPr>
              <w:t>Platelet</w:t>
            </w:r>
            <w:r w:rsidRPr="000E6442">
              <w:rPr>
                <w:b/>
                <w:bCs/>
                <w:spacing w:val="-2"/>
              </w:rPr>
              <w:t xml:space="preserve"> </w:t>
            </w:r>
            <w:r w:rsidRPr="000E6442">
              <w:rPr>
                <w:b/>
                <w:bCs/>
              </w:rPr>
              <w:t>Transfusion Independence</w:t>
            </w:r>
          </w:p>
        </w:tc>
      </w:tr>
      <w:tr w:rsidR="00F97336" w14:paraId="5BE446DF" w14:textId="77777777" w:rsidTr="00F73C61">
        <w:trPr>
          <w:trHeight w:val="244"/>
        </w:trPr>
        <w:tc>
          <w:tcPr>
            <w:tcW w:w="2379" w:type="pct"/>
            <w:hideMark/>
          </w:tcPr>
          <w:p w14:paraId="7B738DC1" w14:textId="77777777" w:rsidR="00F97336" w:rsidRDefault="00F97336" w:rsidP="00EB7AA3">
            <w:pPr>
              <w:pStyle w:val="Tabletext"/>
            </w:pPr>
            <w:r>
              <w:t>Responders;</w:t>
            </w:r>
            <w:r>
              <w:rPr>
                <w:spacing w:val="-2"/>
              </w:rPr>
              <w:t xml:space="preserve"> </w:t>
            </w:r>
            <w:r>
              <w:t>n</w:t>
            </w:r>
            <w:r>
              <w:rPr>
                <w:spacing w:val="1"/>
              </w:rPr>
              <w:t xml:space="preserve"> </w:t>
            </w:r>
            <w:r>
              <w:t>(%)</w:t>
            </w:r>
            <w:r>
              <w:rPr>
                <w:spacing w:val="2"/>
              </w:rPr>
              <w:t xml:space="preserve"> </w:t>
            </w:r>
            <w:r>
              <w:t>[95%</w:t>
            </w:r>
            <w:r>
              <w:rPr>
                <w:spacing w:val="-2"/>
              </w:rPr>
              <w:t xml:space="preserve"> </w:t>
            </w:r>
            <w:r>
              <w:t>CI]</w:t>
            </w:r>
          </w:p>
        </w:tc>
        <w:tc>
          <w:tcPr>
            <w:tcW w:w="1330" w:type="pct"/>
            <w:hideMark/>
          </w:tcPr>
          <w:p w14:paraId="1B120D91" w14:textId="77777777" w:rsidR="00F97336" w:rsidRDefault="00F97336" w:rsidP="00EB7AA3">
            <w:pPr>
              <w:pStyle w:val="Tabletext"/>
            </w:pPr>
            <w:r>
              <w:t>72</w:t>
            </w:r>
            <w:r>
              <w:rPr>
                <w:spacing w:val="-2"/>
              </w:rPr>
              <w:t xml:space="preserve"> </w:t>
            </w:r>
            <w:r>
              <w:t>(49.7%) [41.3%,</w:t>
            </w:r>
            <w:r>
              <w:rPr>
                <w:spacing w:val="-1"/>
              </w:rPr>
              <w:t xml:space="preserve"> </w:t>
            </w:r>
            <w:r>
              <w:t>58.1%]</w:t>
            </w:r>
          </w:p>
        </w:tc>
        <w:tc>
          <w:tcPr>
            <w:tcW w:w="1291" w:type="pct"/>
            <w:hideMark/>
          </w:tcPr>
          <w:p w14:paraId="1E9F2F3F" w14:textId="77777777" w:rsidR="00F97336" w:rsidRDefault="00F97336" w:rsidP="00EB7AA3">
            <w:pPr>
              <w:pStyle w:val="Tabletext"/>
            </w:pPr>
            <w:r>
              <w:t>196</w:t>
            </w:r>
            <w:r>
              <w:rPr>
                <w:spacing w:val="-3"/>
              </w:rPr>
              <w:t xml:space="preserve"> </w:t>
            </w:r>
            <w:r>
              <w:t>(68.5%)</w:t>
            </w:r>
            <w:r>
              <w:rPr>
                <w:spacing w:val="-1"/>
              </w:rPr>
              <w:t xml:space="preserve"> </w:t>
            </w:r>
            <w:r>
              <w:t>[62.8%,</w:t>
            </w:r>
            <w:r>
              <w:rPr>
                <w:spacing w:val="-1"/>
              </w:rPr>
              <w:t xml:space="preserve"> </w:t>
            </w:r>
            <w:r>
              <w:t>73.9%]</w:t>
            </w:r>
          </w:p>
        </w:tc>
      </w:tr>
      <w:tr w:rsidR="00F97336" w14:paraId="153ED264" w14:textId="77777777" w:rsidTr="00F73C61">
        <w:trPr>
          <w:trHeight w:val="224"/>
        </w:trPr>
        <w:tc>
          <w:tcPr>
            <w:tcW w:w="2379" w:type="pct"/>
            <w:hideMark/>
          </w:tcPr>
          <w:p w14:paraId="5F7FC1AF" w14:textId="77777777" w:rsidR="00F97336" w:rsidRDefault="00F97336" w:rsidP="00EB7AA3">
            <w:pPr>
              <w:pStyle w:val="Tabletext"/>
            </w:pPr>
            <w:r>
              <w:t>p-value</w:t>
            </w:r>
            <w:r>
              <w:rPr>
                <w:spacing w:val="-2"/>
              </w:rPr>
              <w:t xml:space="preserve"> </w:t>
            </w:r>
            <w:r>
              <w:t>(CMH</w:t>
            </w:r>
            <w:r>
              <w:rPr>
                <w:spacing w:val="1"/>
              </w:rPr>
              <w:t xml:space="preserve"> </w:t>
            </w:r>
            <w:r>
              <w:t>test)</w:t>
            </w:r>
          </w:p>
        </w:tc>
        <w:tc>
          <w:tcPr>
            <w:tcW w:w="2621" w:type="pct"/>
            <w:gridSpan w:val="2"/>
            <w:hideMark/>
          </w:tcPr>
          <w:p w14:paraId="43364D43" w14:textId="77777777" w:rsidR="00F97336" w:rsidRDefault="00F97336" w:rsidP="00EB7AA3">
            <w:pPr>
              <w:pStyle w:val="Tabletext"/>
            </w:pPr>
            <w:r>
              <w:t>p &lt;</w:t>
            </w:r>
            <w:r>
              <w:rPr>
                <w:spacing w:val="-1"/>
              </w:rPr>
              <w:t xml:space="preserve"> </w:t>
            </w:r>
            <w:r>
              <w:t>0.001</w:t>
            </w:r>
          </w:p>
        </w:tc>
      </w:tr>
      <w:tr w:rsidR="000E6442" w14:paraId="15EB3E1F" w14:textId="77777777" w:rsidTr="00F73C61">
        <w:trPr>
          <w:trHeight w:val="264"/>
        </w:trPr>
        <w:tc>
          <w:tcPr>
            <w:tcW w:w="5000" w:type="pct"/>
            <w:gridSpan w:val="3"/>
            <w:hideMark/>
          </w:tcPr>
          <w:p w14:paraId="7730604C" w14:textId="4D5891FF" w:rsidR="000E6442" w:rsidRPr="000E6442" w:rsidRDefault="000E6442" w:rsidP="00EB7AA3">
            <w:pPr>
              <w:pStyle w:val="Tabletext"/>
              <w:rPr>
                <w:rFonts w:ascii="Times New Roman" w:hAnsi="Times New Roman"/>
                <w:b/>
                <w:bCs/>
                <w:sz w:val="18"/>
                <w:szCs w:val="18"/>
              </w:rPr>
            </w:pPr>
            <w:r w:rsidRPr="000E6442">
              <w:rPr>
                <w:b/>
                <w:bCs/>
              </w:rPr>
              <w:t>Overall Survival</w:t>
            </w:r>
            <w:r w:rsidRPr="000E6442">
              <w:rPr>
                <w:b/>
                <w:bCs/>
                <w:spacing w:val="-1"/>
              </w:rPr>
              <w:t xml:space="preserve"> </w:t>
            </w:r>
            <w:r w:rsidRPr="000E6442">
              <w:rPr>
                <w:b/>
                <w:bCs/>
              </w:rPr>
              <w:t>in</w:t>
            </w:r>
            <w:r w:rsidRPr="000E6442">
              <w:rPr>
                <w:b/>
                <w:bCs/>
                <w:spacing w:val="1"/>
              </w:rPr>
              <w:t xml:space="preserve"> </w:t>
            </w:r>
            <w:r w:rsidRPr="000E6442">
              <w:rPr>
                <w:b/>
                <w:bCs/>
              </w:rPr>
              <w:t>IDH1/IDH2</w:t>
            </w:r>
          </w:p>
        </w:tc>
      </w:tr>
      <w:tr w:rsidR="00F97336" w14:paraId="1B417B6A" w14:textId="77777777" w:rsidTr="00F73C61">
        <w:trPr>
          <w:trHeight w:val="243"/>
        </w:trPr>
        <w:tc>
          <w:tcPr>
            <w:tcW w:w="2379" w:type="pct"/>
            <w:hideMark/>
          </w:tcPr>
          <w:p w14:paraId="7CBADE22" w14:textId="77777777" w:rsidR="00F97336" w:rsidRDefault="00F97336" w:rsidP="00EB7AA3">
            <w:pPr>
              <w:pStyle w:val="Tabletext"/>
            </w:pPr>
            <w:r>
              <w:t>Number</w:t>
            </w:r>
            <w:r>
              <w:rPr>
                <w:spacing w:val="-1"/>
              </w:rPr>
              <w:t xml:space="preserve"> </w:t>
            </w:r>
            <w:r>
              <w:t>of</w:t>
            </w:r>
            <w:r>
              <w:rPr>
                <w:spacing w:val="-2"/>
              </w:rPr>
              <w:t xml:space="preserve"> </w:t>
            </w:r>
            <w:r>
              <w:t>patients</w:t>
            </w:r>
            <w:r>
              <w:rPr>
                <w:spacing w:val="-1"/>
              </w:rPr>
              <w:t xml:space="preserve"> </w:t>
            </w:r>
            <w:r>
              <w:t>with events;</w:t>
            </w:r>
            <w:r>
              <w:rPr>
                <w:spacing w:val="-1"/>
              </w:rPr>
              <w:t xml:space="preserve"> </w:t>
            </w:r>
            <w:r>
              <w:t>n/N</w:t>
            </w:r>
          </w:p>
        </w:tc>
        <w:tc>
          <w:tcPr>
            <w:tcW w:w="1330" w:type="pct"/>
            <w:hideMark/>
          </w:tcPr>
          <w:p w14:paraId="27E8CB5E" w14:textId="77777777" w:rsidR="00F97336" w:rsidRDefault="00F97336" w:rsidP="00EB7AA3">
            <w:pPr>
              <w:pStyle w:val="Tabletext"/>
            </w:pPr>
            <w:r>
              <w:t>24/28</w:t>
            </w:r>
          </w:p>
        </w:tc>
        <w:tc>
          <w:tcPr>
            <w:tcW w:w="1291" w:type="pct"/>
            <w:hideMark/>
          </w:tcPr>
          <w:p w14:paraId="28CEA94B" w14:textId="77777777" w:rsidR="00F97336" w:rsidRDefault="00F97336" w:rsidP="00EB7AA3">
            <w:pPr>
              <w:pStyle w:val="Tabletext"/>
            </w:pPr>
            <w:r>
              <w:t>29/61</w:t>
            </w:r>
          </w:p>
        </w:tc>
      </w:tr>
      <w:tr w:rsidR="00F97336" w14:paraId="1BCFE457" w14:textId="77777777" w:rsidTr="00F73C61">
        <w:trPr>
          <w:trHeight w:val="243"/>
        </w:trPr>
        <w:tc>
          <w:tcPr>
            <w:tcW w:w="2379" w:type="pct"/>
            <w:hideMark/>
          </w:tcPr>
          <w:p w14:paraId="3A284AD4" w14:textId="77777777" w:rsidR="00F97336" w:rsidRDefault="00F97336" w:rsidP="00EB7AA3">
            <w:pPr>
              <w:pStyle w:val="Tabletext"/>
            </w:pPr>
            <w:r>
              <w:t>Median OS months</w:t>
            </w:r>
            <w:r>
              <w:rPr>
                <w:spacing w:val="-1"/>
              </w:rPr>
              <w:t xml:space="preserve"> </w:t>
            </w:r>
            <w:r>
              <w:t>(95%</w:t>
            </w:r>
            <w:r>
              <w:rPr>
                <w:spacing w:val="-2"/>
              </w:rPr>
              <w:t xml:space="preserve"> </w:t>
            </w:r>
            <w:r>
              <w:t>CI)</w:t>
            </w:r>
          </w:p>
        </w:tc>
        <w:tc>
          <w:tcPr>
            <w:tcW w:w="1330" w:type="pct"/>
            <w:hideMark/>
          </w:tcPr>
          <w:p w14:paraId="36CB7F22" w14:textId="77777777" w:rsidR="00F97336" w:rsidRDefault="00F97336" w:rsidP="00EB7AA3">
            <w:pPr>
              <w:pStyle w:val="Tabletext"/>
            </w:pPr>
            <w:r>
              <w:t>6.2</w:t>
            </w:r>
            <w:r>
              <w:rPr>
                <w:spacing w:val="-1"/>
              </w:rPr>
              <w:t xml:space="preserve"> </w:t>
            </w:r>
            <w:r>
              <w:t>(2.3,</w:t>
            </w:r>
            <w:r>
              <w:rPr>
                <w:spacing w:val="1"/>
              </w:rPr>
              <w:t xml:space="preserve"> </w:t>
            </w:r>
            <w:r>
              <w:t>12.7)</w:t>
            </w:r>
          </w:p>
        </w:tc>
        <w:tc>
          <w:tcPr>
            <w:tcW w:w="1291" w:type="pct"/>
            <w:hideMark/>
          </w:tcPr>
          <w:p w14:paraId="37D90635" w14:textId="77777777" w:rsidR="00F97336" w:rsidRDefault="00F97336" w:rsidP="00EB7AA3">
            <w:pPr>
              <w:pStyle w:val="Tabletext"/>
            </w:pPr>
            <w:r>
              <w:t>NR</w:t>
            </w:r>
            <w:r>
              <w:rPr>
                <w:spacing w:val="-1"/>
              </w:rPr>
              <w:t xml:space="preserve"> </w:t>
            </w:r>
            <w:r>
              <w:t>(12.2,</w:t>
            </w:r>
            <w:r>
              <w:rPr>
                <w:spacing w:val="1"/>
              </w:rPr>
              <w:t xml:space="preserve"> </w:t>
            </w:r>
            <w:r>
              <w:t>NR)</w:t>
            </w:r>
          </w:p>
        </w:tc>
      </w:tr>
      <w:tr w:rsidR="00F97336" w14:paraId="390D10E7" w14:textId="77777777" w:rsidTr="00F73C61">
        <w:trPr>
          <w:trHeight w:val="224"/>
        </w:trPr>
        <w:tc>
          <w:tcPr>
            <w:tcW w:w="2379" w:type="pct"/>
            <w:hideMark/>
          </w:tcPr>
          <w:p w14:paraId="1177A338" w14:textId="77777777" w:rsidR="00F97336" w:rsidRDefault="00F97336" w:rsidP="00EB7AA3">
            <w:pPr>
              <w:pStyle w:val="Tabletext"/>
            </w:pPr>
            <w:r>
              <w:t>HR</w:t>
            </w:r>
            <w:r>
              <w:rPr>
                <w:spacing w:val="-2"/>
              </w:rPr>
              <w:t xml:space="preserve"> </w:t>
            </w:r>
            <w:r>
              <w:t>(p-value</w:t>
            </w:r>
            <w:r>
              <w:rPr>
                <w:spacing w:val="-2"/>
              </w:rPr>
              <w:t xml:space="preserve"> </w:t>
            </w:r>
            <w:r>
              <w:t>from</w:t>
            </w:r>
            <w:r>
              <w:rPr>
                <w:spacing w:val="-2"/>
              </w:rPr>
              <w:t xml:space="preserve"> </w:t>
            </w:r>
            <w:r>
              <w:t>unstratified log-rank test)</w:t>
            </w:r>
          </w:p>
        </w:tc>
        <w:tc>
          <w:tcPr>
            <w:tcW w:w="2621" w:type="pct"/>
            <w:gridSpan w:val="2"/>
            <w:hideMark/>
          </w:tcPr>
          <w:p w14:paraId="35BD4501" w14:textId="77777777" w:rsidR="00F97336" w:rsidRDefault="00F97336" w:rsidP="00EB7AA3">
            <w:pPr>
              <w:pStyle w:val="Tabletext"/>
            </w:pPr>
            <w:r>
              <w:t>0.345</w:t>
            </w:r>
            <w:r>
              <w:rPr>
                <w:spacing w:val="-1"/>
              </w:rPr>
              <w:t xml:space="preserve"> </w:t>
            </w:r>
            <w:r>
              <w:t>(p</w:t>
            </w:r>
            <w:r>
              <w:rPr>
                <w:spacing w:val="1"/>
              </w:rPr>
              <w:t xml:space="preserve"> </w:t>
            </w:r>
            <w:r>
              <w:t>&lt;</w:t>
            </w:r>
            <w:r>
              <w:rPr>
                <w:spacing w:val="-1"/>
              </w:rPr>
              <w:t xml:space="preserve"> </w:t>
            </w:r>
            <w:r>
              <w:t>0.0001)</w:t>
            </w:r>
          </w:p>
        </w:tc>
      </w:tr>
      <w:tr w:rsidR="000E6442" w14:paraId="7BE7E8AC" w14:textId="77777777" w:rsidTr="00F73C61">
        <w:trPr>
          <w:trHeight w:val="264"/>
        </w:trPr>
        <w:tc>
          <w:tcPr>
            <w:tcW w:w="5000" w:type="pct"/>
            <w:gridSpan w:val="3"/>
            <w:hideMark/>
          </w:tcPr>
          <w:p w14:paraId="3989F0CE" w14:textId="0A64EBEF" w:rsidR="000E6442" w:rsidRPr="000E6442" w:rsidRDefault="000E6442" w:rsidP="00EB7AA3">
            <w:pPr>
              <w:pStyle w:val="Tabletext"/>
              <w:rPr>
                <w:rFonts w:ascii="Times New Roman" w:hAnsi="Times New Roman"/>
                <w:b/>
                <w:bCs/>
                <w:sz w:val="18"/>
                <w:szCs w:val="18"/>
              </w:rPr>
            </w:pPr>
            <w:r w:rsidRPr="000E6442">
              <w:rPr>
                <w:b/>
                <w:bCs/>
              </w:rPr>
              <w:t>Overall Survival</w:t>
            </w:r>
            <w:r w:rsidRPr="000E6442">
              <w:rPr>
                <w:b/>
                <w:bCs/>
                <w:spacing w:val="-1"/>
              </w:rPr>
              <w:t xml:space="preserve"> </w:t>
            </w:r>
            <w:r w:rsidRPr="000E6442">
              <w:rPr>
                <w:b/>
                <w:bCs/>
              </w:rPr>
              <w:t>in</w:t>
            </w:r>
            <w:r w:rsidRPr="000E6442">
              <w:rPr>
                <w:b/>
                <w:bCs/>
                <w:spacing w:val="1"/>
              </w:rPr>
              <w:t xml:space="preserve"> </w:t>
            </w:r>
            <w:r w:rsidRPr="000E6442">
              <w:rPr>
                <w:b/>
                <w:bCs/>
              </w:rPr>
              <w:t>FLT3</w:t>
            </w:r>
          </w:p>
        </w:tc>
      </w:tr>
      <w:tr w:rsidR="00F97336" w14:paraId="17F3B2B8" w14:textId="77777777" w:rsidTr="00F73C61">
        <w:trPr>
          <w:trHeight w:val="243"/>
        </w:trPr>
        <w:tc>
          <w:tcPr>
            <w:tcW w:w="2379" w:type="pct"/>
            <w:hideMark/>
          </w:tcPr>
          <w:p w14:paraId="0AD60686" w14:textId="77777777" w:rsidR="00F97336" w:rsidRDefault="00F97336" w:rsidP="00EB7AA3">
            <w:pPr>
              <w:pStyle w:val="Tabletext"/>
            </w:pPr>
            <w:r>
              <w:t>Number</w:t>
            </w:r>
            <w:r>
              <w:rPr>
                <w:spacing w:val="-1"/>
              </w:rPr>
              <w:t xml:space="preserve"> </w:t>
            </w:r>
            <w:r>
              <w:t>of</w:t>
            </w:r>
            <w:r>
              <w:rPr>
                <w:spacing w:val="-2"/>
              </w:rPr>
              <w:t xml:space="preserve"> </w:t>
            </w:r>
            <w:r>
              <w:t>patients</w:t>
            </w:r>
            <w:r>
              <w:rPr>
                <w:spacing w:val="-1"/>
              </w:rPr>
              <w:t xml:space="preserve"> </w:t>
            </w:r>
            <w:r>
              <w:t>with events;</w:t>
            </w:r>
            <w:r>
              <w:rPr>
                <w:spacing w:val="-1"/>
              </w:rPr>
              <w:t xml:space="preserve"> </w:t>
            </w:r>
            <w:r>
              <w:t>n/N</w:t>
            </w:r>
          </w:p>
        </w:tc>
        <w:tc>
          <w:tcPr>
            <w:tcW w:w="1330" w:type="pct"/>
            <w:hideMark/>
          </w:tcPr>
          <w:p w14:paraId="4FC4F5DB" w14:textId="77777777" w:rsidR="00F97336" w:rsidRDefault="00F97336" w:rsidP="00EB7AA3">
            <w:pPr>
              <w:pStyle w:val="Tabletext"/>
            </w:pPr>
            <w:r>
              <w:t>19/22</w:t>
            </w:r>
          </w:p>
        </w:tc>
        <w:tc>
          <w:tcPr>
            <w:tcW w:w="1291" w:type="pct"/>
            <w:hideMark/>
          </w:tcPr>
          <w:p w14:paraId="5218AEB8" w14:textId="77777777" w:rsidR="00F97336" w:rsidRDefault="00F97336" w:rsidP="00EB7AA3">
            <w:pPr>
              <w:pStyle w:val="Tabletext"/>
            </w:pPr>
            <w:r>
              <w:t>19/29</w:t>
            </w:r>
          </w:p>
        </w:tc>
      </w:tr>
      <w:tr w:rsidR="00F97336" w14:paraId="5487717B" w14:textId="77777777" w:rsidTr="00F73C61">
        <w:trPr>
          <w:trHeight w:val="243"/>
        </w:trPr>
        <w:tc>
          <w:tcPr>
            <w:tcW w:w="2379" w:type="pct"/>
            <w:hideMark/>
          </w:tcPr>
          <w:p w14:paraId="7B1C0991" w14:textId="77777777" w:rsidR="00F97336" w:rsidRDefault="00F97336" w:rsidP="00EB7AA3">
            <w:pPr>
              <w:pStyle w:val="Tabletext"/>
            </w:pPr>
            <w:r>
              <w:t>Median OS months</w:t>
            </w:r>
            <w:r>
              <w:rPr>
                <w:spacing w:val="-1"/>
              </w:rPr>
              <w:t xml:space="preserve"> </w:t>
            </w:r>
            <w:r>
              <w:t>(95%</w:t>
            </w:r>
            <w:r>
              <w:rPr>
                <w:spacing w:val="-2"/>
              </w:rPr>
              <w:t xml:space="preserve"> </w:t>
            </w:r>
            <w:r>
              <w:t>CI)</w:t>
            </w:r>
          </w:p>
        </w:tc>
        <w:tc>
          <w:tcPr>
            <w:tcW w:w="1330" w:type="pct"/>
            <w:hideMark/>
          </w:tcPr>
          <w:p w14:paraId="7DA7FFE0" w14:textId="77777777" w:rsidR="00F97336" w:rsidRDefault="00F97336" w:rsidP="00EB7AA3">
            <w:pPr>
              <w:pStyle w:val="Tabletext"/>
            </w:pPr>
            <w:r>
              <w:t>8.6</w:t>
            </w:r>
            <w:r>
              <w:rPr>
                <w:spacing w:val="-1"/>
              </w:rPr>
              <w:t xml:space="preserve"> </w:t>
            </w:r>
            <w:r>
              <w:t>(5.9,</w:t>
            </w:r>
            <w:r>
              <w:rPr>
                <w:spacing w:val="1"/>
              </w:rPr>
              <w:t xml:space="preserve"> </w:t>
            </w:r>
            <w:r>
              <w:t>14.7)</w:t>
            </w:r>
          </w:p>
        </w:tc>
        <w:tc>
          <w:tcPr>
            <w:tcW w:w="1291" w:type="pct"/>
            <w:hideMark/>
          </w:tcPr>
          <w:p w14:paraId="31102C7C" w14:textId="77777777" w:rsidR="00F97336" w:rsidRDefault="00F97336" w:rsidP="00EB7AA3">
            <w:pPr>
              <w:pStyle w:val="Tabletext"/>
            </w:pPr>
            <w:r>
              <w:t>12.7</w:t>
            </w:r>
            <w:r>
              <w:rPr>
                <w:spacing w:val="-1"/>
              </w:rPr>
              <w:t xml:space="preserve"> </w:t>
            </w:r>
            <w:r>
              <w:t>(7.3,</w:t>
            </w:r>
            <w:r>
              <w:rPr>
                <w:spacing w:val="1"/>
              </w:rPr>
              <w:t xml:space="preserve"> </w:t>
            </w:r>
            <w:r>
              <w:t>23.5)</w:t>
            </w:r>
          </w:p>
        </w:tc>
      </w:tr>
      <w:tr w:rsidR="00F97336" w14:paraId="27A83BF4" w14:textId="77777777" w:rsidTr="00F73C61">
        <w:trPr>
          <w:trHeight w:val="224"/>
        </w:trPr>
        <w:tc>
          <w:tcPr>
            <w:tcW w:w="2379" w:type="pct"/>
            <w:hideMark/>
          </w:tcPr>
          <w:p w14:paraId="6B194CC1" w14:textId="77777777" w:rsidR="00F97336" w:rsidRDefault="00F97336" w:rsidP="00EB7AA3">
            <w:pPr>
              <w:pStyle w:val="Tabletext"/>
            </w:pPr>
            <w:r>
              <w:t>HR</w:t>
            </w:r>
            <w:r>
              <w:rPr>
                <w:spacing w:val="-2"/>
              </w:rPr>
              <w:t xml:space="preserve"> </w:t>
            </w:r>
            <w:r>
              <w:t>(p-value</w:t>
            </w:r>
            <w:r>
              <w:rPr>
                <w:spacing w:val="-2"/>
              </w:rPr>
              <w:t xml:space="preserve"> </w:t>
            </w:r>
            <w:r>
              <w:t>from</w:t>
            </w:r>
            <w:r>
              <w:rPr>
                <w:spacing w:val="-2"/>
              </w:rPr>
              <w:t xml:space="preserve"> </w:t>
            </w:r>
            <w:r>
              <w:t>unstratified log-rank test)</w:t>
            </w:r>
          </w:p>
        </w:tc>
        <w:tc>
          <w:tcPr>
            <w:tcW w:w="2621" w:type="pct"/>
            <w:gridSpan w:val="2"/>
            <w:hideMark/>
          </w:tcPr>
          <w:p w14:paraId="44A2767C" w14:textId="77777777" w:rsidR="00F97336" w:rsidRDefault="00F97336" w:rsidP="00EB7AA3">
            <w:pPr>
              <w:pStyle w:val="Tabletext"/>
            </w:pPr>
            <w:r>
              <w:t>0.664</w:t>
            </w:r>
            <w:r>
              <w:rPr>
                <w:spacing w:val="-1"/>
              </w:rPr>
              <w:t xml:space="preserve"> </w:t>
            </w:r>
            <w:r>
              <w:t>(p</w:t>
            </w:r>
            <w:r>
              <w:rPr>
                <w:spacing w:val="1"/>
              </w:rPr>
              <w:t xml:space="preserve"> </w:t>
            </w:r>
            <w:r>
              <w:t>=</w:t>
            </w:r>
            <w:r>
              <w:rPr>
                <w:spacing w:val="-1"/>
              </w:rPr>
              <w:t xml:space="preserve"> </w:t>
            </w:r>
            <w:r>
              <w:t>0.2054)</w:t>
            </w:r>
          </w:p>
        </w:tc>
      </w:tr>
    </w:tbl>
    <w:p w14:paraId="3FB23543" w14:textId="77777777" w:rsidR="00D1635F" w:rsidRDefault="00D1635F" w:rsidP="00D1635F">
      <w:pPr>
        <w:pStyle w:val="Tabletext"/>
      </w:pPr>
      <w:r w:rsidRPr="00D1635F">
        <w:lastRenderedPageBreak/>
        <w:t xml:space="preserve">AZA = </w:t>
      </w:r>
      <w:proofErr w:type="spellStart"/>
      <w:r w:rsidRPr="00D1635F">
        <w:t>azacitidine</w:t>
      </w:r>
      <w:proofErr w:type="spellEnd"/>
      <w:r w:rsidRPr="00D1635F">
        <w:t xml:space="preserve">; CI = confidence interval; CR = complete remission; </w:t>
      </w:r>
      <w:proofErr w:type="spellStart"/>
      <w:r w:rsidRPr="00D1635F">
        <w:t>CRh</w:t>
      </w:r>
      <w:proofErr w:type="spellEnd"/>
      <w:r w:rsidRPr="00D1635F">
        <w:t xml:space="preserve"> = complete remission with partial hematologic recovery; FLT3 = FMS-like tyrosine kinase 3; IDH = isocitrate dehydrogenase; N = sample size; n = number of patients; NR = not reached; RBC = red blood cell; VEN = </w:t>
      </w:r>
      <w:proofErr w:type="spellStart"/>
      <w:r w:rsidRPr="00D1635F">
        <w:t>venetoclax</w:t>
      </w:r>
      <w:proofErr w:type="spellEnd"/>
    </w:p>
    <w:p w14:paraId="700A72F8" w14:textId="2E1F94DD" w:rsidR="00F97336" w:rsidRDefault="00D1635F" w:rsidP="00D1635F">
      <w:pPr>
        <w:pStyle w:val="Tabletext"/>
      </w:pPr>
      <w:r w:rsidRPr="00D1635F">
        <w:t xml:space="preserve">Data </w:t>
      </w:r>
      <w:proofErr w:type="spellStart"/>
      <w:r w:rsidRPr="00D1635F">
        <w:t>cutoff</w:t>
      </w:r>
      <w:proofErr w:type="spellEnd"/>
      <w:r w:rsidRPr="00D1635F">
        <w:t xml:space="preserve"> 04 January 2020</w:t>
      </w:r>
      <w:r w:rsidR="00F73C61">
        <w:t>.</w:t>
      </w:r>
    </w:p>
    <w:p w14:paraId="7196918C" w14:textId="33542EC2" w:rsidR="00D1635F" w:rsidRDefault="00D1635F" w:rsidP="00D1635F">
      <w:r w:rsidRPr="00D1635F">
        <w:t>The best haematological res</w:t>
      </w:r>
      <w:r w:rsidR="00264BBA">
        <w:t xml:space="preserve">ponse data are summarised below </w:t>
      </w:r>
      <w:r w:rsidR="00F73C61">
        <w:t xml:space="preserve">in </w:t>
      </w:r>
      <w:r w:rsidR="00F73C61">
        <w:fldChar w:fldCharType="begin"/>
      </w:r>
      <w:r w:rsidR="00F73C61">
        <w:instrText xml:space="preserve"> REF _Ref99099810 \h </w:instrText>
      </w:r>
      <w:r w:rsidR="00F73C61">
        <w:fldChar w:fldCharType="separate"/>
      </w:r>
      <w:r w:rsidR="00211D51" w:rsidRPr="00D1635F">
        <w:t xml:space="preserve">Table </w:t>
      </w:r>
      <w:r w:rsidR="00211D51">
        <w:rPr>
          <w:noProof/>
        </w:rPr>
        <w:t>10</w:t>
      </w:r>
      <w:r w:rsidR="00F73C61">
        <w:fldChar w:fldCharType="end"/>
      </w:r>
      <w:r w:rsidR="00F73C61">
        <w:t>.</w:t>
      </w:r>
    </w:p>
    <w:p w14:paraId="61158083" w14:textId="5EA1F3DA" w:rsidR="00D1635F" w:rsidRDefault="00D1635F" w:rsidP="00D1635F">
      <w:pPr>
        <w:pStyle w:val="TableTitle"/>
      </w:pPr>
      <w:bookmarkStart w:id="54" w:name="_Ref99099810"/>
      <w:r w:rsidRPr="00D1635F">
        <w:t xml:space="preserve">Table </w:t>
      </w:r>
      <w:fldSimple w:instr=" SEQ Table \* ARABIC ">
        <w:r w:rsidR="007E2134">
          <w:rPr>
            <w:noProof/>
          </w:rPr>
          <w:t>10</w:t>
        </w:r>
      </w:fldSimple>
      <w:bookmarkEnd w:id="54"/>
      <w:r>
        <w:t>: VIALE-A trial Best overall response</w:t>
      </w:r>
    </w:p>
    <w:p w14:paraId="5BFBCC1D" w14:textId="285F06E8" w:rsidR="00D1635F" w:rsidRDefault="00D1635F" w:rsidP="00D1635F">
      <w:r>
        <w:rPr>
          <w:noProof/>
          <w:lang w:val="en-GB" w:eastAsia="en-GB"/>
        </w:rPr>
        <w:drawing>
          <wp:inline distT="0" distB="0" distL="0" distR="0" wp14:anchorId="6B066DEB" wp14:editId="3E6530A4">
            <wp:extent cx="5200136" cy="2588895"/>
            <wp:effectExtent l="0" t="0" r="635" b="1905"/>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8">
                      <a:lum bright="-20000" contrast="40000"/>
                      <a:extLst>
                        <a:ext uri="{28A0092B-C50C-407E-A947-70E740481C1C}">
                          <a14:useLocalDpi xmlns:a14="http://schemas.microsoft.com/office/drawing/2010/main" val="0"/>
                        </a:ext>
                      </a:extLst>
                    </a:blip>
                    <a:srcRect l="1236" t="2435" r="1096" b="25756"/>
                    <a:stretch/>
                  </pic:blipFill>
                  <pic:spPr bwMode="auto">
                    <a:xfrm>
                      <a:off x="0" y="0"/>
                      <a:ext cx="5201490" cy="2589569"/>
                    </a:xfrm>
                    <a:prstGeom prst="rect">
                      <a:avLst/>
                    </a:prstGeom>
                    <a:noFill/>
                    <a:ln>
                      <a:noFill/>
                    </a:ln>
                    <a:extLst>
                      <a:ext uri="{53640926-AAD7-44D8-BBD7-CCE9431645EC}">
                        <a14:shadowObscured xmlns:a14="http://schemas.microsoft.com/office/drawing/2010/main"/>
                      </a:ext>
                    </a:extLst>
                  </pic:spPr>
                </pic:pic>
              </a:graphicData>
            </a:graphic>
          </wp:inline>
        </w:drawing>
      </w:r>
    </w:p>
    <w:p w14:paraId="6098C2D4" w14:textId="4000B5AD" w:rsidR="00D1635F" w:rsidRDefault="00D1635F" w:rsidP="00A6485F">
      <w:pPr>
        <w:pStyle w:val="TableDescription"/>
      </w:pPr>
      <w:r>
        <w:t xml:space="preserve">AZA = </w:t>
      </w:r>
      <w:proofErr w:type="spellStart"/>
      <w:r>
        <w:t>azacitidine</w:t>
      </w:r>
      <w:proofErr w:type="spellEnd"/>
      <w:r>
        <w:t xml:space="preserve">; CI = confidence interval; CR = complete remission; </w:t>
      </w:r>
      <w:proofErr w:type="spellStart"/>
      <w:r>
        <w:t>CRh</w:t>
      </w:r>
      <w:proofErr w:type="spellEnd"/>
      <w:r>
        <w:t xml:space="preserve"> = complete remission with partial h</w:t>
      </w:r>
      <w:r w:rsidR="00264BBA">
        <w:t>a</w:t>
      </w:r>
      <w:r>
        <w:t>ematologic recovery; IVRS = interactive voice response system; IWRS = interactive web response system; N = sample size; n = number of patient</w:t>
      </w:r>
      <w:r w:rsidR="00DC5D42">
        <w:t>s</w:t>
      </w:r>
      <w:r>
        <w:t xml:space="preserve">; PBO = placebo; SD = standard deviation; VEN = </w:t>
      </w:r>
      <w:proofErr w:type="spellStart"/>
      <w:r>
        <w:t>venetoclax</w:t>
      </w:r>
      <w:proofErr w:type="spellEnd"/>
    </w:p>
    <w:p w14:paraId="02FEAC27" w14:textId="2A8F0316" w:rsidR="00D1635F" w:rsidRDefault="00D1635F" w:rsidP="00A6485F">
      <w:pPr>
        <w:pStyle w:val="TableDescription"/>
      </w:pPr>
      <w:r>
        <w:t>a P-value is from Cochran-Mantel-Haenszel test stratified by age</w:t>
      </w:r>
      <w:r w:rsidR="00A6485F">
        <w:t xml:space="preserve"> (18 to &lt; 75, ≥ 75) and cytogenetics (intermediate risk, poor risk) from IVRS/IWRS.</w:t>
      </w:r>
    </w:p>
    <w:p w14:paraId="4B763CFB" w14:textId="33CABADE" w:rsidR="00A6485F" w:rsidRDefault="00A6485F" w:rsidP="00A6485F">
      <w:pPr>
        <w:pStyle w:val="TableDescription"/>
      </w:pPr>
      <w:r>
        <w:t>b 95% confidence interval is from the exact binomial distribution.</w:t>
      </w:r>
    </w:p>
    <w:p w14:paraId="036F9E0F" w14:textId="11A1EADA" w:rsidR="00A6485F" w:rsidRDefault="00A6485F" w:rsidP="00A6485F">
      <w:pPr>
        <w:pStyle w:val="TableDescription"/>
      </w:pPr>
      <w:r>
        <w:t>Note: ***, **, * at p = 0.001, 0.01, 0.05 levels, respectively</w:t>
      </w:r>
    </w:p>
    <w:p w14:paraId="0BBB7821" w14:textId="5FC81886" w:rsidR="00A6485F" w:rsidRDefault="00A6485F" w:rsidP="00A6485F">
      <w:pPr>
        <w:pStyle w:val="TableDescription"/>
      </w:pPr>
      <w:r>
        <w:t xml:space="preserve">Note: Data included are subject to a </w:t>
      </w:r>
      <w:proofErr w:type="spellStart"/>
      <w:r>
        <w:t>cutoff</w:t>
      </w:r>
      <w:proofErr w:type="spellEnd"/>
      <w:r>
        <w:t xml:space="preserve"> date of 4 January 2020</w:t>
      </w:r>
    </w:p>
    <w:p w14:paraId="42F25E39" w14:textId="5CBABD3B" w:rsidR="00A6485F" w:rsidRPr="00D8772C" w:rsidRDefault="00427622" w:rsidP="00D8772C">
      <w:pPr>
        <w:pStyle w:val="Heading5"/>
      </w:pPr>
      <w:r w:rsidRPr="00D8772C">
        <w:t xml:space="preserve">Study </w:t>
      </w:r>
      <w:r w:rsidR="00A6485F" w:rsidRPr="00D8772C">
        <w:t>M14-358</w:t>
      </w:r>
    </w:p>
    <w:p w14:paraId="3E77054B" w14:textId="79602E1A" w:rsidR="00A6485F" w:rsidRDefault="00A6485F" w:rsidP="00A6485F">
      <w:pPr>
        <w:rPr>
          <w:rFonts w:asciiTheme="minorHAnsi" w:hAnsiTheme="minorHAnsi"/>
        </w:rPr>
      </w:pPr>
      <w:r>
        <w:rPr>
          <w:rFonts w:asciiTheme="minorHAnsi" w:hAnsiTheme="minorHAnsi"/>
        </w:rPr>
        <w:t xml:space="preserve">Study M14-358 is an ongoing Phase </w:t>
      </w:r>
      <w:proofErr w:type="spellStart"/>
      <w:r>
        <w:rPr>
          <w:rFonts w:asciiTheme="minorHAnsi" w:hAnsiTheme="minorHAnsi"/>
        </w:rPr>
        <w:t>Ib</w:t>
      </w:r>
      <w:proofErr w:type="spellEnd"/>
      <w:r>
        <w:rPr>
          <w:rFonts w:asciiTheme="minorHAnsi" w:hAnsiTheme="minorHAnsi"/>
        </w:rPr>
        <w:t xml:space="preserve">, single arm trial multicentre, multinational, to evaluate the efficacy, PK, and safety of orally administered </w:t>
      </w:r>
      <w:proofErr w:type="spellStart"/>
      <w:r>
        <w:rPr>
          <w:rFonts w:asciiTheme="minorHAnsi" w:hAnsiTheme="minorHAnsi"/>
        </w:rPr>
        <w:t>venetoclax</w:t>
      </w:r>
      <w:proofErr w:type="spellEnd"/>
      <w:r>
        <w:rPr>
          <w:rFonts w:asciiTheme="minorHAnsi" w:hAnsiTheme="minorHAnsi"/>
        </w:rPr>
        <w:t xml:space="preserve"> combined with </w:t>
      </w:r>
      <w:proofErr w:type="spellStart"/>
      <w:r w:rsidR="00427622" w:rsidRPr="00427622">
        <w:rPr>
          <w:rFonts w:asciiTheme="minorHAnsi" w:hAnsiTheme="minorHAnsi"/>
        </w:rPr>
        <w:t>azacitidine</w:t>
      </w:r>
      <w:proofErr w:type="spellEnd"/>
      <w:r>
        <w:rPr>
          <w:rFonts w:asciiTheme="minorHAnsi" w:hAnsiTheme="minorHAnsi"/>
        </w:rPr>
        <w:t xml:space="preserve"> or decitabine, respectively, in newly diagnosed patients with AML with intermediate or poor</w:t>
      </w:r>
      <w:r w:rsidR="003347C7">
        <w:rPr>
          <w:rFonts w:asciiTheme="minorHAnsi" w:hAnsiTheme="minorHAnsi"/>
        </w:rPr>
        <w:t xml:space="preserve"> </w:t>
      </w:r>
      <w:r>
        <w:rPr>
          <w:rFonts w:asciiTheme="minorHAnsi" w:hAnsiTheme="minorHAnsi"/>
        </w:rPr>
        <w:t xml:space="preserve">risk </w:t>
      </w:r>
      <w:proofErr w:type="spellStart"/>
      <w:r>
        <w:rPr>
          <w:rFonts w:asciiTheme="minorHAnsi" w:hAnsiTheme="minorHAnsi"/>
        </w:rPr>
        <w:t>cytogenics</w:t>
      </w:r>
      <w:proofErr w:type="spellEnd"/>
      <w:r>
        <w:rPr>
          <w:rFonts w:asciiTheme="minorHAnsi" w:hAnsiTheme="minorHAnsi"/>
        </w:rPr>
        <w:t xml:space="preserve"> </w:t>
      </w:r>
      <w:r w:rsidR="000E22E5">
        <w:rPr>
          <w:rFonts w:asciiTheme="minorHAnsi" w:hAnsiTheme="minorHAnsi"/>
        </w:rPr>
        <w:t>greater or equal to</w:t>
      </w:r>
      <w:r>
        <w:rPr>
          <w:rFonts w:asciiTheme="minorHAnsi" w:hAnsiTheme="minorHAnsi"/>
        </w:rPr>
        <w:t xml:space="preserve"> 60 years of age and who are not eligible for standard induction therapy due to comorbidity or other factors. The study had a dose escalation initial stage (n = 45), followed by a dose expansion stage in two parts: Expansion 1 with patients aged </w:t>
      </w:r>
      <w:r w:rsidR="000E22E5">
        <w:rPr>
          <w:rFonts w:asciiTheme="minorHAnsi" w:hAnsiTheme="minorHAnsi"/>
        </w:rPr>
        <w:t>greater or equal to</w:t>
      </w:r>
      <w:r>
        <w:rPr>
          <w:rFonts w:asciiTheme="minorHAnsi" w:hAnsiTheme="minorHAnsi"/>
        </w:rPr>
        <w:t xml:space="preserve"> 65 years</w:t>
      </w:r>
      <w:r w:rsidR="00EC3338">
        <w:rPr>
          <w:rFonts w:asciiTheme="minorHAnsi" w:hAnsiTheme="minorHAnsi"/>
        </w:rPr>
        <w:t xml:space="preserve"> (n = 25, each group treated with 400 mg or 800 mg of </w:t>
      </w:r>
      <w:proofErr w:type="spellStart"/>
      <w:r w:rsidR="00EC3338">
        <w:rPr>
          <w:rFonts w:asciiTheme="minorHAnsi" w:hAnsiTheme="minorHAnsi"/>
        </w:rPr>
        <w:t>venetoclax</w:t>
      </w:r>
      <w:proofErr w:type="spellEnd"/>
      <w:r w:rsidR="00EC3338">
        <w:rPr>
          <w:rFonts w:asciiTheme="minorHAnsi" w:hAnsiTheme="minorHAnsi"/>
        </w:rPr>
        <w:t>, in combination with</w:t>
      </w:r>
      <w:r>
        <w:rPr>
          <w:rFonts w:asciiTheme="minorHAnsi" w:hAnsiTheme="minorHAnsi"/>
        </w:rPr>
        <w:t xml:space="preserve"> </w:t>
      </w:r>
      <w:proofErr w:type="spellStart"/>
      <w:r w:rsidR="00427622" w:rsidRPr="00427622">
        <w:rPr>
          <w:rFonts w:asciiTheme="minorHAnsi" w:hAnsiTheme="minorHAnsi"/>
        </w:rPr>
        <w:t>azacitidine</w:t>
      </w:r>
      <w:proofErr w:type="spellEnd"/>
      <w:r>
        <w:rPr>
          <w:rFonts w:asciiTheme="minorHAnsi" w:hAnsiTheme="minorHAnsi"/>
        </w:rPr>
        <w:t xml:space="preserve"> or </w:t>
      </w:r>
      <w:r w:rsidR="00F73C61">
        <w:rPr>
          <w:rFonts w:asciiTheme="minorHAnsi" w:hAnsiTheme="minorHAnsi"/>
        </w:rPr>
        <w:t>decitabine</w:t>
      </w:r>
      <w:r>
        <w:rPr>
          <w:rFonts w:asciiTheme="minorHAnsi" w:hAnsiTheme="minorHAnsi"/>
        </w:rPr>
        <w:t xml:space="preserve">); Expansion 2 with patients aged </w:t>
      </w:r>
      <w:r w:rsidR="000E22E5">
        <w:rPr>
          <w:rFonts w:asciiTheme="minorHAnsi" w:hAnsiTheme="minorHAnsi"/>
        </w:rPr>
        <w:t>greater or equal to</w:t>
      </w:r>
      <w:r>
        <w:rPr>
          <w:rFonts w:asciiTheme="minorHAnsi" w:hAnsiTheme="minorHAnsi"/>
        </w:rPr>
        <w:t xml:space="preserve"> 60 years,</w:t>
      </w:r>
      <w:r w:rsidR="00EC3338">
        <w:rPr>
          <w:rFonts w:asciiTheme="minorHAnsi" w:hAnsiTheme="minorHAnsi"/>
        </w:rPr>
        <w:t xml:space="preserve"> fulfilling Ferrara criteria (n = </w:t>
      </w:r>
      <w:r>
        <w:rPr>
          <w:rFonts w:asciiTheme="minorHAnsi" w:hAnsiTheme="minorHAnsi"/>
        </w:rPr>
        <w:t xml:space="preserve">55) taking </w:t>
      </w:r>
      <w:r w:rsidR="00EC3338">
        <w:rPr>
          <w:rFonts w:asciiTheme="minorHAnsi" w:hAnsiTheme="minorHAnsi"/>
        </w:rPr>
        <w:t xml:space="preserve">400 mg </w:t>
      </w:r>
      <w:proofErr w:type="spellStart"/>
      <w:r w:rsidR="00EC3338">
        <w:rPr>
          <w:rFonts w:asciiTheme="minorHAnsi" w:hAnsiTheme="minorHAnsi"/>
        </w:rPr>
        <w:t>venetoclax</w:t>
      </w:r>
      <w:proofErr w:type="spellEnd"/>
      <w:r w:rsidR="00EC3338">
        <w:rPr>
          <w:rFonts w:asciiTheme="minorHAnsi" w:hAnsiTheme="minorHAnsi"/>
        </w:rPr>
        <w:t xml:space="preserve">, </w:t>
      </w:r>
      <w:r>
        <w:rPr>
          <w:rFonts w:asciiTheme="minorHAnsi" w:hAnsiTheme="minorHAnsi"/>
        </w:rPr>
        <w:t xml:space="preserve">in combination of </w:t>
      </w:r>
      <w:proofErr w:type="spellStart"/>
      <w:r w:rsidR="00427622" w:rsidRPr="00427622">
        <w:rPr>
          <w:rFonts w:asciiTheme="minorHAnsi" w:hAnsiTheme="minorHAnsi"/>
        </w:rPr>
        <w:t>azacitidine</w:t>
      </w:r>
      <w:proofErr w:type="spellEnd"/>
      <w:r>
        <w:rPr>
          <w:rFonts w:asciiTheme="minorHAnsi" w:hAnsiTheme="minorHAnsi"/>
        </w:rPr>
        <w:t xml:space="preserve">. Those aged </w:t>
      </w:r>
      <w:r w:rsidR="000E22E5">
        <w:rPr>
          <w:rFonts w:asciiTheme="minorHAnsi" w:hAnsiTheme="minorHAnsi"/>
        </w:rPr>
        <w:t>greater or equal to</w:t>
      </w:r>
      <w:r>
        <w:rPr>
          <w:rFonts w:asciiTheme="minorHAnsi" w:hAnsiTheme="minorHAnsi"/>
        </w:rPr>
        <w:t xml:space="preserve"> 75 years could be ECOG </w:t>
      </w:r>
      <w:r w:rsidR="00264BBA">
        <w:rPr>
          <w:rFonts w:asciiTheme="minorHAnsi" w:hAnsiTheme="minorHAnsi"/>
        </w:rPr>
        <w:t xml:space="preserve">PS </w:t>
      </w:r>
      <w:r>
        <w:rPr>
          <w:rFonts w:asciiTheme="minorHAnsi" w:hAnsiTheme="minorHAnsi"/>
        </w:rPr>
        <w:t xml:space="preserve">status 0 </w:t>
      </w:r>
      <w:r w:rsidR="00427622">
        <w:rPr>
          <w:rFonts w:asciiTheme="minorHAnsi" w:hAnsiTheme="minorHAnsi"/>
        </w:rPr>
        <w:t>to</w:t>
      </w:r>
      <w:r>
        <w:rPr>
          <w:rFonts w:asciiTheme="minorHAnsi" w:hAnsiTheme="minorHAnsi"/>
        </w:rPr>
        <w:t xml:space="preserve"> 2,</w:t>
      </w:r>
      <w:r w:rsidR="00427622">
        <w:rPr>
          <w:rFonts w:asciiTheme="minorHAnsi" w:hAnsiTheme="minorHAnsi"/>
        </w:rPr>
        <w:fldChar w:fldCharType="begin"/>
      </w:r>
      <w:r w:rsidR="00427622">
        <w:rPr>
          <w:rFonts w:asciiTheme="minorHAnsi" w:hAnsiTheme="minorHAnsi"/>
        </w:rPr>
        <w:instrText xml:space="preserve"> NOTEREF _Ref98412282 \f \h </w:instrText>
      </w:r>
      <w:r w:rsidR="00427622">
        <w:rPr>
          <w:rFonts w:asciiTheme="minorHAnsi" w:hAnsiTheme="minorHAnsi"/>
        </w:rPr>
      </w:r>
      <w:r w:rsidR="00427622">
        <w:rPr>
          <w:rFonts w:asciiTheme="minorHAnsi" w:hAnsiTheme="minorHAnsi"/>
        </w:rPr>
        <w:fldChar w:fldCharType="separate"/>
      </w:r>
      <w:r w:rsidR="00211D51" w:rsidRPr="00211D51">
        <w:rPr>
          <w:rStyle w:val="FootnoteReference"/>
        </w:rPr>
        <w:t>7</w:t>
      </w:r>
      <w:r w:rsidR="00427622">
        <w:rPr>
          <w:rFonts w:asciiTheme="minorHAnsi" w:hAnsiTheme="minorHAnsi"/>
        </w:rPr>
        <w:fldChar w:fldCharType="end"/>
      </w:r>
      <w:r>
        <w:rPr>
          <w:rFonts w:asciiTheme="minorHAnsi" w:hAnsiTheme="minorHAnsi"/>
        </w:rPr>
        <w:t xml:space="preserve"> and those over </w:t>
      </w:r>
      <w:r w:rsidR="000E22E5">
        <w:rPr>
          <w:rFonts w:asciiTheme="minorHAnsi" w:hAnsiTheme="minorHAnsi"/>
        </w:rPr>
        <w:t>greater or equal to</w:t>
      </w:r>
      <w:r w:rsidR="00EC3338">
        <w:rPr>
          <w:rFonts w:asciiTheme="minorHAnsi" w:hAnsiTheme="minorHAnsi"/>
        </w:rPr>
        <w:t xml:space="preserve"> 60 </w:t>
      </w:r>
      <w:r>
        <w:rPr>
          <w:rFonts w:asciiTheme="minorHAnsi" w:hAnsiTheme="minorHAnsi"/>
        </w:rPr>
        <w:t xml:space="preserve">years but </w:t>
      </w:r>
      <w:r w:rsidR="000E22E5">
        <w:rPr>
          <w:rFonts w:asciiTheme="minorHAnsi" w:hAnsiTheme="minorHAnsi"/>
        </w:rPr>
        <w:t>younger than</w:t>
      </w:r>
      <w:r>
        <w:rPr>
          <w:rFonts w:asciiTheme="minorHAnsi" w:hAnsiTheme="minorHAnsi"/>
        </w:rPr>
        <w:t xml:space="preserve"> 75 years could be ECOG </w:t>
      </w:r>
      <w:r w:rsidR="00EC3338">
        <w:rPr>
          <w:rFonts w:asciiTheme="minorHAnsi" w:hAnsiTheme="minorHAnsi"/>
        </w:rPr>
        <w:t xml:space="preserve">PS </w:t>
      </w:r>
      <w:r w:rsidR="002A4E04">
        <w:rPr>
          <w:rFonts w:asciiTheme="minorHAnsi" w:hAnsiTheme="minorHAnsi"/>
        </w:rPr>
        <w:t xml:space="preserve">status </w:t>
      </w:r>
      <w:r>
        <w:rPr>
          <w:rFonts w:asciiTheme="minorHAnsi" w:hAnsiTheme="minorHAnsi"/>
        </w:rPr>
        <w:t>3.</w:t>
      </w:r>
      <w:r w:rsidR="00427622">
        <w:rPr>
          <w:rFonts w:asciiTheme="minorHAnsi" w:hAnsiTheme="minorHAnsi"/>
        </w:rPr>
        <w:fldChar w:fldCharType="begin"/>
      </w:r>
      <w:r w:rsidR="00427622">
        <w:rPr>
          <w:rFonts w:asciiTheme="minorHAnsi" w:hAnsiTheme="minorHAnsi"/>
        </w:rPr>
        <w:instrText xml:space="preserve"> NOTEREF _Ref98412282 \f \h </w:instrText>
      </w:r>
      <w:r w:rsidR="00427622">
        <w:rPr>
          <w:rFonts w:asciiTheme="minorHAnsi" w:hAnsiTheme="minorHAnsi"/>
        </w:rPr>
      </w:r>
      <w:r w:rsidR="00427622">
        <w:rPr>
          <w:rFonts w:asciiTheme="minorHAnsi" w:hAnsiTheme="minorHAnsi"/>
        </w:rPr>
        <w:fldChar w:fldCharType="separate"/>
      </w:r>
      <w:r w:rsidR="00211D51" w:rsidRPr="00211D51">
        <w:rPr>
          <w:rStyle w:val="FootnoteReference"/>
        </w:rPr>
        <w:t>7</w:t>
      </w:r>
      <w:r w:rsidR="00427622">
        <w:rPr>
          <w:rFonts w:asciiTheme="minorHAnsi" w:hAnsiTheme="minorHAnsi"/>
        </w:rPr>
        <w:fldChar w:fldCharType="end"/>
      </w:r>
      <w:r>
        <w:rPr>
          <w:rFonts w:asciiTheme="minorHAnsi" w:hAnsiTheme="minorHAnsi"/>
        </w:rPr>
        <w:t xml:space="preserve"> All required adequate renal and liver function. This study supported the provisional registration of </w:t>
      </w:r>
      <w:proofErr w:type="spellStart"/>
      <w:r>
        <w:rPr>
          <w:rFonts w:asciiTheme="minorHAnsi" w:hAnsiTheme="minorHAnsi"/>
        </w:rPr>
        <w:t>venetoclax</w:t>
      </w:r>
      <w:proofErr w:type="spellEnd"/>
      <w:r w:rsidR="00427622">
        <w:rPr>
          <w:rFonts w:asciiTheme="minorHAnsi" w:hAnsiTheme="minorHAnsi"/>
        </w:rPr>
        <w:t xml:space="preserve"> in combination with</w:t>
      </w:r>
      <w:r>
        <w:rPr>
          <w:rFonts w:asciiTheme="minorHAnsi" w:hAnsiTheme="minorHAnsi"/>
        </w:rPr>
        <w:t xml:space="preserve"> chemotherapy for AML.</w:t>
      </w:r>
    </w:p>
    <w:p w14:paraId="2AC32CA6" w14:textId="3D7EC6B2" w:rsidR="00A6485F" w:rsidRDefault="00A6485F" w:rsidP="00A6485F">
      <w:pPr>
        <w:rPr>
          <w:rFonts w:asciiTheme="minorHAnsi" w:hAnsiTheme="minorHAnsi"/>
        </w:rPr>
      </w:pPr>
      <w:r>
        <w:rPr>
          <w:rFonts w:asciiTheme="minorHAnsi" w:hAnsiTheme="minorHAnsi"/>
        </w:rPr>
        <w:t xml:space="preserve">In the 2018 data, the </w:t>
      </w:r>
      <w:r w:rsidR="00EC3338">
        <w:rPr>
          <w:rFonts w:asciiTheme="minorHAnsi" w:hAnsiTheme="minorHAnsi"/>
        </w:rPr>
        <w:t>complete remission (</w:t>
      </w:r>
      <w:r>
        <w:rPr>
          <w:rFonts w:asciiTheme="minorHAnsi" w:hAnsiTheme="minorHAnsi"/>
        </w:rPr>
        <w:t>CR</w:t>
      </w:r>
      <w:r w:rsidR="00EC3338">
        <w:rPr>
          <w:rFonts w:asciiTheme="minorHAnsi" w:hAnsiTheme="minorHAnsi"/>
        </w:rPr>
        <w:t>)</w:t>
      </w:r>
      <w:r>
        <w:rPr>
          <w:rFonts w:asciiTheme="minorHAnsi" w:hAnsiTheme="minorHAnsi"/>
        </w:rPr>
        <w:t xml:space="preserve"> rate for patients who met the modified Ferrara criteria and were treated with </w:t>
      </w:r>
      <w:proofErr w:type="spellStart"/>
      <w:r w:rsidR="00427622">
        <w:rPr>
          <w:rFonts w:asciiTheme="minorHAnsi" w:hAnsiTheme="minorHAnsi"/>
        </w:rPr>
        <w:t>venetoclax</w:t>
      </w:r>
      <w:proofErr w:type="spellEnd"/>
      <w:r w:rsidR="00427622">
        <w:rPr>
          <w:rFonts w:asciiTheme="minorHAnsi" w:hAnsiTheme="minorHAnsi"/>
        </w:rPr>
        <w:t xml:space="preserve"> in combination with </w:t>
      </w:r>
      <w:proofErr w:type="spellStart"/>
      <w:r w:rsidR="00427622" w:rsidRPr="00427622">
        <w:rPr>
          <w:rFonts w:asciiTheme="minorHAnsi" w:hAnsiTheme="minorHAnsi"/>
        </w:rPr>
        <w:t>azacitidine</w:t>
      </w:r>
      <w:proofErr w:type="spellEnd"/>
      <w:r>
        <w:rPr>
          <w:rFonts w:asciiTheme="minorHAnsi" w:hAnsiTheme="minorHAnsi"/>
        </w:rPr>
        <w:t xml:space="preserve"> was 37% and the CR</w:t>
      </w:r>
      <w:r w:rsidR="00036851">
        <w:rPr>
          <w:rFonts w:asciiTheme="minorHAnsi" w:hAnsiTheme="minorHAnsi"/>
        </w:rPr>
        <w:t xml:space="preserve"> plus </w:t>
      </w:r>
      <w:r w:rsidR="00EC3338">
        <w:rPr>
          <w:sz w:val="23"/>
          <w:szCs w:val="23"/>
        </w:rPr>
        <w:t>c</w:t>
      </w:r>
      <w:r w:rsidR="00EC3338" w:rsidRPr="00B74FCB">
        <w:rPr>
          <w:sz w:val="23"/>
          <w:szCs w:val="23"/>
        </w:rPr>
        <w:t>omplete remission with partial h</w:t>
      </w:r>
      <w:r w:rsidR="00EC3338">
        <w:rPr>
          <w:sz w:val="23"/>
          <w:szCs w:val="23"/>
        </w:rPr>
        <w:t>a</w:t>
      </w:r>
      <w:r w:rsidR="00EC3338" w:rsidRPr="00B74FCB">
        <w:rPr>
          <w:sz w:val="23"/>
          <w:szCs w:val="23"/>
        </w:rPr>
        <w:t>ematologic recovery</w:t>
      </w:r>
      <w:r w:rsidR="00EC3338">
        <w:rPr>
          <w:rFonts w:asciiTheme="minorHAnsi" w:hAnsiTheme="minorHAnsi"/>
        </w:rPr>
        <w:t xml:space="preserve"> (</w:t>
      </w:r>
      <w:proofErr w:type="spellStart"/>
      <w:r>
        <w:rPr>
          <w:rFonts w:asciiTheme="minorHAnsi" w:hAnsiTheme="minorHAnsi"/>
        </w:rPr>
        <w:t>CRh</w:t>
      </w:r>
      <w:proofErr w:type="spellEnd"/>
      <w:r w:rsidR="00EC3338">
        <w:rPr>
          <w:rFonts w:asciiTheme="minorHAnsi" w:hAnsiTheme="minorHAnsi"/>
        </w:rPr>
        <w:t>)</w:t>
      </w:r>
      <w:r>
        <w:rPr>
          <w:rFonts w:asciiTheme="minorHAnsi" w:hAnsiTheme="minorHAnsi"/>
        </w:rPr>
        <w:t xml:space="preserve"> rate </w:t>
      </w:r>
      <w:r>
        <w:rPr>
          <w:rFonts w:asciiTheme="minorHAnsi" w:hAnsiTheme="minorHAnsi"/>
        </w:rPr>
        <w:lastRenderedPageBreak/>
        <w:t xml:space="preserve">was 61.2%. For </w:t>
      </w:r>
      <w:proofErr w:type="spellStart"/>
      <w:r w:rsidR="00427622">
        <w:rPr>
          <w:rFonts w:asciiTheme="minorHAnsi" w:hAnsiTheme="minorHAnsi"/>
        </w:rPr>
        <w:t>venetoclax</w:t>
      </w:r>
      <w:proofErr w:type="spellEnd"/>
      <w:r w:rsidR="00427622">
        <w:rPr>
          <w:rFonts w:asciiTheme="minorHAnsi" w:hAnsiTheme="minorHAnsi"/>
        </w:rPr>
        <w:t xml:space="preserve"> in combination with decitabine</w:t>
      </w:r>
      <w:r>
        <w:rPr>
          <w:rFonts w:asciiTheme="minorHAnsi" w:hAnsiTheme="minorHAnsi"/>
        </w:rPr>
        <w:t>, the CR rate was 54% and the CR</w:t>
      </w:r>
      <w:r w:rsidR="00036851">
        <w:rPr>
          <w:rFonts w:asciiTheme="minorHAnsi" w:hAnsiTheme="minorHAnsi"/>
        </w:rPr>
        <w:t xml:space="preserve"> plus </w:t>
      </w:r>
      <w:proofErr w:type="spellStart"/>
      <w:r>
        <w:rPr>
          <w:rFonts w:asciiTheme="minorHAnsi" w:hAnsiTheme="minorHAnsi"/>
        </w:rPr>
        <w:t>CRh</w:t>
      </w:r>
      <w:proofErr w:type="spellEnd"/>
      <w:r>
        <w:rPr>
          <w:rFonts w:asciiTheme="minorHAnsi" w:hAnsiTheme="minorHAnsi"/>
        </w:rPr>
        <w:t xml:space="preserve"> rate was 61.5%.</w:t>
      </w:r>
    </w:p>
    <w:p w14:paraId="1C94AE0E" w14:textId="52CBB44E" w:rsidR="00A6485F" w:rsidRDefault="00A6485F" w:rsidP="00A6485F">
      <w:pPr>
        <w:rPr>
          <w:rFonts w:asciiTheme="minorHAnsi" w:hAnsiTheme="minorHAnsi"/>
        </w:rPr>
      </w:pPr>
      <w:r>
        <w:rPr>
          <w:rFonts w:asciiTheme="minorHAnsi" w:hAnsiTheme="minorHAnsi"/>
        </w:rPr>
        <w:t>In updated data from the 19 July 2019 data cut</w:t>
      </w:r>
      <w:r w:rsidR="00EC3338">
        <w:rPr>
          <w:rFonts w:asciiTheme="minorHAnsi" w:hAnsiTheme="minorHAnsi"/>
        </w:rPr>
        <w:t>-off</w:t>
      </w:r>
      <w:r>
        <w:rPr>
          <w:rFonts w:asciiTheme="minorHAnsi" w:hAnsiTheme="minorHAnsi"/>
        </w:rPr>
        <w:t xml:space="preserve">, the CR rate for </w:t>
      </w:r>
      <w:proofErr w:type="spellStart"/>
      <w:r w:rsidR="00427622">
        <w:rPr>
          <w:rFonts w:asciiTheme="minorHAnsi" w:hAnsiTheme="minorHAnsi"/>
        </w:rPr>
        <w:t>venetoclax</w:t>
      </w:r>
      <w:proofErr w:type="spellEnd"/>
      <w:r w:rsidR="00427622">
        <w:rPr>
          <w:rFonts w:asciiTheme="minorHAnsi" w:hAnsiTheme="minorHAnsi"/>
        </w:rPr>
        <w:t xml:space="preserve"> in combination with </w:t>
      </w:r>
      <w:proofErr w:type="spellStart"/>
      <w:r w:rsidR="00427622" w:rsidRPr="00427622">
        <w:rPr>
          <w:rFonts w:asciiTheme="minorHAnsi" w:hAnsiTheme="minorHAnsi"/>
        </w:rPr>
        <w:t>azacitidine</w:t>
      </w:r>
      <w:proofErr w:type="spellEnd"/>
      <w:r w:rsidR="00427622">
        <w:rPr>
          <w:rFonts w:asciiTheme="minorHAnsi" w:hAnsiTheme="minorHAnsi"/>
        </w:rPr>
        <w:t xml:space="preserve"> </w:t>
      </w:r>
      <w:r>
        <w:rPr>
          <w:rFonts w:asciiTheme="minorHAnsi" w:hAnsiTheme="minorHAnsi"/>
        </w:rPr>
        <w:t>is 43.3% and the CR</w:t>
      </w:r>
      <w:r w:rsidR="00036851">
        <w:rPr>
          <w:rFonts w:asciiTheme="minorHAnsi" w:hAnsiTheme="minorHAnsi"/>
        </w:rPr>
        <w:t xml:space="preserve"> plus </w:t>
      </w:r>
      <w:proofErr w:type="spellStart"/>
      <w:r>
        <w:rPr>
          <w:rFonts w:asciiTheme="minorHAnsi" w:hAnsiTheme="minorHAnsi"/>
        </w:rPr>
        <w:t>CRh</w:t>
      </w:r>
      <w:proofErr w:type="spellEnd"/>
      <w:r>
        <w:rPr>
          <w:rFonts w:asciiTheme="minorHAnsi" w:hAnsiTheme="minorHAnsi"/>
        </w:rPr>
        <w:t xml:space="preserve"> rate is 61.2%, indicating that with additional follow up, </w:t>
      </w:r>
      <w:r w:rsidR="00036851">
        <w:rPr>
          <w:rFonts w:asciiTheme="minorHAnsi" w:hAnsiTheme="minorHAnsi"/>
        </w:rPr>
        <w:t>three</w:t>
      </w:r>
      <w:r>
        <w:rPr>
          <w:rFonts w:asciiTheme="minorHAnsi" w:hAnsiTheme="minorHAnsi"/>
        </w:rPr>
        <w:t xml:space="preserve"> patients had continued count recovery meeting CR criteria from prior </w:t>
      </w:r>
      <w:proofErr w:type="spellStart"/>
      <w:r>
        <w:rPr>
          <w:rFonts w:asciiTheme="minorHAnsi" w:hAnsiTheme="minorHAnsi"/>
        </w:rPr>
        <w:t>CRh</w:t>
      </w:r>
      <w:proofErr w:type="spellEnd"/>
      <w:r>
        <w:rPr>
          <w:rFonts w:asciiTheme="minorHAnsi" w:hAnsiTheme="minorHAnsi"/>
        </w:rPr>
        <w:t xml:space="preserve"> determination. For </w:t>
      </w:r>
      <w:proofErr w:type="spellStart"/>
      <w:r w:rsidR="00427622">
        <w:rPr>
          <w:rFonts w:asciiTheme="minorHAnsi" w:hAnsiTheme="minorHAnsi"/>
        </w:rPr>
        <w:t>venetoclax</w:t>
      </w:r>
      <w:proofErr w:type="spellEnd"/>
      <w:r w:rsidR="00427622">
        <w:rPr>
          <w:rFonts w:asciiTheme="minorHAnsi" w:hAnsiTheme="minorHAnsi"/>
        </w:rPr>
        <w:t xml:space="preserve"> in combination with decitabine</w:t>
      </w:r>
      <w:r>
        <w:rPr>
          <w:rFonts w:asciiTheme="minorHAnsi" w:hAnsiTheme="minorHAnsi"/>
        </w:rPr>
        <w:t>, the CR rate is 53.8% and CR</w:t>
      </w:r>
      <w:r w:rsidR="00036851">
        <w:rPr>
          <w:rFonts w:asciiTheme="minorHAnsi" w:hAnsiTheme="minorHAnsi"/>
        </w:rPr>
        <w:t xml:space="preserve"> plus </w:t>
      </w:r>
      <w:proofErr w:type="spellStart"/>
      <w:r>
        <w:rPr>
          <w:rFonts w:asciiTheme="minorHAnsi" w:hAnsiTheme="minorHAnsi"/>
        </w:rPr>
        <w:t>CRh</w:t>
      </w:r>
      <w:proofErr w:type="spellEnd"/>
      <w:r>
        <w:rPr>
          <w:rFonts w:asciiTheme="minorHAnsi" w:hAnsiTheme="minorHAnsi"/>
        </w:rPr>
        <w:t xml:space="preserve"> rate is 61.5%, unchanged from the prior data cut. </w:t>
      </w:r>
      <w:r>
        <w:rPr>
          <w:rFonts w:asciiTheme="minorHAnsi" w:hAnsiTheme="minorHAnsi"/>
          <w:sz w:val="23"/>
          <w:szCs w:val="23"/>
        </w:rPr>
        <w:t xml:space="preserve">The median </w:t>
      </w:r>
      <w:r w:rsidR="00427622">
        <w:rPr>
          <w:rFonts w:asciiTheme="minorHAnsi" w:hAnsiTheme="minorHAnsi"/>
          <w:sz w:val="23"/>
          <w:szCs w:val="23"/>
        </w:rPr>
        <w:t xml:space="preserve">duration of </w:t>
      </w:r>
      <w:r>
        <w:rPr>
          <w:rFonts w:asciiTheme="minorHAnsi" w:hAnsiTheme="minorHAnsi"/>
          <w:sz w:val="23"/>
          <w:szCs w:val="23"/>
        </w:rPr>
        <w:t xml:space="preserve">CR for the </w:t>
      </w:r>
      <w:proofErr w:type="spellStart"/>
      <w:r>
        <w:rPr>
          <w:rFonts w:asciiTheme="minorHAnsi" w:hAnsiTheme="minorHAnsi"/>
          <w:sz w:val="23"/>
          <w:szCs w:val="23"/>
        </w:rPr>
        <w:t>azacitidine</w:t>
      </w:r>
      <w:proofErr w:type="spellEnd"/>
      <w:r>
        <w:rPr>
          <w:rFonts w:asciiTheme="minorHAnsi" w:hAnsiTheme="minorHAnsi"/>
          <w:sz w:val="23"/>
          <w:szCs w:val="23"/>
        </w:rPr>
        <w:t xml:space="preserve"> combination was 23.8 months (95% CI:</w:t>
      </w:r>
      <w:r w:rsidR="00EC3338">
        <w:rPr>
          <w:rFonts w:asciiTheme="minorHAnsi" w:hAnsiTheme="minorHAnsi"/>
          <w:sz w:val="23"/>
          <w:szCs w:val="23"/>
        </w:rPr>
        <w:t xml:space="preserve"> 15.4, upper bound</w:t>
      </w:r>
      <w:r w:rsidR="00427622">
        <w:rPr>
          <w:rFonts w:asciiTheme="minorHAnsi" w:hAnsiTheme="minorHAnsi"/>
          <w:sz w:val="23"/>
          <w:szCs w:val="23"/>
        </w:rPr>
        <w:t xml:space="preserve"> not reached</w:t>
      </w:r>
      <w:r>
        <w:rPr>
          <w:rFonts w:asciiTheme="minorHAnsi" w:hAnsiTheme="minorHAnsi"/>
          <w:sz w:val="23"/>
          <w:szCs w:val="23"/>
        </w:rPr>
        <w:t>) and for the decitabine combinati</w:t>
      </w:r>
      <w:r w:rsidR="00EC3338">
        <w:rPr>
          <w:rFonts w:asciiTheme="minorHAnsi" w:hAnsiTheme="minorHAnsi"/>
          <w:sz w:val="23"/>
          <w:szCs w:val="23"/>
        </w:rPr>
        <w:t xml:space="preserve">on was 12.7 months (95% CI: 1.4, upper bound </w:t>
      </w:r>
      <w:r w:rsidR="00427622">
        <w:rPr>
          <w:rFonts w:asciiTheme="minorHAnsi" w:hAnsiTheme="minorHAnsi"/>
          <w:sz w:val="23"/>
          <w:szCs w:val="23"/>
        </w:rPr>
        <w:t>not reached</w:t>
      </w:r>
      <w:r>
        <w:rPr>
          <w:rFonts w:asciiTheme="minorHAnsi" w:hAnsiTheme="minorHAnsi"/>
          <w:sz w:val="23"/>
          <w:szCs w:val="23"/>
        </w:rPr>
        <w:t>)</w:t>
      </w:r>
      <w:r w:rsidR="00427622">
        <w:rPr>
          <w:rFonts w:asciiTheme="minorHAnsi" w:hAnsiTheme="minorHAnsi"/>
          <w:sz w:val="23"/>
          <w:szCs w:val="23"/>
        </w:rPr>
        <w:t>.</w:t>
      </w:r>
    </w:p>
    <w:p w14:paraId="0EE60915" w14:textId="238AFCF6" w:rsidR="00A6485F" w:rsidRDefault="00A6485F" w:rsidP="00D8772C">
      <w:pPr>
        <w:pStyle w:val="Heading5"/>
      </w:pPr>
      <w:r>
        <w:t>VIALE-C</w:t>
      </w:r>
      <w:r w:rsidR="00427622">
        <w:t xml:space="preserve"> trial</w:t>
      </w:r>
    </w:p>
    <w:p w14:paraId="29F734BC" w14:textId="04AC5FDB" w:rsidR="00A6485F" w:rsidRDefault="00EC3338" w:rsidP="00427622">
      <w:r>
        <w:t xml:space="preserve">The </w:t>
      </w:r>
      <w:proofErr w:type="spellStart"/>
      <w:r w:rsidR="00A6485F">
        <w:t>Viale</w:t>
      </w:r>
      <w:proofErr w:type="spellEnd"/>
      <w:r w:rsidR="00A6485F">
        <w:t xml:space="preserve">-C </w:t>
      </w:r>
      <w:r w:rsidR="00427622">
        <w:t xml:space="preserve">trial </w:t>
      </w:r>
      <w:r w:rsidR="00A6485F">
        <w:t xml:space="preserve">was a multicentre, multinational, </w:t>
      </w:r>
      <w:r w:rsidR="00427622">
        <w:t>P</w:t>
      </w:r>
      <w:r w:rsidR="00A6485F">
        <w:t xml:space="preserve">hase </w:t>
      </w:r>
      <w:r w:rsidR="00427622">
        <w:t>III</w:t>
      </w:r>
      <w:r w:rsidR="00A6485F">
        <w:t>, randomised (2:1), double</w:t>
      </w:r>
      <w:r w:rsidR="00427622">
        <w:t xml:space="preserve"> </w:t>
      </w:r>
      <w:r w:rsidR="00A6485F">
        <w:t xml:space="preserve">blind, placebo controlled trial that compared </w:t>
      </w:r>
      <w:proofErr w:type="spellStart"/>
      <w:r w:rsidR="00A6485F">
        <w:t>venetoclax</w:t>
      </w:r>
      <w:proofErr w:type="spellEnd"/>
      <w:r w:rsidR="00427622">
        <w:t xml:space="preserve"> in combination with </w:t>
      </w:r>
      <w:r w:rsidR="00A6485F">
        <w:t>low dose cytarabine (n</w:t>
      </w:r>
      <w:r w:rsidR="00427622">
        <w:t xml:space="preserve"> </w:t>
      </w:r>
      <w:r w:rsidR="00A6485F">
        <w:t>=</w:t>
      </w:r>
      <w:r w:rsidR="00427622">
        <w:t xml:space="preserve"> </w:t>
      </w:r>
      <w:r w:rsidR="00A6485F">
        <w:t>143) v</w:t>
      </w:r>
      <w:r w:rsidR="00427622">
        <w:t>ersus</w:t>
      </w:r>
      <w:r w:rsidR="00A6485F">
        <w:t xml:space="preserve"> placebo </w:t>
      </w:r>
      <w:r w:rsidR="00427622">
        <w:t>in combination of</w:t>
      </w:r>
      <w:r w:rsidR="003347C7">
        <w:t xml:space="preserve"> low dose cytarabine</w:t>
      </w:r>
      <w:r w:rsidR="00A6485F">
        <w:t xml:space="preserve"> (n</w:t>
      </w:r>
      <w:r w:rsidR="00427622">
        <w:t xml:space="preserve"> </w:t>
      </w:r>
      <w:r w:rsidR="00A6485F">
        <w:t>=</w:t>
      </w:r>
      <w:r w:rsidR="00427622">
        <w:t xml:space="preserve"> </w:t>
      </w:r>
      <w:r w:rsidR="00A6485F">
        <w:t xml:space="preserve">68). Randomisation was stratified by AML status, </w:t>
      </w:r>
      <w:proofErr w:type="gramStart"/>
      <w:r w:rsidR="00A6485F">
        <w:t>age</w:t>
      </w:r>
      <w:proofErr w:type="gramEnd"/>
      <w:r w:rsidR="00A6485F">
        <w:t xml:space="preserve"> and region.</w:t>
      </w:r>
    </w:p>
    <w:p w14:paraId="0BAEDC6D" w14:textId="0EDBD29F" w:rsidR="00A6485F" w:rsidRDefault="00EC3338" w:rsidP="00427622">
      <w:r>
        <w:t xml:space="preserve">The </w:t>
      </w:r>
      <w:r w:rsidR="00A6485F">
        <w:t xml:space="preserve">VIALE-C </w:t>
      </w:r>
      <w:r w:rsidR="00427622">
        <w:t xml:space="preserve">trial </w:t>
      </w:r>
      <w:r w:rsidR="00A6485F">
        <w:t xml:space="preserve">was similar in design the patient </w:t>
      </w:r>
      <w:r w:rsidR="003347C7">
        <w:t>populations,</w:t>
      </w:r>
      <w:r w:rsidR="00A6485F">
        <w:t xml:space="preserve"> but the following are of note:</w:t>
      </w:r>
    </w:p>
    <w:p w14:paraId="4E4B0A0E" w14:textId="560C4F5A" w:rsidR="00A6485F" w:rsidRDefault="00A6485F" w:rsidP="00427622">
      <w:pPr>
        <w:pStyle w:val="ListBullet"/>
      </w:pPr>
      <w:r>
        <w:t>VIALE-A</w:t>
      </w:r>
      <w:r w:rsidR="00427622">
        <w:t xml:space="preserve"> trial</w:t>
      </w:r>
      <w:r>
        <w:t xml:space="preserve"> excluded patients with prior exposure to </w:t>
      </w:r>
      <w:r w:rsidR="006D65DF" w:rsidRPr="006D65DF">
        <w:t>hypomethylating agent</w:t>
      </w:r>
      <w:r w:rsidR="006D65DF">
        <w:t>s</w:t>
      </w:r>
      <w:r w:rsidR="006D65DF" w:rsidRPr="006D65DF">
        <w:t xml:space="preserve"> </w:t>
      </w:r>
      <w:r w:rsidR="006D65DF">
        <w:t>(</w:t>
      </w:r>
      <w:r>
        <w:t>HMA</w:t>
      </w:r>
      <w:r w:rsidR="006D65DF">
        <w:t>)</w:t>
      </w:r>
      <w:r>
        <w:t xml:space="preserve"> for </w:t>
      </w:r>
      <w:r w:rsidR="003347C7">
        <w:t>m</w:t>
      </w:r>
      <w:r w:rsidR="003347C7" w:rsidRPr="003347C7">
        <w:t>yelodysplastic syndromes</w:t>
      </w:r>
      <w:r>
        <w:t xml:space="preserve">, while VIALE-C </w:t>
      </w:r>
      <w:r w:rsidR="00427622">
        <w:t xml:space="preserve">trial </w:t>
      </w:r>
      <w:r>
        <w:t xml:space="preserve">allowed patients treated with an HMA for this </w:t>
      </w:r>
      <w:proofErr w:type="gramStart"/>
      <w:r>
        <w:t>indication;</w:t>
      </w:r>
      <w:proofErr w:type="gramEnd"/>
    </w:p>
    <w:p w14:paraId="2FCD875D" w14:textId="23DFAFBD" w:rsidR="00A6485F" w:rsidRDefault="00A6485F" w:rsidP="00427622">
      <w:pPr>
        <w:pStyle w:val="ListBullet"/>
      </w:pPr>
      <w:r>
        <w:t xml:space="preserve">VIALE-A </w:t>
      </w:r>
      <w:r w:rsidR="00427622">
        <w:t xml:space="preserve">trial </w:t>
      </w:r>
      <w:r>
        <w:t>enrolled only patients with an intermediate or poor cytogenetic risk, while VIALE-C</w:t>
      </w:r>
      <w:r w:rsidR="00427622">
        <w:t xml:space="preserve"> trial</w:t>
      </w:r>
      <w:r>
        <w:t xml:space="preserve"> also allowed patients with favourable cytogenetic risk. </w:t>
      </w:r>
    </w:p>
    <w:p w14:paraId="7ACED12D" w14:textId="338B1BA0" w:rsidR="00A6485F" w:rsidRDefault="00A6485F" w:rsidP="00427622">
      <w:r>
        <w:t xml:space="preserve">The </w:t>
      </w:r>
      <w:proofErr w:type="spellStart"/>
      <w:r w:rsidR="00427622">
        <w:t>venetoclax</w:t>
      </w:r>
      <w:proofErr w:type="spellEnd"/>
      <w:r>
        <w:t xml:space="preserve"> dosing in this study was 600 mg </w:t>
      </w:r>
      <w:r w:rsidR="00427622">
        <w:t>once daily</w:t>
      </w:r>
      <w:r>
        <w:t xml:space="preserve"> compared with 400 mg </w:t>
      </w:r>
      <w:r w:rsidR="00427622">
        <w:t>once daily</w:t>
      </w:r>
      <w:r>
        <w:t xml:space="preserve"> in </w:t>
      </w:r>
      <w:r w:rsidR="00EC3338">
        <w:t xml:space="preserve">the </w:t>
      </w:r>
      <w:r>
        <w:t>VIALE-A</w:t>
      </w:r>
      <w:r w:rsidR="00427622">
        <w:t xml:space="preserve"> trial.</w:t>
      </w:r>
    </w:p>
    <w:p w14:paraId="1A61C551" w14:textId="7724966C" w:rsidR="00A6485F" w:rsidRDefault="001F0386" w:rsidP="001F0386">
      <w:pPr>
        <w:pStyle w:val="TableTitle"/>
      </w:pPr>
      <w:r w:rsidRPr="001F0386">
        <w:t xml:space="preserve">Table </w:t>
      </w:r>
      <w:fldSimple w:instr=" SEQ Table \* ARABIC ">
        <w:r w:rsidR="007E2134">
          <w:rPr>
            <w:noProof/>
          </w:rPr>
          <w:t>11</w:t>
        </w:r>
      </w:fldSimple>
      <w:r>
        <w:t>: VIALE-C trial Summary of study design</w:t>
      </w:r>
    </w:p>
    <w:tbl>
      <w:tblPr>
        <w:tblStyle w:val="TableTGAblue1"/>
        <w:tblW w:w="8212" w:type="dxa"/>
        <w:tblCellMar>
          <w:left w:w="28" w:type="dxa"/>
          <w:right w:w="28" w:type="dxa"/>
        </w:tblCellMar>
        <w:tblLook w:val="04A0" w:firstRow="1" w:lastRow="0" w:firstColumn="1" w:lastColumn="0" w:noHBand="0" w:noVBand="1"/>
      </w:tblPr>
      <w:tblGrid>
        <w:gridCol w:w="3544"/>
        <w:gridCol w:w="4668"/>
      </w:tblGrid>
      <w:tr w:rsidR="001F0386" w14:paraId="4F7E785B" w14:textId="77777777" w:rsidTr="003347C7">
        <w:trPr>
          <w:cnfStyle w:val="100000000000" w:firstRow="1" w:lastRow="0" w:firstColumn="0" w:lastColumn="0" w:oddVBand="0" w:evenVBand="0" w:oddHBand="0" w:evenHBand="0" w:firstRowFirstColumn="0" w:firstRowLastColumn="0" w:lastRowFirstColumn="0" w:lastRowLastColumn="0"/>
        </w:trPr>
        <w:tc>
          <w:tcPr>
            <w:tcW w:w="8212" w:type="dxa"/>
            <w:gridSpan w:val="2"/>
          </w:tcPr>
          <w:p w14:paraId="57937864" w14:textId="79EFC624" w:rsidR="001F0386" w:rsidRPr="001F0386" w:rsidRDefault="001F0386" w:rsidP="001F0386">
            <w:pPr>
              <w:pStyle w:val="Tabletext"/>
              <w:ind w:left="0"/>
              <w:jc w:val="center"/>
              <w:rPr>
                <w:rFonts w:cs="Calibri"/>
                <w:sz w:val="22"/>
              </w:rPr>
            </w:pPr>
            <w:r w:rsidRPr="001F0386">
              <w:rPr>
                <w:rFonts w:cs="Calibri"/>
              </w:rPr>
              <w:t>VIALE-C study design</w:t>
            </w:r>
          </w:p>
        </w:tc>
      </w:tr>
      <w:tr w:rsidR="001F0386" w14:paraId="10DD1218" w14:textId="77777777" w:rsidTr="003347C7">
        <w:tc>
          <w:tcPr>
            <w:tcW w:w="821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1DC27B4" w14:textId="77777777" w:rsidR="001F0386" w:rsidRDefault="001F0386" w:rsidP="001F0386">
            <w:pPr>
              <w:pStyle w:val="Tabletext"/>
            </w:pPr>
            <w:r>
              <w:t>First patient first visit: 24 May 2017</w:t>
            </w:r>
          </w:p>
          <w:p w14:paraId="35EC0CC4" w14:textId="40D67085" w:rsidR="001F0386" w:rsidRDefault="001F0386" w:rsidP="001F0386">
            <w:pPr>
              <w:pStyle w:val="Tabletext"/>
              <w:rPr>
                <w:color w:val="7030A0"/>
              </w:rPr>
            </w:pPr>
            <w:r>
              <w:t xml:space="preserve">Data cut-off date for this analysis: 15 February 2019, 6 </w:t>
            </w:r>
            <w:proofErr w:type="gramStart"/>
            <w:r>
              <w:t>month</w:t>
            </w:r>
            <w:proofErr w:type="gramEnd"/>
            <w:r>
              <w:t xml:space="preserve"> follow up 15 August 2019, ongoing.</w:t>
            </w:r>
          </w:p>
          <w:p w14:paraId="3BB29604" w14:textId="3CFF6037" w:rsidR="001F0386" w:rsidRDefault="001F0386" w:rsidP="001F0386">
            <w:pPr>
              <w:pStyle w:val="Tabletext"/>
              <w:rPr>
                <w:highlight w:val="yellow"/>
              </w:rPr>
            </w:pPr>
            <w:r>
              <w:t>Clinical study report (CSR) date: 20 March 2020</w:t>
            </w:r>
          </w:p>
          <w:p w14:paraId="4D31F6FC" w14:textId="77777777" w:rsidR="001F0386" w:rsidRDefault="001F0386" w:rsidP="001F0386">
            <w:pPr>
              <w:pStyle w:val="Tabletext"/>
              <w:rPr>
                <w:color w:val="7030A0"/>
              </w:rPr>
            </w:pPr>
            <w:r>
              <w:t xml:space="preserve">76 sites across 20 countries </w:t>
            </w:r>
          </w:p>
        </w:tc>
      </w:tr>
      <w:tr w:rsidR="001F0386" w14:paraId="26BC4DB7" w14:textId="77777777" w:rsidTr="003347C7">
        <w:tc>
          <w:tcPr>
            <w:tcW w:w="821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22597A" w14:textId="0C2F3AFD" w:rsidR="001F0386" w:rsidRPr="001F0386" w:rsidRDefault="001F0386" w:rsidP="001F0386">
            <w:pPr>
              <w:pStyle w:val="Tabletext"/>
              <w:rPr>
                <w:b/>
                <w:bCs/>
                <w:noProof/>
              </w:rPr>
            </w:pPr>
            <w:r w:rsidRPr="001F0386">
              <w:rPr>
                <w:b/>
                <w:bCs/>
              </w:rPr>
              <w:t xml:space="preserve">Summary of study, </w:t>
            </w:r>
            <w:proofErr w:type="gramStart"/>
            <w:r w:rsidRPr="001F0386">
              <w:rPr>
                <w:b/>
                <w:bCs/>
              </w:rPr>
              <w:t>treatment</w:t>
            </w:r>
            <w:proofErr w:type="gramEnd"/>
            <w:r w:rsidRPr="001F0386">
              <w:rPr>
                <w:b/>
                <w:bCs/>
              </w:rPr>
              <w:t xml:space="preserve"> and patient flow</w:t>
            </w:r>
          </w:p>
          <w:p w14:paraId="0CCF69FA" w14:textId="77777777" w:rsidR="001F0386" w:rsidRPr="001F0386" w:rsidRDefault="001F0386" w:rsidP="001F0386">
            <w:pPr>
              <w:pStyle w:val="ListBullet"/>
              <w:rPr>
                <w:sz w:val="19"/>
                <w:szCs w:val="19"/>
              </w:rPr>
            </w:pPr>
            <w:r w:rsidRPr="001F0386">
              <w:rPr>
                <w:sz w:val="19"/>
                <w:szCs w:val="19"/>
              </w:rPr>
              <w:t xml:space="preserve">211 patients randomised, 211 for the efficacy analysis VEN+LDAC (n=143), PBO+LDAC (n=68). </w:t>
            </w:r>
          </w:p>
          <w:p w14:paraId="0C214855" w14:textId="77777777" w:rsidR="001F0386" w:rsidRPr="001F0386" w:rsidRDefault="001F0386" w:rsidP="001F0386">
            <w:pPr>
              <w:pStyle w:val="ListBullet"/>
              <w:rPr>
                <w:sz w:val="19"/>
                <w:szCs w:val="19"/>
              </w:rPr>
            </w:pPr>
            <w:r w:rsidRPr="001F0386">
              <w:rPr>
                <w:sz w:val="19"/>
                <w:szCs w:val="19"/>
              </w:rPr>
              <w:t xml:space="preserve">Treatment arms: </w:t>
            </w:r>
          </w:p>
          <w:p w14:paraId="73E0944E" w14:textId="44DD3899" w:rsidR="001F0386" w:rsidRPr="001F0386" w:rsidRDefault="001F0386" w:rsidP="001F0386">
            <w:pPr>
              <w:pStyle w:val="ListBullet2"/>
              <w:rPr>
                <w:sz w:val="19"/>
                <w:szCs w:val="19"/>
              </w:rPr>
            </w:pPr>
            <w:r w:rsidRPr="001F0386">
              <w:rPr>
                <w:sz w:val="19"/>
                <w:szCs w:val="19"/>
              </w:rPr>
              <w:t xml:space="preserve">VEN dosing: 100 mg Day 1, 200 mg Day 2, 400 mg Day 3, then 600 mg </w:t>
            </w:r>
            <w:r w:rsidR="000E01D8">
              <w:rPr>
                <w:sz w:val="19"/>
                <w:szCs w:val="19"/>
              </w:rPr>
              <w:t>once daily</w:t>
            </w:r>
            <w:r w:rsidRPr="001F0386">
              <w:rPr>
                <w:sz w:val="19"/>
                <w:szCs w:val="19"/>
              </w:rPr>
              <w:t xml:space="preserve"> each 28 day cycle, matching placebo</w:t>
            </w:r>
          </w:p>
          <w:p w14:paraId="09A673B8" w14:textId="3B76D56A" w:rsidR="001F0386" w:rsidRPr="001F0386" w:rsidRDefault="001F0386" w:rsidP="001F0386">
            <w:pPr>
              <w:pStyle w:val="ListBullet2"/>
              <w:rPr>
                <w:sz w:val="19"/>
                <w:szCs w:val="19"/>
              </w:rPr>
            </w:pPr>
            <w:r w:rsidRPr="001F0386">
              <w:rPr>
                <w:sz w:val="19"/>
                <w:szCs w:val="19"/>
              </w:rPr>
              <w:t>LDAC dosing: 20mg/m</w:t>
            </w:r>
            <w:r w:rsidRPr="00306CC0">
              <w:rPr>
                <w:sz w:val="19"/>
                <w:szCs w:val="19"/>
                <w:vertAlign w:val="superscript"/>
              </w:rPr>
              <w:t>2</w:t>
            </w:r>
            <w:r w:rsidRPr="001F0386">
              <w:rPr>
                <w:sz w:val="19"/>
                <w:szCs w:val="19"/>
              </w:rPr>
              <w:t xml:space="preserve"> </w:t>
            </w:r>
            <w:r w:rsidR="00C7639C">
              <w:rPr>
                <w:sz w:val="19"/>
                <w:szCs w:val="19"/>
              </w:rPr>
              <w:t>once daily</w:t>
            </w:r>
            <w:r w:rsidRPr="001F0386">
              <w:rPr>
                <w:sz w:val="19"/>
                <w:szCs w:val="19"/>
              </w:rPr>
              <w:t xml:space="preserve"> SC on Days 1 to 10 of each 28-day cycle</w:t>
            </w:r>
          </w:p>
          <w:p w14:paraId="51B2053A" w14:textId="77777777" w:rsidR="001F0386" w:rsidRPr="001F0386" w:rsidRDefault="001F0386" w:rsidP="001F0386">
            <w:pPr>
              <w:pStyle w:val="ListBullet2"/>
              <w:rPr>
                <w:sz w:val="19"/>
                <w:szCs w:val="19"/>
              </w:rPr>
            </w:pPr>
            <w:r w:rsidRPr="001F0386">
              <w:rPr>
                <w:sz w:val="19"/>
                <w:szCs w:val="19"/>
              </w:rPr>
              <w:t>VEN+ LDAC vs PBO+LDAC</w:t>
            </w:r>
          </w:p>
          <w:p w14:paraId="357F626E" w14:textId="11508EC9" w:rsidR="001F0386" w:rsidRPr="001F0386" w:rsidRDefault="001F0386" w:rsidP="001F0386">
            <w:pPr>
              <w:pStyle w:val="ListBullet2"/>
              <w:rPr>
                <w:sz w:val="19"/>
                <w:szCs w:val="19"/>
              </w:rPr>
            </w:pPr>
            <w:r w:rsidRPr="001F0386">
              <w:rPr>
                <w:sz w:val="19"/>
                <w:szCs w:val="19"/>
              </w:rPr>
              <w:t>Once bone marrow assessment confirmed remission, (&lt; 5% leuk</w:t>
            </w:r>
            <w:r w:rsidR="00B34CB3">
              <w:rPr>
                <w:sz w:val="19"/>
                <w:szCs w:val="19"/>
              </w:rPr>
              <w:t>a</w:t>
            </w:r>
            <w:r w:rsidRPr="001F0386">
              <w:rPr>
                <w:sz w:val="19"/>
                <w:szCs w:val="19"/>
              </w:rPr>
              <w:t>emia blasts with cytopenia) after Cycle 1 treatment, VEN or PBO was interrupted up to 14 days or until ANC ≥500/µL and platelet count ≥50 × 10</w:t>
            </w:r>
            <w:r w:rsidRPr="001F0386">
              <w:rPr>
                <w:sz w:val="19"/>
                <w:szCs w:val="19"/>
                <w:vertAlign w:val="superscript"/>
              </w:rPr>
              <w:t>9</w:t>
            </w:r>
            <w:r w:rsidRPr="001F0386">
              <w:rPr>
                <w:sz w:val="19"/>
                <w:szCs w:val="19"/>
              </w:rPr>
              <w:t>/L. If resistant disease at the end of Cycle 1, a BM assessment was performed after Cycle 2 or 3 and as clinically indicated. LDAC resumed on the same day as VEN or PBO after interruption.</w:t>
            </w:r>
          </w:p>
          <w:p w14:paraId="72EFE010" w14:textId="77777777" w:rsidR="001F0386" w:rsidRPr="001F0386" w:rsidRDefault="001F0386" w:rsidP="001F0386">
            <w:pPr>
              <w:pStyle w:val="ListBullet2"/>
              <w:rPr>
                <w:sz w:val="19"/>
                <w:szCs w:val="19"/>
              </w:rPr>
            </w:pPr>
            <w:r w:rsidRPr="001F0386">
              <w:rPr>
                <w:sz w:val="19"/>
                <w:szCs w:val="19"/>
              </w:rPr>
              <w:lastRenderedPageBreak/>
              <w:t>Continued treatment to disease progression or unacceptable toxicity</w:t>
            </w:r>
          </w:p>
          <w:p w14:paraId="7773B84D" w14:textId="77777777" w:rsidR="001F0386" w:rsidRPr="001F0386" w:rsidRDefault="001F0386" w:rsidP="001F0386">
            <w:pPr>
              <w:pStyle w:val="ListBullet"/>
              <w:rPr>
                <w:sz w:val="19"/>
                <w:szCs w:val="19"/>
              </w:rPr>
            </w:pPr>
            <w:r w:rsidRPr="001F0386">
              <w:rPr>
                <w:sz w:val="19"/>
                <w:szCs w:val="19"/>
              </w:rPr>
              <w:t>At 15 August 2019 data cut:</w:t>
            </w:r>
          </w:p>
          <w:p w14:paraId="2D7250CB" w14:textId="77777777" w:rsidR="001F0386" w:rsidRPr="001F0386" w:rsidRDefault="001F0386" w:rsidP="001F0386">
            <w:pPr>
              <w:pStyle w:val="ListBullet2"/>
              <w:rPr>
                <w:sz w:val="19"/>
                <w:szCs w:val="19"/>
              </w:rPr>
            </w:pPr>
            <w:r w:rsidRPr="001F0386">
              <w:rPr>
                <w:sz w:val="19"/>
                <w:szCs w:val="19"/>
              </w:rPr>
              <w:t xml:space="preserve">Completed treatment:103 from VEN+LDAC arm and 56 from PBO+LDAC arm </w:t>
            </w:r>
          </w:p>
          <w:p w14:paraId="1592481A" w14:textId="77777777" w:rsidR="001F0386" w:rsidRPr="001F0386" w:rsidRDefault="001F0386" w:rsidP="001F0386">
            <w:pPr>
              <w:pStyle w:val="ListBullet2"/>
              <w:rPr>
                <w:sz w:val="19"/>
                <w:szCs w:val="19"/>
              </w:rPr>
            </w:pPr>
            <w:r w:rsidRPr="001F0386">
              <w:rPr>
                <w:sz w:val="19"/>
                <w:szCs w:val="19"/>
              </w:rPr>
              <w:t xml:space="preserve">Discontinued treatment 92.6% of PBO+LDAC arm and 81.8% of VEN+LDAC arm </w:t>
            </w:r>
          </w:p>
          <w:p w14:paraId="27E4C472" w14:textId="77777777" w:rsidR="001F0386" w:rsidRPr="001F0386" w:rsidRDefault="001F0386" w:rsidP="001F0386">
            <w:pPr>
              <w:pStyle w:val="ListBullet2"/>
              <w:rPr>
                <w:sz w:val="19"/>
                <w:szCs w:val="19"/>
              </w:rPr>
            </w:pPr>
            <w:r w:rsidRPr="001F0386">
              <w:rPr>
                <w:sz w:val="19"/>
                <w:szCs w:val="19"/>
              </w:rPr>
              <w:t xml:space="preserve">Discontinued due to morphologic relapse: 16.1% </w:t>
            </w:r>
            <w:proofErr w:type="spellStart"/>
            <w:r w:rsidRPr="001F0386">
              <w:rPr>
                <w:sz w:val="19"/>
                <w:szCs w:val="19"/>
              </w:rPr>
              <w:t>VEN+LDACarm</w:t>
            </w:r>
            <w:proofErr w:type="spellEnd"/>
          </w:p>
          <w:p w14:paraId="0E510955" w14:textId="77777777" w:rsidR="001F0386" w:rsidRPr="001F0386" w:rsidRDefault="001F0386" w:rsidP="001F0386">
            <w:pPr>
              <w:pStyle w:val="ListBullet2"/>
              <w:rPr>
                <w:sz w:val="19"/>
                <w:szCs w:val="19"/>
              </w:rPr>
            </w:pPr>
            <w:r w:rsidRPr="001F0386">
              <w:rPr>
                <w:sz w:val="19"/>
                <w:szCs w:val="19"/>
              </w:rPr>
              <w:t>Died: 11.8% PBO+LDAC arm vs 12.6% VEN+LDAC arm</w:t>
            </w:r>
          </w:p>
          <w:p w14:paraId="55DFB308" w14:textId="77777777" w:rsidR="001F0386" w:rsidRPr="001F0386" w:rsidRDefault="001F0386" w:rsidP="001F0386">
            <w:pPr>
              <w:pStyle w:val="ListBullet2"/>
              <w:rPr>
                <w:sz w:val="19"/>
                <w:szCs w:val="19"/>
              </w:rPr>
            </w:pPr>
            <w:r w:rsidRPr="001F0386">
              <w:rPr>
                <w:sz w:val="19"/>
                <w:szCs w:val="19"/>
              </w:rPr>
              <w:t>Discontinued due to adverse events: 10% PBO+LDAC arm (LDAC only) vs 10.5% VEN+LDAC arm</w:t>
            </w:r>
          </w:p>
          <w:p w14:paraId="01E419BE" w14:textId="77777777" w:rsidR="001F0386" w:rsidRDefault="001F0386" w:rsidP="001F0386">
            <w:pPr>
              <w:pStyle w:val="ListBullet2"/>
            </w:pPr>
            <w:r w:rsidRPr="001F0386">
              <w:rPr>
                <w:sz w:val="19"/>
                <w:szCs w:val="19"/>
              </w:rPr>
              <w:t>Discontinued due to progressive disease: 13.7% PBO+LDAC arm vs 11.9% VEN+LDAC arm</w:t>
            </w:r>
          </w:p>
        </w:tc>
      </w:tr>
      <w:tr w:rsidR="001F0386" w14:paraId="45E54AFE" w14:textId="77777777" w:rsidTr="003347C7">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154FD8E" w14:textId="46EDFFCF" w:rsidR="001F0386" w:rsidRPr="001F0386" w:rsidRDefault="001F0386" w:rsidP="001F0386">
            <w:pPr>
              <w:pStyle w:val="Tabletext"/>
              <w:rPr>
                <w:b/>
                <w:bCs/>
              </w:rPr>
            </w:pPr>
            <w:r w:rsidRPr="001F0386">
              <w:rPr>
                <w:b/>
                <w:bCs/>
              </w:rPr>
              <w:lastRenderedPageBreak/>
              <w:t>Key inclusion criteria:</w:t>
            </w:r>
            <w:r>
              <w:rPr>
                <w:b/>
                <w:bCs/>
              </w:rPr>
              <w:t xml:space="preserve"> </w:t>
            </w:r>
            <w:r w:rsidRPr="001F0386">
              <w:rPr>
                <w:szCs w:val="19"/>
                <w:lang w:eastAsia="ja-JP"/>
              </w:rPr>
              <w:t xml:space="preserve">Aged ≥ 75 years of age, OR Aged ≥ 18 to 74 years of age and AT LEAST ONE of: </w:t>
            </w:r>
          </w:p>
          <w:p w14:paraId="44900C73" w14:textId="77777777" w:rsidR="001F0386" w:rsidRPr="001F0386" w:rsidRDefault="001F0386" w:rsidP="001F0386">
            <w:pPr>
              <w:pStyle w:val="ListBullet"/>
              <w:rPr>
                <w:sz w:val="19"/>
                <w:szCs w:val="19"/>
                <w:lang w:eastAsia="ja-JP"/>
              </w:rPr>
            </w:pPr>
            <w:r w:rsidRPr="001F0386">
              <w:rPr>
                <w:sz w:val="19"/>
                <w:szCs w:val="19"/>
              </w:rPr>
              <w:t xml:space="preserve">History of congestive heart failure requiring treatment or ejection fraction ≤ 50% or chronic stable </w:t>
            </w:r>
            <w:proofErr w:type="gramStart"/>
            <w:r w:rsidRPr="001F0386">
              <w:rPr>
                <w:sz w:val="19"/>
                <w:szCs w:val="19"/>
              </w:rPr>
              <w:t>angina;</w:t>
            </w:r>
            <w:proofErr w:type="gramEnd"/>
            <w:r w:rsidRPr="001F0386">
              <w:rPr>
                <w:sz w:val="19"/>
                <w:szCs w:val="19"/>
              </w:rPr>
              <w:t xml:space="preserve"> </w:t>
            </w:r>
          </w:p>
          <w:p w14:paraId="653A65C7" w14:textId="77777777" w:rsidR="001F0386" w:rsidRPr="001F0386" w:rsidRDefault="001F0386" w:rsidP="001F0386">
            <w:pPr>
              <w:pStyle w:val="ListBullet"/>
              <w:rPr>
                <w:sz w:val="19"/>
                <w:szCs w:val="19"/>
              </w:rPr>
            </w:pPr>
            <w:r w:rsidRPr="001F0386">
              <w:rPr>
                <w:sz w:val="19"/>
                <w:szCs w:val="19"/>
              </w:rPr>
              <w:t xml:space="preserve">Diffusing Capacity of the Lung for Carbon Monoxide ≤ 65% or Forced Expiratory Volume in 1 Second ≤ </w:t>
            </w:r>
            <w:proofErr w:type="gramStart"/>
            <w:r w:rsidRPr="001F0386">
              <w:rPr>
                <w:sz w:val="19"/>
                <w:szCs w:val="19"/>
              </w:rPr>
              <w:t>65%;</w:t>
            </w:r>
            <w:proofErr w:type="gramEnd"/>
            <w:r w:rsidRPr="001F0386">
              <w:rPr>
                <w:sz w:val="19"/>
                <w:szCs w:val="19"/>
              </w:rPr>
              <w:t xml:space="preserve"> </w:t>
            </w:r>
          </w:p>
          <w:p w14:paraId="0C5F6082" w14:textId="77777777" w:rsidR="001F0386" w:rsidRPr="001F0386" w:rsidRDefault="001F0386" w:rsidP="001F0386">
            <w:pPr>
              <w:pStyle w:val="ListBullet"/>
              <w:rPr>
                <w:sz w:val="19"/>
                <w:szCs w:val="19"/>
              </w:rPr>
            </w:pPr>
            <w:proofErr w:type="spellStart"/>
            <w:r w:rsidRPr="001F0386">
              <w:rPr>
                <w:sz w:val="19"/>
                <w:szCs w:val="19"/>
              </w:rPr>
              <w:t>CrCl</w:t>
            </w:r>
            <w:proofErr w:type="spellEnd"/>
            <w:r w:rsidRPr="001F0386">
              <w:rPr>
                <w:sz w:val="19"/>
                <w:szCs w:val="19"/>
              </w:rPr>
              <w:t xml:space="preserve"> ≥ 30 mL/min to &lt; 45 mL/</w:t>
            </w:r>
            <w:proofErr w:type="gramStart"/>
            <w:r w:rsidRPr="001F0386">
              <w:rPr>
                <w:sz w:val="19"/>
                <w:szCs w:val="19"/>
              </w:rPr>
              <w:t>min;</w:t>
            </w:r>
            <w:proofErr w:type="gramEnd"/>
            <w:r w:rsidRPr="001F0386">
              <w:rPr>
                <w:sz w:val="19"/>
                <w:szCs w:val="19"/>
              </w:rPr>
              <w:t xml:space="preserve"> </w:t>
            </w:r>
          </w:p>
          <w:p w14:paraId="42060D34" w14:textId="77777777" w:rsidR="001F0386" w:rsidRPr="001F0386" w:rsidRDefault="001F0386" w:rsidP="001F0386">
            <w:pPr>
              <w:pStyle w:val="ListBullet"/>
              <w:rPr>
                <w:sz w:val="19"/>
                <w:szCs w:val="19"/>
              </w:rPr>
            </w:pPr>
            <w:r w:rsidRPr="001F0386">
              <w:rPr>
                <w:sz w:val="19"/>
                <w:szCs w:val="19"/>
              </w:rPr>
              <w:t xml:space="preserve">Moderate hepatic impairment with total bilirubin &gt; 1.5 to ≤ 3.0 × </w:t>
            </w:r>
            <w:proofErr w:type="gramStart"/>
            <w:r w:rsidRPr="001F0386">
              <w:rPr>
                <w:sz w:val="19"/>
                <w:szCs w:val="19"/>
              </w:rPr>
              <w:t>ULN;</w:t>
            </w:r>
            <w:proofErr w:type="gramEnd"/>
          </w:p>
          <w:p w14:paraId="7D3563A5" w14:textId="77777777" w:rsidR="001F0386" w:rsidRPr="001F0386" w:rsidRDefault="001F0386" w:rsidP="001F0386">
            <w:pPr>
              <w:pStyle w:val="ListBullet"/>
              <w:rPr>
                <w:sz w:val="19"/>
                <w:szCs w:val="19"/>
              </w:rPr>
            </w:pPr>
            <w:r w:rsidRPr="001F0386">
              <w:rPr>
                <w:sz w:val="19"/>
                <w:szCs w:val="19"/>
              </w:rPr>
              <w:t xml:space="preserve">Eastern Cooperative Oncology Group (ECOG) Performance Status of 2 or 3; or </w:t>
            </w:r>
          </w:p>
          <w:p w14:paraId="043CB665" w14:textId="77777777" w:rsidR="001F0386" w:rsidRDefault="001F0386" w:rsidP="001F0386">
            <w:pPr>
              <w:pStyle w:val="ListBullet"/>
            </w:pPr>
            <w:r w:rsidRPr="001F0386">
              <w:rPr>
                <w:sz w:val="19"/>
                <w:szCs w:val="19"/>
              </w:rPr>
              <w:t>Other (physician judged) comorbidity incompatible with intensive chemotherapy (reviewed and approved by Therapeutic Area Medical Director during screening).</w:t>
            </w:r>
          </w:p>
        </w:tc>
        <w:tc>
          <w:tcPr>
            <w:tcW w:w="46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82DE123" w14:textId="77777777" w:rsidR="001F0386" w:rsidRPr="001F0386" w:rsidRDefault="001F0386" w:rsidP="001F0386">
            <w:pPr>
              <w:pStyle w:val="Tabletext"/>
              <w:rPr>
                <w:b/>
                <w:bCs/>
              </w:rPr>
            </w:pPr>
            <w:r w:rsidRPr="001F0386">
              <w:rPr>
                <w:b/>
                <w:bCs/>
              </w:rPr>
              <w:t>Key exclusion criteria:</w:t>
            </w:r>
          </w:p>
          <w:p w14:paraId="0322C825" w14:textId="5A826D97" w:rsidR="001F0386" w:rsidRPr="001F0386" w:rsidRDefault="001F0386" w:rsidP="001F0386">
            <w:pPr>
              <w:pStyle w:val="ListBullet"/>
              <w:rPr>
                <w:sz w:val="19"/>
                <w:szCs w:val="19"/>
              </w:rPr>
            </w:pPr>
            <w:r w:rsidRPr="001F0386">
              <w:rPr>
                <w:sz w:val="19"/>
                <w:szCs w:val="19"/>
              </w:rPr>
              <w:t xml:space="preserve">History of myeloproliferative neoplasm including myelofibrosis, essential thrombocythemia, </w:t>
            </w:r>
            <w:proofErr w:type="spellStart"/>
            <w:r w:rsidRPr="001F0386">
              <w:rPr>
                <w:sz w:val="19"/>
                <w:szCs w:val="19"/>
              </w:rPr>
              <w:t>polycythemia</w:t>
            </w:r>
            <w:proofErr w:type="spellEnd"/>
            <w:r w:rsidRPr="001F0386">
              <w:rPr>
                <w:sz w:val="19"/>
                <w:szCs w:val="19"/>
              </w:rPr>
              <w:t xml:space="preserve"> vera, chronic myeloid leuk</w:t>
            </w:r>
            <w:r w:rsidR="00B34CB3">
              <w:rPr>
                <w:sz w:val="19"/>
                <w:szCs w:val="19"/>
              </w:rPr>
              <w:t>a</w:t>
            </w:r>
            <w:r w:rsidRPr="001F0386">
              <w:rPr>
                <w:sz w:val="19"/>
                <w:szCs w:val="19"/>
              </w:rPr>
              <w:t xml:space="preserve">emia with or without BCR-ABL1 translocation, and transformation to AML with BCR-ABL1 </w:t>
            </w:r>
            <w:proofErr w:type="gramStart"/>
            <w:r w:rsidRPr="001F0386">
              <w:rPr>
                <w:sz w:val="19"/>
                <w:szCs w:val="19"/>
              </w:rPr>
              <w:t>translocation;</w:t>
            </w:r>
            <w:proofErr w:type="gramEnd"/>
            <w:r w:rsidRPr="001F0386">
              <w:rPr>
                <w:sz w:val="19"/>
                <w:szCs w:val="19"/>
              </w:rPr>
              <w:t xml:space="preserve"> </w:t>
            </w:r>
          </w:p>
          <w:p w14:paraId="6864F168" w14:textId="77777777" w:rsidR="001F0386" w:rsidRPr="001F0386" w:rsidRDefault="001F0386" w:rsidP="001F0386">
            <w:pPr>
              <w:pStyle w:val="ListBullet"/>
              <w:rPr>
                <w:sz w:val="19"/>
                <w:szCs w:val="19"/>
              </w:rPr>
            </w:pPr>
            <w:r w:rsidRPr="001F0386">
              <w:rPr>
                <w:sz w:val="19"/>
                <w:szCs w:val="19"/>
              </w:rPr>
              <w:t xml:space="preserve">Acute promyelocytic </w:t>
            </w:r>
            <w:proofErr w:type="gramStart"/>
            <w:r w:rsidRPr="001F0386">
              <w:rPr>
                <w:sz w:val="19"/>
                <w:szCs w:val="19"/>
              </w:rPr>
              <w:t>leukaemia;</w:t>
            </w:r>
            <w:proofErr w:type="gramEnd"/>
          </w:p>
          <w:p w14:paraId="038E04F2" w14:textId="77777777" w:rsidR="001F0386" w:rsidRPr="001F0386" w:rsidRDefault="001F0386" w:rsidP="001F0386">
            <w:pPr>
              <w:pStyle w:val="ListBullet"/>
              <w:rPr>
                <w:sz w:val="19"/>
                <w:szCs w:val="19"/>
              </w:rPr>
            </w:pPr>
            <w:r w:rsidRPr="001F0386">
              <w:rPr>
                <w:sz w:val="19"/>
                <w:szCs w:val="19"/>
              </w:rPr>
              <w:t xml:space="preserve">Known active central nervous system (CNS) involvement with </w:t>
            </w:r>
            <w:proofErr w:type="gramStart"/>
            <w:r w:rsidRPr="001F0386">
              <w:rPr>
                <w:sz w:val="19"/>
                <w:szCs w:val="19"/>
              </w:rPr>
              <w:t>AML;</w:t>
            </w:r>
            <w:proofErr w:type="gramEnd"/>
            <w:r w:rsidRPr="001F0386">
              <w:rPr>
                <w:sz w:val="19"/>
                <w:szCs w:val="19"/>
              </w:rPr>
              <w:t xml:space="preserve"> </w:t>
            </w:r>
          </w:p>
          <w:p w14:paraId="7A605A14" w14:textId="77777777" w:rsidR="001F0386" w:rsidRPr="001F0386" w:rsidRDefault="001F0386" w:rsidP="001F0386">
            <w:pPr>
              <w:pStyle w:val="ListBullet"/>
              <w:rPr>
                <w:sz w:val="19"/>
                <w:szCs w:val="19"/>
              </w:rPr>
            </w:pPr>
            <w:r w:rsidRPr="001F0386">
              <w:rPr>
                <w:sz w:val="19"/>
                <w:szCs w:val="19"/>
              </w:rPr>
              <w:t xml:space="preserve">Known HIV, Hep B, or Hep C </w:t>
            </w:r>
            <w:proofErr w:type="gramStart"/>
            <w:r w:rsidRPr="001F0386">
              <w:rPr>
                <w:sz w:val="19"/>
                <w:szCs w:val="19"/>
              </w:rPr>
              <w:t>infections;</w:t>
            </w:r>
            <w:proofErr w:type="gramEnd"/>
            <w:r w:rsidRPr="001F0386">
              <w:rPr>
                <w:sz w:val="19"/>
                <w:szCs w:val="19"/>
              </w:rPr>
              <w:t xml:space="preserve"> </w:t>
            </w:r>
          </w:p>
          <w:p w14:paraId="5D6CAADF" w14:textId="77777777" w:rsidR="001F0386" w:rsidRPr="001F0386" w:rsidRDefault="001F0386" w:rsidP="001F0386">
            <w:pPr>
              <w:pStyle w:val="ListBullet"/>
              <w:rPr>
                <w:sz w:val="19"/>
                <w:szCs w:val="19"/>
              </w:rPr>
            </w:pPr>
            <w:r w:rsidRPr="001F0386">
              <w:rPr>
                <w:sz w:val="19"/>
                <w:szCs w:val="19"/>
              </w:rPr>
              <w:t xml:space="preserve">Strong ± moderate CYP3A inducers &lt; 7 days prior to start of study treatment. </w:t>
            </w:r>
          </w:p>
          <w:p w14:paraId="2CE425B9" w14:textId="77777777" w:rsidR="001F0386" w:rsidRPr="001F0386" w:rsidRDefault="001F0386" w:rsidP="001F0386">
            <w:pPr>
              <w:pStyle w:val="ListBullet"/>
              <w:rPr>
                <w:sz w:val="19"/>
                <w:szCs w:val="19"/>
              </w:rPr>
            </w:pPr>
            <w:r w:rsidRPr="001F0386">
              <w:rPr>
                <w:sz w:val="19"/>
                <w:szCs w:val="19"/>
              </w:rPr>
              <w:t xml:space="preserve">New York Heart Association Class &gt; </w:t>
            </w:r>
            <w:proofErr w:type="gramStart"/>
            <w:r w:rsidRPr="001F0386">
              <w:rPr>
                <w:sz w:val="19"/>
                <w:szCs w:val="19"/>
              </w:rPr>
              <w:t>2;</w:t>
            </w:r>
            <w:proofErr w:type="gramEnd"/>
            <w:r w:rsidRPr="001F0386">
              <w:rPr>
                <w:sz w:val="19"/>
                <w:szCs w:val="19"/>
              </w:rPr>
              <w:t xml:space="preserve"> </w:t>
            </w:r>
          </w:p>
          <w:p w14:paraId="4787F596" w14:textId="77777777" w:rsidR="001F0386" w:rsidRDefault="001F0386" w:rsidP="001F0386">
            <w:pPr>
              <w:pStyle w:val="ListBullet"/>
            </w:pPr>
            <w:r w:rsidRPr="001F0386">
              <w:rPr>
                <w:sz w:val="19"/>
                <w:szCs w:val="19"/>
              </w:rPr>
              <w:t>Previously treated with VEN, ± chemotherapy for MDS, CAR-T cell therapy</w:t>
            </w:r>
          </w:p>
        </w:tc>
      </w:tr>
      <w:tr w:rsidR="001F0386" w14:paraId="685A38B3" w14:textId="77777777" w:rsidTr="003347C7">
        <w:tc>
          <w:tcPr>
            <w:tcW w:w="821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87AC167" w14:textId="77777777" w:rsidR="001F0386" w:rsidRPr="001F0386" w:rsidRDefault="001F0386" w:rsidP="001F0386">
            <w:pPr>
              <w:pStyle w:val="Tabletext"/>
              <w:rPr>
                <w:b/>
                <w:iCs/>
                <w:lang w:val="en-US"/>
              </w:rPr>
            </w:pPr>
            <w:r w:rsidRPr="001F0386">
              <w:rPr>
                <w:b/>
                <w:iCs/>
                <w:lang w:val="en-US"/>
              </w:rPr>
              <w:t>Endpoints</w:t>
            </w:r>
          </w:p>
        </w:tc>
      </w:tr>
      <w:tr w:rsidR="001F0386" w14:paraId="36BE46C8" w14:textId="77777777" w:rsidTr="003347C7">
        <w:tc>
          <w:tcPr>
            <w:tcW w:w="821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50132C" w14:textId="4CA085E2" w:rsidR="001F0386" w:rsidRPr="001F0386" w:rsidRDefault="001F0386" w:rsidP="001F0386">
            <w:pPr>
              <w:pStyle w:val="Tabletext"/>
              <w:rPr>
                <w:szCs w:val="22"/>
                <w:lang w:eastAsia="en-US"/>
              </w:rPr>
            </w:pPr>
            <w:r>
              <w:rPr>
                <w:bCs/>
                <w:lang w:val="en-US"/>
              </w:rPr>
              <w:t>Primary</w:t>
            </w:r>
            <w:r>
              <w:t>: O</w:t>
            </w:r>
            <w:r w:rsidR="00036851">
              <w:t>verall survival</w:t>
            </w:r>
          </w:p>
          <w:p w14:paraId="0C86D83C" w14:textId="472A411C" w:rsidR="001F0386" w:rsidRDefault="001F0386" w:rsidP="001F0386">
            <w:pPr>
              <w:pStyle w:val="Tabletext"/>
            </w:pPr>
            <w:r>
              <w:t xml:space="preserve">Secondary: CR + </w:t>
            </w:r>
            <w:proofErr w:type="spellStart"/>
            <w:r>
              <w:t>CRh</w:t>
            </w:r>
            <w:proofErr w:type="spellEnd"/>
            <w:r>
              <w:t xml:space="preserve"> rate, CR + CRi rate; CR + </w:t>
            </w:r>
            <w:proofErr w:type="spellStart"/>
            <w:r>
              <w:t>CRh</w:t>
            </w:r>
            <w:proofErr w:type="spellEnd"/>
            <w:r>
              <w:t xml:space="preserve"> rate</w:t>
            </w:r>
            <w:r w:rsidR="00C7639C">
              <w:t xml:space="preserve"> </w:t>
            </w:r>
            <w:r>
              <w:t xml:space="preserve">in IDH1/IDH2 subgroup; CR, </w:t>
            </w:r>
            <w:proofErr w:type="spellStart"/>
            <w:r>
              <w:t>CR+CRh</w:t>
            </w:r>
            <w:proofErr w:type="spellEnd"/>
            <w:r>
              <w:t xml:space="preserve"> by start of cycle 2; post baseline RBC transfusion independence; MRD and CR +</w:t>
            </w:r>
            <w:proofErr w:type="spellStart"/>
            <w:r>
              <w:t>CRh</w:t>
            </w:r>
            <w:proofErr w:type="spellEnd"/>
            <w:r>
              <w:t xml:space="preserve"> response rate; MRD and CR +CRi response rate; PROMIS Cancer fatigue SF-7a; EORTC QLQ=C30 GHS/QoL; OS in IDH1/IDH2 subgroup; OS in FLT3 subgroup; </w:t>
            </w:r>
            <w:proofErr w:type="spellStart"/>
            <w:r>
              <w:t>CR+CRh</w:t>
            </w:r>
            <w:proofErr w:type="spellEnd"/>
            <w:r>
              <w:t xml:space="preserve"> rate in FLT3 subgroups; EFS</w:t>
            </w:r>
          </w:p>
          <w:p w14:paraId="2C2230FE" w14:textId="77777777" w:rsidR="001F0386" w:rsidRDefault="001F0386" w:rsidP="001F0386">
            <w:pPr>
              <w:pStyle w:val="Tabletext"/>
            </w:pPr>
            <w:r>
              <w:t>Disease assessments performed by investigator per the IWG response criteria for AML.</w:t>
            </w:r>
          </w:p>
        </w:tc>
      </w:tr>
      <w:tr w:rsidR="001F0386" w14:paraId="037CFEDB" w14:textId="77777777" w:rsidTr="003347C7">
        <w:tc>
          <w:tcPr>
            <w:tcW w:w="821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CAE3D93" w14:textId="77777777" w:rsidR="001F0386" w:rsidRPr="001F0386" w:rsidRDefault="001F0386" w:rsidP="001F0386">
            <w:pPr>
              <w:pStyle w:val="Tabletext"/>
              <w:rPr>
                <w:b/>
                <w:iCs/>
                <w:lang w:val="en-US"/>
              </w:rPr>
            </w:pPr>
            <w:r w:rsidRPr="001F0386">
              <w:rPr>
                <w:b/>
                <w:iCs/>
                <w:lang w:val="en-US"/>
              </w:rPr>
              <w:t>Endpoint definitions</w:t>
            </w:r>
          </w:p>
        </w:tc>
      </w:tr>
      <w:tr w:rsidR="001F0386" w14:paraId="44047E2C" w14:textId="77777777" w:rsidTr="003347C7">
        <w:tc>
          <w:tcPr>
            <w:tcW w:w="821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D49D1DA" w14:textId="71852455" w:rsidR="001F0386" w:rsidRDefault="001F0386" w:rsidP="001F0386">
            <w:pPr>
              <w:pStyle w:val="Tabletext"/>
              <w:rPr>
                <w:bCs/>
                <w:i/>
                <w:lang w:val="en-US"/>
              </w:rPr>
            </w:pPr>
            <w:r>
              <w:rPr>
                <w:sz w:val="18"/>
                <w:szCs w:val="18"/>
              </w:rPr>
              <w:t>Same as VIALE-A trial</w:t>
            </w:r>
          </w:p>
        </w:tc>
      </w:tr>
      <w:tr w:rsidR="001F0386" w14:paraId="0FCB9D1A" w14:textId="77777777" w:rsidTr="003347C7">
        <w:tc>
          <w:tcPr>
            <w:tcW w:w="821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B694010" w14:textId="77777777" w:rsidR="001F0386" w:rsidRPr="001F0386" w:rsidRDefault="001F0386" w:rsidP="001F0386">
            <w:pPr>
              <w:pStyle w:val="Tabletext"/>
              <w:rPr>
                <w:b/>
                <w:iCs/>
                <w:color w:val="7030A0"/>
                <w:lang w:val="en-US"/>
              </w:rPr>
            </w:pPr>
            <w:r w:rsidRPr="001F0386">
              <w:rPr>
                <w:b/>
                <w:iCs/>
                <w:lang w:val="en-US"/>
              </w:rPr>
              <w:lastRenderedPageBreak/>
              <w:t>Statistics</w:t>
            </w:r>
          </w:p>
        </w:tc>
      </w:tr>
      <w:tr w:rsidR="001F0386" w14:paraId="79879787" w14:textId="77777777" w:rsidTr="003347C7">
        <w:tc>
          <w:tcPr>
            <w:tcW w:w="821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8BA107" w14:textId="423BC37B" w:rsidR="001F0386" w:rsidRPr="001F0386" w:rsidRDefault="001F0386" w:rsidP="001F0386">
            <w:pPr>
              <w:pStyle w:val="Tabletext"/>
              <w:rPr>
                <w:lang w:val="en-US"/>
              </w:rPr>
            </w:pPr>
            <w:proofErr w:type="spellStart"/>
            <w:r>
              <w:rPr>
                <w:bCs/>
                <w:lang w:val="en-US"/>
              </w:rPr>
              <w:t>R</w:t>
            </w:r>
            <w:r>
              <w:rPr>
                <w:lang w:val="en-US"/>
              </w:rPr>
              <w:t>andomised</w:t>
            </w:r>
            <w:proofErr w:type="spellEnd"/>
            <w:r>
              <w:rPr>
                <w:lang w:val="en-US"/>
              </w:rPr>
              <w:t xml:space="preserve"> 2:1</w:t>
            </w:r>
            <w:r>
              <w:rPr>
                <w:color w:val="7030A0"/>
                <w:lang w:val="en-US"/>
              </w:rPr>
              <w:t xml:space="preserve"> </w:t>
            </w:r>
            <w:r>
              <w:t>stratified by AML status (de novo, secondary) and age (18 to &lt; 75, ≥ 75 years).</w:t>
            </w:r>
          </w:p>
          <w:p w14:paraId="3BAD518D" w14:textId="342B8AB8" w:rsidR="001F0386" w:rsidRDefault="001F0386" w:rsidP="001F0386">
            <w:pPr>
              <w:pStyle w:val="Tabletext"/>
              <w:rPr>
                <w:bCs/>
                <w:lang w:val="en-US"/>
              </w:rPr>
            </w:pPr>
            <w:r w:rsidRPr="001F0386">
              <w:rPr>
                <w:b/>
                <w:lang w:val="en-US"/>
              </w:rPr>
              <w:t>Primary endpoint</w:t>
            </w:r>
            <w:r>
              <w:rPr>
                <w:bCs/>
                <w:lang w:val="en-US"/>
              </w:rPr>
              <w:t>:</w:t>
            </w:r>
          </w:p>
          <w:p w14:paraId="3DFE7CD7" w14:textId="0575834C" w:rsidR="001F0386" w:rsidRDefault="001F0386" w:rsidP="001F0386">
            <w:pPr>
              <w:pStyle w:val="Tabletext"/>
              <w:rPr>
                <w:lang w:val="en-US"/>
              </w:rPr>
            </w:pPr>
            <w:r>
              <w:rPr>
                <w:lang w:val="en-US"/>
              </w:rPr>
              <w:t>133 OS events required for final analysis, giving 90% power to detect HR0.545 for VEN+LDAC vs LDAC, assumed median OS for VEN+LDAC increased from 6-11 months IA planned for 100 events (75% planned)</w:t>
            </w:r>
          </w:p>
          <w:p w14:paraId="3F96BCE3" w14:textId="083AB4E8" w:rsidR="001F0386" w:rsidRDefault="001F0386" w:rsidP="001F0386">
            <w:pPr>
              <w:pStyle w:val="Tabletext"/>
              <w:rPr>
                <w:lang w:val="en-US"/>
              </w:rPr>
            </w:pPr>
            <w:r>
              <w:rPr>
                <w:lang w:val="en-US"/>
              </w:rPr>
              <w:t>OS analysis stratified by AML status (de novo, secondary) and age (stratified by age (18 -≤75, 75))</w:t>
            </w:r>
          </w:p>
          <w:p w14:paraId="6B91B47D" w14:textId="0796547C" w:rsidR="001F0386" w:rsidRPr="001F0386" w:rsidRDefault="001F0386" w:rsidP="001F0386">
            <w:pPr>
              <w:pStyle w:val="Tabletext"/>
              <w:rPr>
                <w:lang w:val="en-US"/>
              </w:rPr>
            </w:pPr>
            <w:r>
              <w:rPr>
                <w:lang w:val="en-US"/>
              </w:rPr>
              <w:t>Secondary endpoints of</w:t>
            </w:r>
            <w:r>
              <w:rPr>
                <w:rFonts w:ascii="Calibri" w:eastAsiaTheme="minorHAnsi" w:hAnsi="Calibri" w:cs="Calibri"/>
                <w:color w:val="000000"/>
                <w:sz w:val="23"/>
                <w:szCs w:val="23"/>
                <w:lang w:val="en-US"/>
              </w:rPr>
              <w:t xml:space="preserve"> </w:t>
            </w:r>
            <w:r>
              <w:t xml:space="preserve">CR + </w:t>
            </w:r>
            <w:proofErr w:type="spellStart"/>
            <w:r>
              <w:t>CRh</w:t>
            </w:r>
            <w:proofErr w:type="spellEnd"/>
            <w:r>
              <w:t xml:space="preserve"> rate, CR rate, CR + </w:t>
            </w:r>
            <w:proofErr w:type="spellStart"/>
            <w:r>
              <w:t>CRh</w:t>
            </w:r>
            <w:proofErr w:type="spellEnd"/>
            <w:r>
              <w:t xml:space="preserve"> rate by initiation of cycle 2, and postbaseline RBC and platelet transfusion independence rate were based on the CMH test stratified by AML status (de novo, secondary) and age (18 to &lt; 75, ≥ 75 years).</w:t>
            </w:r>
          </w:p>
          <w:p w14:paraId="4FC5FCFF" w14:textId="77777777" w:rsidR="001F0386" w:rsidRDefault="001F0386" w:rsidP="001F0386">
            <w:pPr>
              <w:pStyle w:val="Tabletext"/>
              <w:rPr>
                <w:color w:val="7030A0"/>
                <w:sz w:val="18"/>
                <w:szCs w:val="18"/>
              </w:rPr>
            </w:pPr>
            <w:r w:rsidRPr="001F0386">
              <w:rPr>
                <w:b/>
                <w:bCs/>
                <w:sz w:val="18"/>
                <w:szCs w:val="18"/>
              </w:rPr>
              <w:t>Multiplicity</w:t>
            </w:r>
            <w:r>
              <w:rPr>
                <w:sz w:val="18"/>
                <w:szCs w:val="18"/>
              </w:rPr>
              <w:t xml:space="preserve">: </w:t>
            </w:r>
            <w:r>
              <w:rPr>
                <w:lang w:val="en-US"/>
              </w:rPr>
              <w:t>Fixed sequence testing at 0.05 (two-sided) for OS then key secondary endpoints sequentially. If primary endpoint not significant no statistical significance would be claimed for secondary endpoints.</w:t>
            </w:r>
          </w:p>
        </w:tc>
      </w:tr>
      <w:tr w:rsidR="001F0386" w14:paraId="12B32DE2" w14:textId="77777777" w:rsidTr="003347C7">
        <w:tc>
          <w:tcPr>
            <w:tcW w:w="821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1CD0E87" w14:textId="77777777" w:rsidR="001F0386" w:rsidRPr="001F0386" w:rsidRDefault="001F0386" w:rsidP="001F0386">
            <w:pPr>
              <w:pStyle w:val="Tabletext"/>
              <w:rPr>
                <w:b/>
                <w:color w:val="7030A0"/>
                <w:szCs w:val="24"/>
              </w:rPr>
            </w:pPr>
            <w:r w:rsidRPr="001F0386">
              <w:rPr>
                <w:b/>
              </w:rPr>
              <w:t>Protocol Amendments and Deviations</w:t>
            </w:r>
          </w:p>
        </w:tc>
      </w:tr>
      <w:tr w:rsidR="001F0386" w14:paraId="21602A34" w14:textId="77777777" w:rsidTr="003347C7">
        <w:tc>
          <w:tcPr>
            <w:tcW w:w="821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EF3EC99" w14:textId="77777777" w:rsidR="001F0386" w:rsidRDefault="001F0386" w:rsidP="001F0386">
            <w:pPr>
              <w:pStyle w:val="Tabletext"/>
              <w:rPr>
                <w:bCs/>
              </w:rPr>
            </w:pPr>
            <w:r>
              <w:rPr>
                <w:bCs/>
              </w:rPr>
              <w:t>Major amendments:</w:t>
            </w:r>
          </w:p>
          <w:p w14:paraId="6EC89DF1" w14:textId="77777777" w:rsidR="001F0386" w:rsidRDefault="001F0386" w:rsidP="001F0386">
            <w:pPr>
              <w:pStyle w:val="Tabletext"/>
              <w:rPr>
                <w:bCs/>
                <w:color w:val="7030A0"/>
                <w:lang w:val="en-US"/>
              </w:rPr>
            </w:pPr>
            <w:r>
              <w:rPr>
                <w:bCs/>
                <w:lang w:val="en-US"/>
              </w:rPr>
              <w:t>Five versions of the study protocol with the final amendment allowing unblinding of the patient assignment after the final analysis results to allow discussion of next treatment (impact uncertain).</w:t>
            </w:r>
          </w:p>
        </w:tc>
      </w:tr>
    </w:tbl>
    <w:p w14:paraId="040B5585" w14:textId="16C2B9C8" w:rsidR="000E22E5" w:rsidRDefault="000E22E5" w:rsidP="002A4E04">
      <w:pPr>
        <w:pStyle w:val="TableDescription"/>
      </w:pPr>
      <w:r>
        <w:t xml:space="preserve">CSR = clinical study report; PBO = </w:t>
      </w:r>
      <w:r>
        <w:rPr>
          <w:spacing w:val="-8"/>
        </w:rPr>
        <w:t>p</w:t>
      </w:r>
      <w:r w:rsidRPr="00C20E0F">
        <w:rPr>
          <w:spacing w:val="-8"/>
        </w:rPr>
        <w:t>lacebo</w:t>
      </w:r>
      <w:r>
        <w:rPr>
          <w:spacing w:val="-8"/>
        </w:rPr>
        <w:t xml:space="preserve">; </w:t>
      </w:r>
      <w:r>
        <w:t xml:space="preserve">LDAC = low dose cytarabine; VEN = </w:t>
      </w:r>
      <w:proofErr w:type="spellStart"/>
      <w:r>
        <w:t>v</w:t>
      </w:r>
      <w:r w:rsidRPr="00C20E0F">
        <w:t>enetoclax</w:t>
      </w:r>
      <w:proofErr w:type="spellEnd"/>
      <w:r>
        <w:t xml:space="preserve">; BM = bone marrow; ANC = </w:t>
      </w:r>
      <w:r w:rsidRPr="007D6C12">
        <w:t>absolute neutrophil count</w:t>
      </w:r>
      <w:r>
        <w:t xml:space="preserve">; CR = complete remission; CRi = </w:t>
      </w:r>
      <w:r w:rsidRPr="007D6C12">
        <w:t>Complete remission with incomplete blood count recovery</w:t>
      </w:r>
      <w:r>
        <w:t xml:space="preserve">; ECOG = </w:t>
      </w:r>
      <w:r w:rsidRPr="007D6C12">
        <w:t>Eastern Cooperative Oncology Group</w:t>
      </w:r>
      <w:r>
        <w:t>; BCR-ABL1 = B-cell receptor-t</w:t>
      </w:r>
      <w:r w:rsidRPr="007D6C12">
        <w:t>yrosine-protein kinase ABL1</w:t>
      </w:r>
      <w:r>
        <w:t xml:space="preserve">; NCCN = </w:t>
      </w:r>
      <w:r w:rsidRPr="007D6C12">
        <w:t>National Comprehensive Cancer Network</w:t>
      </w:r>
      <w:r>
        <w:t xml:space="preserve">; CNS = </w:t>
      </w:r>
      <w:r w:rsidRPr="007D6C12">
        <w:t>central nervous system</w:t>
      </w:r>
      <w:r>
        <w:t xml:space="preserve">; HMA = </w:t>
      </w:r>
      <w:r w:rsidRPr="007D6C12">
        <w:t>hypomethylating agent</w:t>
      </w:r>
      <w:r>
        <w:t>; EU = European Union; INV = investigator; IWG = international working group; US = United States of America; MDR = m</w:t>
      </w:r>
      <w:r w:rsidRPr="008A7BE2">
        <w:t>inimal residual disease</w:t>
      </w:r>
      <w:r>
        <w:t>; IDH1 = i</w:t>
      </w:r>
      <w:r w:rsidRPr="008A7BE2">
        <w:t xml:space="preserve">socitrate dehydrogenase </w:t>
      </w:r>
      <w:r>
        <w:t>1; IDH2 = i</w:t>
      </w:r>
      <w:r w:rsidRPr="008A7BE2">
        <w:t>socitrate dehydrogenase 2</w:t>
      </w:r>
      <w:r>
        <w:t xml:space="preserve">; FLT3 = </w:t>
      </w:r>
      <w:proofErr w:type="spellStart"/>
      <w:r w:rsidRPr="008A7BE2">
        <w:t>fms</w:t>
      </w:r>
      <w:proofErr w:type="spellEnd"/>
      <w:r w:rsidRPr="008A7BE2">
        <w:t>-like tyrosine kinase 3</w:t>
      </w:r>
      <w:r>
        <w:t xml:space="preserve">; EFS = event free survival; RBC = red blood cell; </w:t>
      </w:r>
      <w:proofErr w:type="spellStart"/>
      <w:r>
        <w:t>CRh</w:t>
      </w:r>
      <w:proofErr w:type="spellEnd"/>
      <w:r>
        <w:t xml:space="preserve"> = c</w:t>
      </w:r>
      <w:r w:rsidRPr="008A7BE2">
        <w:t>omplete remission with partial haematologic recovery</w:t>
      </w:r>
      <w:r>
        <w:t>; PR = partial remission; MLFS= m</w:t>
      </w:r>
      <w:r w:rsidRPr="000E6442">
        <w:t xml:space="preserve">orphologic </w:t>
      </w:r>
      <w:r>
        <w:t>l</w:t>
      </w:r>
      <w:r w:rsidRPr="000E6442">
        <w:t>euk</w:t>
      </w:r>
      <w:r w:rsidR="00B34CB3">
        <w:t>a</w:t>
      </w:r>
      <w:r w:rsidRPr="000E6442">
        <w:t>emia-free state</w:t>
      </w:r>
      <w:r>
        <w:t>; RD = resistant disease; MR = morphologic relapse; PD = progressive disease; OS = overall survival; HR = hazard ratio.</w:t>
      </w:r>
    </w:p>
    <w:p w14:paraId="475DF1FE" w14:textId="5BC7B56E" w:rsidR="00EC3338" w:rsidRDefault="00EC3338" w:rsidP="00EC3338">
      <w:pPr>
        <w:pStyle w:val="Heading6"/>
      </w:pPr>
      <w:r>
        <w:t>Demographics and baseline characteristics</w:t>
      </w:r>
    </w:p>
    <w:p w14:paraId="7644377E" w14:textId="2A17700F" w:rsidR="001F0386" w:rsidRDefault="001F0386" w:rsidP="001F0386">
      <w:r>
        <w:t>A tabulated summary of the demographic data is included below</w:t>
      </w:r>
      <w:r w:rsidR="002A4E04">
        <w:t xml:space="preserve"> in </w:t>
      </w:r>
      <w:r w:rsidR="002A4E04">
        <w:fldChar w:fldCharType="begin"/>
      </w:r>
      <w:r w:rsidR="002A4E04">
        <w:instrText xml:space="preserve"> REF _Ref99112398 \h </w:instrText>
      </w:r>
      <w:r w:rsidR="002A4E04">
        <w:fldChar w:fldCharType="separate"/>
      </w:r>
      <w:r w:rsidR="002A4E04" w:rsidRPr="001F0386">
        <w:t xml:space="preserve">Table </w:t>
      </w:r>
      <w:r w:rsidR="002A4E04">
        <w:rPr>
          <w:noProof/>
        </w:rPr>
        <w:t>12</w:t>
      </w:r>
      <w:r w:rsidR="002A4E04">
        <w:fldChar w:fldCharType="end"/>
      </w:r>
      <w:r w:rsidR="002A4E04">
        <w:t>.</w:t>
      </w:r>
    </w:p>
    <w:p w14:paraId="3211C646" w14:textId="52F9B508" w:rsidR="001F0386" w:rsidRDefault="001F0386" w:rsidP="001F0386">
      <w:r>
        <w:t>The VIALE-C trial population was predominantly White and male patients, and with a median age of 76 years.</w:t>
      </w:r>
    </w:p>
    <w:p w14:paraId="4EDF5DC6" w14:textId="7C38AC7F" w:rsidR="001F0386" w:rsidRDefault="001F0386" w:rsidP="001F0386">
      <w:pPr>
        <w:pStyle w:val="TableTitle"/>
      </w:pPr>
      <w:bookmarkStart w:id="55" w:name="_Ref99112398"/>
      <w:r w:rsidRPr="001F0386">
        <w:lastRenderedPageBreak/>
        <w:t xml:space="preserve">Table </w:t>
      </w:r>
      <w:fldSimple w:instr=" SEQ Table \* ARABIC ">
        <w:r w:rsidR="007E2134">
          <w:rPr>
            <w:noProof/>
          </w:rPr>
          <w:t>12</w:t>
        </w:r>
      </w:fldSimple>
      <w:bookmarkEnd w:id="55"/>
      <w:r>
        <w:t>: VIALE-C trial Baseline demographic data</w:t>
      </w:r>
    </w:p>
    <w:p w14:paraId="2CE2F163" w14:textId="3BF44F1C" w:rsidR="001F0386" w:rsidRDefault="001F0386" w:rsidP="001F0386">
      <w:r>
        <w:rPr>
          <w:noProof/>
          <w:lang w:val="en-GB" w:eastAsia="en-GB"/>
        </w:rPr>
        <w:drawing>
          <wp:inline distT="0" distB="0" distL="0" distR="0" wp14:anchorId="31554D63" wp14:editId="5F7D2FC7">
            <wp:extent cx="5200523" cy="3181552"/>
            <wp:effectExtent l="0" t="0" r="635"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9">
                      <a:lum bright="-20000" contrast="40000"/>
                      <a:extLst>
                        <a:ext uri="{28A0092B-C50C-407E-A947-70E740481C1C}">
                          <a14:useLocalDpi xmlns:a14="http://schemas.microsoft.com/office/drawing/2010/main" val="0"/>
                        </a:ext>
                      </a:extLst>
                    </a:blip>
                    <a:srcRect l="1356" t="1076" r="2300" b="20966"/>
                    <a:stretch/>
                  </pic:blipFill>
                  <pic:spPr bwMode="auto">
                    <a:xfrm>
                      <a:off x="0" y="0"/>
                      <a:ext cx="5201426" cy="3182105"/>
                    </a:xfrm>
                    <a:prstGeom prst="rect">
                      <a:avLst/>
                    </a:prstGeom>
                    <a:noFill/>
                    <a:ln>
                      <a:noFill/>
                    </a:ln>
                    <a:extLst>
                      <a:ext uri="{53640926-AAD7-44D8-BBD7-CCE9431645EC}">
                        <a14:shadowObscured xmlns:a14="http://schemas.microsoft.com/office/drawing/2010/main"/>
                      </a:ext>
                    </a:extLst>
                  </pic:spPr>
                </pic:pic>
              </a:graphicData>
            </a:graphic>
          </wp:inline>
        </w:drawing>
      </w:r>
    </w:p>
    <w:p w14:paraId="268BAB62" w14:textId="5D6805E9" w:rsidR="001F0386" w:rsidRDefault="008D42AC" w:rsidP="008D42AC">
      <w:pPr>
        <w:pStyle w:val="TableDescription"/>
      </w:pPr>
      <w:r>
        <w:t>LDAC = low dose cytarabine; max = maximum; min = minimum; N = sample size; n = number of patients; PBO = placeb</w:t>
      </w:r>
      <w:r w:rsidR="00EC3338">
        <w:t>o</w:t>
      </w:r>
      <w:r>
        <w:t xml:space="preserve">; SD = standard deviation; VEN = </w:t>
      </w:r>
      <w:proofErr w:type="spellStart"/>
      <w:r>
        <w:t>venetoclax</w:t>
      </w:r>
      <w:proofErr w:type="spellEnd"/>
    </w:p>
    <w:p w14:paraId="114024DB" w14:textId="58523D93" w:rsidR="008D42AC" w:rsidRDefault="008D42AC" w:rsidP="008D42AC">
      <w:pPr>
        <w:pStyle w:val="TableDescription"/>
      </w:pPr>
      <w:r>
        <w:t xml:space="preserve">* Rest of world includes in Australia, Belgium, Brazil, Canada, China, Czech Republic, France, Germany, Greece, Hungary, Japan, New Zealand, Norway, Russia, South Africa, South Korea, Spain, </w:t>
      </w:r>
      <w:proofErr w:type="gramStart"/>
      <w:r>
        <w:t>Taiwan</w:t>
      </w:r>
      <w:proofErr w:type="gramEnd"/>
      <w:r>
        <w:t xml:space="preserve"> and the United Kingdom.</w:t>
      </w:r>
    </w:p>
    <w:p w14:paraId="66110A17" w14:textId="37698AB8" w:rsidR="008D42AC" w:rsidRDefault="008D42AC" w:rsidP="008D42AC">
      <w:r w:rsidRPr="008D42AC">
        <w:t xml:space="preserve">Around 50% of the patients had an ECOG </w:t>
      </w:r>
      <w:r w:rsidR="00EC3338">
        <w:t xml:space="preserve">PS </w:t>
      </w:r>
      <w:r w:rsidRPr="008D42AC">
        <w:t>status of 2 or 3.</w:t>
      </w:r>
      <w:r>
        <w:fldChar w:fldCharType="begin"/>
      </w:r>
      <w:r>
        <w:instrText xml:space="preserve"> NOTEREF _Ref98412282 \f \h </w:instrText>
      </w:r>
      <w:r>
        <w:fldChar w:fldCharType="separate"/>
      </w:r>
      <w:r w:rsidR="00211D51" w:rsidRPr="00211D51">
        <w:rPr>
          <w:rStyle w:val="FootnoteReference"/>
        </w:rPr>
        <w:t>7</w:t>
      </w:r>
      <w:r>
        <w:fldChar w:fldCharType="end"/>
      </w:r>
      <w:r w:rsidRPr="008D42AC">
        <w:t xml:space="preserve"> More patients had </w:t>
      </w:r>
      <w:r w:rsidRPr="008D42AC">
        <w:rPr>
          <w:i/>
          <w:iCs/>
        </w:rPr>
        <w:t>de</w:t>
      </w:r>
      <w:r>
        <w:rPr>
          <w:i/>
          <w:iCs/>
        </w:rPr>
        <w:t xml:space="preserve"> </w:t>
      </w:r>
      <w:r w:rsidRPr="008D42AC">
        <w:rPr>
          <w:i/>
          <w:iCs/>
        </w:rPr>
        <w:t>novo</w:t>
      </w:r>
      <w:r w:rsidRPr="008D42AC">
        <w:t xml:space="preserve"> AML, had intermediate or poor cytogenetics, and most had no history of AML in with myelodysplasia related changes or myelodysplastic syndrome. Most had no prior use of a hypomethylating agent. More detail is included in the table below</w:t>
      </w:r>
      <w:r w:rsidR="00446C9B">
        <w:t xml:space="preserve"> (</w:t>
      </w:r>
      <w:r w:rsidR="00446C9B">
        <w:fldChar w:fldCharType="begin"/>
      </w:r>
      <w:r w:rsidR="00446C9B">
        <w:instrText xml:space="preserve"> REF _Ref98417199 \h </w:instrText>
      </w:r>
      <w:r w:rsidR="00446C9B">
        <w:fldChar w:fldCharType="separate"/>
      </w:r>
      <w:r w:rsidR="00211D51" w:rsidRPr="00446C9B">
        <w:t xml:space="preserve">Table </w:t>
      </w:r>
      <w:r w:rsidR="00211D51">
        <w:rPr>
          <w:noProof/>
        </w:rPr>
        <w:t>13</w:t>
      </w:r>
      <w:r w:rsidR="00446C9B">
        <w:fldChar w:fldCharType="end"/>
      </w:r>
      <w:r w:rsidR="00446C9B">
        <w:t>)</w:t>
      </w:r>
      <w:r w:rsidR="00F13010">
        <w:t>.</w:t>
      </w:r>
    </w:p>
    <w:p w14:paraId="3F388A47" w14:textId="762B510D" w:rsidR="00446C9B" w:rsidRDefault="00446C9B" w:rsidP="000E01D8">
      <w:pPr>
        <w:pStyle w:val="TableTitle"/>
      </w:pPr>
      <w:bookmarkStart w:id="56" w:name="_Ref98417199"/>
      <w:r w:rsidRPr="00446C9B">
        <w:lastRenderedPageBreak/>
        <w:t xml:space="preserve">Table </w:t>
      </w:r>
      <w:fldSimple w:instr=" SEQ Table \* ARABIC ">
        <w:r w:rsidR="007E2134">
          <w:rPr>
            <w:noProof/>
          </w:rPr>
          <w:t>13</w:t>
        </w:r>
      </w:fldSimple>
      <w:bookmarkEnd w:id="56"/>
      <w:r>
        <w:t xml:space="preserve">: </w:t>
      </w:r>
      <w:r w:rsidRPr="00446C9B">
        <w:t xml:space="preserve">VIALE-C </w:t>
      </w:r>
      <w:r>
        <w:t>trial</w:t>
      </w:r>
      <w:r w:rsidRPr="00446C9B">
        <w:t xml:space="preserve"> </w:t>
      </w:r>
      <w:r>
        <w:t>B</w:t>
      </w:r>
      <w:r w:rsidRPr="00446C9B">
        <w:t>aseline disease characteristics</w:t>
      </w:r>
    </w:p>
    <w:p w14:paraId="02F04110" w14:textId="18BDAA3C" w:rsidR="00446C9B" w:rsidRDefault="00446C9B" w:rsidP="00446C9B">
      <w:r>
        <w:rPr>
          <w:noProof/>
          <w:lang w:val="en-GB" w:eastAsia="en-GB"/>
        </w:rPr>
        <w:drawing>
          <wp:inline distT="0" distB="0" distL="0" distR="0" wp14:anchorId="2BA6226D" wp14:editId="30B9B5B8">
            <wp:extent cx="5237683" cy="4863998"/>
            <wp:effectExtent l="0" t="0" r="127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0">
                      <a:lum bright="-20000" contrast="40000"/>
                      <a:extLst>
                        <a:ext uri="{28A0092B-C50C-407E-A947-70E740481C1C}">
                          <a14:useLocalDpi xmlns:a14="http://schemas.microsoft.com/office/drawing/2010/main" val="0"/>
                        </a:ext>
                      </a:extLst>
                    </a:blip>
                    <a:srcRect t="957" r="2971" b="19491"/>
                    <a:stretch/>
                  </pic:blipFill>
                  <pic:spPr bwMode="auto">
                    <a:xfrm>
                      <a:off x="0" y="0"/>
                      <a:ext cx="5238332" cy="4864601"/>
                    </a:xfrm>
                    <a:prstGeom prst="rect">
                      <a:avLst/>
                    </a:prstGeom>
                    <a:noFill/>
                    <a:ln>
                      <a:noFill/>
                    </a:ln>
                    <a:extLst>
                      <a:ext uri="{53640926-AAD7-44D8-BBD7-CCE9431645EC}">
                        <a14:shadowObscured xmlns:a14="http://schemas.microsoft.com/office/drawing/2010/main"/>
                      </a:ext>
                    </a:extLst>
                  </pic:spPr>
                </pic:pic>
              </a:graphicData>
            </a:graphic>
          </wp:inline>
        </w:drawing>
      </w:r>
    </w:p>
    <w:p w14:paraId="213D27F8" w14:textId="5CB44D2C" w:rsidR="00446C9B" w:rsidRDefault="00446C9B" w:rsidP="00446C9B">
      <w:pPr>
        <w:pStyle w:val="TableDescription"/>
      </w:pPr>
      <w:r>
        <w:t>AML = acute myeloid leuk</w:t>
      </w:r>
      <w:r w:rsidR="00402974">
        <w:t>a</w:t>
      </w:r>
      <w:r>
        <w:t xml:space="preserve">emia; ECOG = Eastern Cooperative Oncology Group; EDC = electronic data capture; FLT 3 = FMS-like tyrosine kinase; HMA = hypomethylating agent; IDH = isocitrate dehydrogenase; LDAC = low dose cytarabine; MDS = </w:t>
      </w:r>
      <w:proofErr w:type="spellStart"/>
      <w:r>
        <w:t>myelodydsplastic</w:t>
      </w:r>
      <w:proofErr w:type="spellEnd"/>
      <w:r>
        <w:t xml:space="preserve"> syndrome; N = sample size; n = number of patients; NPM = </w:t>
      </w:r>
      <w:proofErr w:type="spellStart"/>
      <w:r>
        <w:t>nucleophosmin</w:t>
      </w:r>
      <w:proofErr w:type="spellEnd"/>
      <w:r>
        <w:t xml:space="preserve">; PBO = placebo; RBS = red blood cell; TP = tumour protein; VEN = </w:t>
      </w:r>
      <w:proofErr w:type="spellStart"/>
      <w:r>
        <w:t>venetoclax</w:t>
      </w:r>
      <w:proofErr w:type="spellEnd"/>
    </w:p>
    <w:p w14:paraId="42F796B8" w14:textId="3939B4ED" w:rsidR="00446C9B" w:rsidRDefault="00446C9B" w:rsidP="00446C9B">
      <w:pPr>
        <w:pStyle w:val="TableDescription"/>
      </w:pPr>
      <w:proofErr w:type="spellStart"/>
      <w:r>
        <w:t>a</w:t>
      </w:r>
      <w:proofErr w:type="spellEnd"/>
      <w:r>
        <w:t xml:space="preserve"> Per the 2016 National Comprehensive Cancer Network (NCCN) Guidelines</w:t>
      </w:r>
    </w:p>
    <w:p w14:paraId="75DECD79" w14:textId="544DA570" w:rsidR="00446C9B" w:rsidRDefault="00446C9B" w:rsidP="00446C9B">
      <w:pPr>
        <w:pStyle w:val="TableDescription"/>
      </w:pPr>
      <w:r>
        <w:t xml:space="preserve">b Number of evaluable BMA specimens received </w:t>
      </w:r>
      <w:r w:rsidR="00C7639C">
        <w:t>at Baseline</w:t>
      </w:r>
      <w:r>
        <w:t xml:space="preserve"> with mutations detected by </w:t>
      </w:r>
      <w:proofErr w:type="spellStart"/>
      <w:r>
        <w:t>MyAML</w:t>
      </w:r>
      <w:proofErr w:type="spellEnd"/>
      <w:r>
        <w:t xml:space="preserve"> assay</w:t>
      </w:r>
    </w:p>
    <w:p w14:paraId="7DD31648" w14:textId="53F35806" w:rsidR="00446C9B" w:rsidRDefault="00446C9B" w:rsidP="00446C9B">
      <w:pPr>
        <w:pStyle w:val="TableDescription"/>
      </w:pPr>
      <w:r>
        <w:t>Note: Data included are subject to a cut</w:t>
      </w:r>
      <w:r w:rsidR="00EC3338">
        <w:t>-</w:t>
      </w:r>
      <w:r>
        <w:t>off date of 15 February 2019</w:t>
      </w:r>
    </w:p>
    <w:p w14:paraId="03B1BD0E" w14:textId="3B562234" w:rsidR="00446C9B" w:rsidRDefault="00446C9B" w:rsidP="008B026D">
      <w:r>
        <w:t xml:space="preserve">Follow-up in this study was for 12 months. Duration of treatment was 3.9 months in the </w:t>
      </w:r>
      <w:proofErr w:type="spellStart"/>
      <w:r w:rsidR="008B026D">
        <w:t>venetoclax</w:t>
      </w:r>
      <w:proofErr w:type="spellEnd"/>
      <w:r w:rsidR="008B026D">
        <w:t xml:space="preserve"> in combination of low dose cytarabine</w:t>
      </w:r>
      <w:r>
        <w:t xml:space="preserve"> arm and 1.7 months in the </w:t>
      </w:r>
      <w:r w:rsidR="008B026D">
        <w:t>placebo in combination of low dose cytarabine</w:t>
      </w:r>
      <w:r>
        <w:t xml:space="preserve"> arm.</w:t>
      </w:r>
    </w:p>
    <w:p w14:paraId="726B0AA4" w14:textId="189F8662" w:rsidR="00EC3338" w:rsidRDefault="00EC3338" w:rsidP="00EC3338">
      <w:pPr>
        <w:pStyle w:val="Heading6"/>
      </w:pPr>
      <w:r>
        <w:t>Overall survival</w:t>
      </w:r>
    </w:p>
    <w:p w14:paraId="54AE70B1" w14:textId="4A6D067C" w:rsidR="00446C9B" w:rsidRDefault="00446C9B" w:rsidP="008B026D">
      <w:r>
        <w:t xml:space="preserve">The primary endpoint was overall survival. Below is a summary of the results followed by the </w:t>
      </w:r>
      <w:r w:rsidR="008B026D" w:rsidRPr="008B026D">
        <w:t>Kaplan Meier</w:t>
      </w:r>
      <w:r>
        <w:t xml:space="preserve"> curves for this endpoint</w:t>
      </w:r>
      <w:r w:rsidR="008B026D">
        <w:t xml:space="preserve"> (</w:t>
      </w:r>
      <w:r w:rsidR="008B026D">
        <w:fldChar w:fldCharType="begin"/>
      </w:r>
      <w:r w:rsidR="008B026D">
        <w:instrText xml:space="preserve"> REF _Ref98417901 \h </w:instrText>
      </w:r>
      <w:r w:rsidR="008B026D">
        <w:fldChar w:fldCharType="separate"/>
      </w:r>
      <w:r w:rsidR="00211D51" w:rsidRPr="008B026D">
        <w:t xml:space="preserve">Table </w:t>
      </w:r>
      <w:r w:rsidR="00211D51">
        <w:rPr>
          <w:noProof/>
        </w:rPr>
        <w:t>14</w:t>
      </w:r>
      <w:r w:rsidR="008B026D">
        <w:fldChar w:fldCharType="end"/>
      </w:r>
      <w:r w:rsidR="008B026D">
        <w:t>).</w:t>
      </w:r>
    </w:p>
    <w:p w14:paraId="5832638F" w14:textId="3277DDD8" w:rsidR="00446C9B" w:rsidRDefault="008B026D" w:rsidP="008B026D">
      <w:pPr>
        <w:pStyle w:val="TableTitle"/>
      </w:pPr>
      <w:bookmarkStart w:id="57" w:name="_Ref98417901"/>
      <w:r w:rsidRPr="008B026D">
        <w:lastRenderedPageBreak/>
        <w:t xml:space="preserve">Table </w:t>
      </w:r>
      <w:fldSimple w:instr=" SEQ Table \* ARABIC ">
        <w:r w:rsidR="007E2134">
          <w:rPr>
            <w:noProof/>
          </w:rPr>
          <w:t>14</w:t>
        </w:r>
      </w:fldSimple>
      <w:bookmarkEnd w:id="57"/>
      <w:r>
        <w:t xml:space="preserve">: </w:t>
      </w:r>
      <w:r w:rsidRPr="008B026D">
        <w:t xml:space="preserve">VIALE-C </w:t>
      </w:r>
      <w:r>
        <w:t>trial</w:t>
      </w:r>
      <w:r w:rsidRPr="008B026D">
        <w:t xml:space="preserve"> Overall </w:t>
      </w:r>
      <w:r>
        <w:t>s</w:t>
      </w:r>
      <w:r w:rsidRPr="008B026D">
        <w:t>urvival</w:t>
      </w:r>
    </w:p>
    <w:p w14:paraId="5B989D2E" w14:textId="5B670B83" w:rsidR="008B026D" w:rsidRDefault="008B026D" w:rsidP="008B026D">
      <w:r>
        <w:rPr>
          <w:noProof/>
          <w:lang w:val="en-GB" w:eastAsia="en-GB"/>
        </w:rPr>
        <w:drawing>
          <wp:inline distT="0" distB="0" distL="0" distR="0" wp14:anchorId="5380B4DC" wp14:editId="609EE0A0">
            <wp:extent cx="5018177" cy="2018796"/>
            <wp:effectExtent l="0" t="0" r="0" b="63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1">
                      <a:lum bright="-20000" contrast="40000"/>
                      <a:extLst>
                        <a:ext uri="{28A0092B-C50C-407E-A947-70E740481C1C}">
                          <a14:useLocalDpi xmlns:a14="http://schemas.microsoft.com/office/drawing/2010/main" val="0"/>
                        </a:ext>
                      </a:extLst>
                    </a:blip>
                    <a:srcRect l="2438" t="3031" r="4624" b="32633"/>
                    <a:stretch/>
                  </pic:blipFill>
                  <pic:spPr bwMode="auto">
                    <a:xfrm>
                      <a:off x="0" y="0"/>
                      <a:ext cx="5018649" cy="2018986"/>
                    </a:xfrm>
                    <a:prstGeom prst="rect">
                      <a:avLst/>
                    </a:prstGeom>
                    <a:noFill/>
                    <a:ln>
                      <a:noFill/>
                    </a:ln>
                    <a:extLst>
                      <a:ext uri="{53640926-AAD7-44D8-BBD7-CCE9431645EC}">
                        <a14:shadowObscured xmlns:a14="http://schemas.microsoft.com/office/drawing/2010/main"/>
                      </a:ext>
                    </a:extLst>
                  </pic:spPr>
                </pic:pic>
              </a:graphicData>
            </a:graphic>
          </wp:inline>
        </w:drawing>
      </w:r>
    </w:p>
    <w:p w14:paraId="1B319315" w14:textId="0C0184C1" w:rsidR="008B026D" w:rsidRDefault="008B026D" w:rsidP="008B026D">
      <w:pPr>
        <w:pStyle w:val="TableDescription"/>
      </w:pPr>
      <w:r>
        <w:t>AML = acute myeloid leuk</w:t>
      </w:r>
      <w:r w:rsidR="00402974">
        <w:t>a</w:t>
      </w:r>
      <w:r>
        <w:t xml:space="preserve">emia; CI = confidence interval; IVRS = interactive voice response system; IWRS = interactive web response system; LDAC = low dose cytarabine; N = sample size; n = number of patients; NA = not available; NR = not reached; PBO = placebo; VEN = </w:t>
      </w:r>
      <w:proofErr w:type="spellStart"/>
      <w:r>
        <w:t>venetoclax</w:t>
      </w:r>
      <w:proofErr w:type="spellEnd"/>
    </w:p>
    <w:p w14:paraId="1DB65365" w14:textId="26870C54" w:rsidR="008B026D" w:rsidRDefault="008B026D" w:rsidP="008B026D">
      <w:pPr>
        <w:pStyle w:val="TableDescription"/>
      </w:pPr>
      <w:r>
        <w:t>a Stratified by AML status (</w:t>
      </w:r>
      <w:r w:rsidRPr="008B026D">
        <w:rPr>
          <w:i/>
          <w:iCs/>
        </w:rPr>
        <w:t>de novo</w:t>
      </w:r>
      <w:r>
        <w:t xml:space="preserve">, secondary) and </w:t>
      </w:r>
      <w:r w:rsidR="00B96CB1">
        <w:t>age (18 to &lt; 75, ≥ 75) from IVRS/IWRS</w:t>
      </w:r>
    </w:p>
    <w:p w14:paraId="305118C4" w14:textId="2220DB3C" w:rsidR="00B96CB1" w:rsidRDefault="00B96CB1" w:rsidP="008B026D">
      <w:pPr>
        <w:pStyle w:val="TableDescription"/>
      </w:pPr>
      <w:r>
        <w:t xml:space="preserve">Note: Data included are subject to </w:t>
      </w:r>
      <w:proofErr w:type="spellStart"/>
      <w:r>
        <w:t>cutoff</w:t>
      </w:r>
      <w:proofErr w:type="spellEnd"/>
      <w:r>
        <w:t xml:space="preserve"> date of 15 February 2019.</w:t>
      </w:r>
    </w:p>
    <w:p w14:paraId="61874930" w14:textId="5AE522BC" w:rsidR="00B96CB1" w:rsidRDefault="00B96CB1" w:rsidP="00B96CB1">
      <w:pPr>
        <w:pStyle w:val="FigureTitle"/>
      </w:pPr>
      <w:r w:rsidRPr="00B96CB1">
        <w:t xml:space="preserve">Figure </w:t>
      </w:r>
      <w:fldSimple w:instr=" SEQ Figure \* ARABIC ">
        <w:r w:rsidR="007E2134">
          <w:rPr>
            <w:noProof/>
          </w:rPr>
          <w:t>3</w:t>
        </w:r>
      </w:fldSimple>
      <w:r>
        <w:t xml:space="preserve">: </w:t>
      </w:r>
      <w:r w:rsidRPr="00B96CB1">
        <w:t xml:space="preserve">VIALE-C </w:t>
      </w:r>
      <w:r>
        <w:t>trial</w:t>
      </w:r>
      <w:r w:rsidRPr="00B96CB1">
        <w:t xml:space="preserve"> </w:t>
      </w:r>
      <w:r w:rsidRPr="008B026D">
        <w:t>Kaplan Meier</w:t>
      </w:r>
      <w:r w:rsidRPr="00B96CB1">
        <w:t xml:space="preserve"> </w:t>
      </w:r>
      <w:r>
        <w:t>c</w:t>
      </w:r>
      <w:r w:rsidRPr="00B96CB1">
        <w:t xml:space="preserve">urve </w:t>
      </w:r>
      <w:r>
        <w:t>o</w:t>
      </w:r>
      <w:r w:rsidRPr="00B96CB1">
        <w:t xml:space="preserve">verall </w:t>
      </w:r>
      <w:r>
        <w:t>s</w:t>
      </w:r>
      <w:r w:rsidRPr="00B96CB1">
        <w:t>urvival</w:t>
      </w:r>
    </w:p>
    <w:p w14:paraId="6E3729B9" w14:textId="2571094F" w:rsidR="00B96CB1" w:rsidRDefault="00B96CB1" w:rsidP="00B96CB1">
      <w:r>
        <w:rPr>
          <w:noProof/>
          <w:lang w:val="en-GB" w:eastAsia="en-GB"/>
        </w:rPr>
        <w:drawing>
          <wp:inline distT="0" distB="0" distL="0" distR="0" wp14:anchorId="68303E52" wp14:editId="4A1C3337">
            <wp:extent cx="5170925" cy="297688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2">
                      <a:lum bright="-20000" contrast="40000"/>
                      <a:extLst>
                        <a:ext uri="{28A0092B-C50C-407E-A947-70E740481C1C}">
                          <a14:useLocalDpi xmlns:a14="http://schemas.microsoft.com/office/drawing/2010/main" val="0"/>
                        </a:ext>
                      </a:extLst>
                    </a:blip>
                    <a:srcRect l="1220" t="2412" r="3007" b="22059"/>
                    <a:stretch/>
                  </pic:blipFill>
                  <pic:spPr bwMode="auto">
                    <a:xfrm>
                      <a:off x="0" y="0"/>
                      <a:ext cx="5171835" cy="2977404"/>
                    </a:xfrm>
                    <a:prstGeom prst="rect">
                      <a:avLst/>
                    </a:prstGeom>
                    <a:noFill/>
                    <a:ln>
                      <a:noFill/>
                    </a:ln>
                    <a:extLst>
                      <a:ext uri="{53640926-AAD7-44D8-BBD7-CCE9431645EC}">
                        <a14:shadowObscured xmlns:a14="http://schemas.microsoft.com/office/drawing/2010/main"/>
                      </a:ext>
                    </a:extLst>
                  </pic:spPr>
                </pic:pic>
              </a:graphicData>
            </a:graphic>
          </wp:inline>
        </w:drawing>
      </w:r>
    </w:p>
    <w:p w14:paraId="7C7ED95D" w14:textId="67E735BF" w:rsidR="00B96CB1" w:rsidRDefault="00B96CB1" w:rsidP="00B96CB1">
      <w:pPr>
        <w:pStyle w:val="TableDescription"/>
      </w:pPr>
      <w:r>
        <w:t xml:space="preserve">IVRS = interactive voice response system; IWRS = interactive web response system; LDAC = low dose cytarabine, PBO = placebo; VEN = </w:t>
      </w:r>
      <w:proofErr w:type="spellStart"/>
      <w:r>
        <w:t>venetoclax</w:t>
      </w:r>
      <w:proofErr w:type="spellEnd"/>
    </w:p>
    <w:p w14:paraId="2C05BDDC" w14:textId="732CB70D" w:rsidR="00B96CB1" w:rsidRDefault="00B96CB1" w:rsidP="00B96CB1">
      <w:pPr>
        <w:pStyle w:val="TableDescription"/>
      </w:pPr>
      <w:r>
        <w:t>$ Stratified by AML status (de novo, secondary) and age (18 to &lt; 75, ≥75) from IVRS/IWRS</w:t>
      </w:r>
    </w:p>
    <w:p w14:paraId="15775474" w14:textId="4C7661BA" w:rsidR="00B96CB1" w:rsidRDefault="00B96CB1" w:rsidP="00B96CB1">
      <w:pPr>
        <w:pStyle w:val="TableDescription"/>
      </w:pPr>
      <w:r>
        <w:t xml:space="preserve">Note: Data included are subject to a </w:t>
      </w:r>
      <w:proofErr w:type="spellStart"/>
      <w:r>
        <w:t>cutoff</w:t>
      </w:r>
      <w:proofErr w:type="spellEnd"/>
      <w:r>
        <w:t xml:space="preserve"> of 15 February 2019.</w:t>
      </w:r>
    </w:p>
    <w:p w14:paraId="7490083D" w14:textId="260F438A" w:rsidR="00EC3338" w:rsidRDefault="00EC3338" w:rsidP="00EC3338">
      <w:pPr>
        <w:pStyle w:val="Heading6"/>
      </w:pPr>
      <w:r>
        <w:lastRenderedPageBreak/>
        <w:t>Secondary endpoints</w:t>
      </w:r>
    </w:p>
    <w:p w14:paraId="7EA5B32E" w14:textId="1EF8824D" w:rsidR="00B96CB1" w:rsidRDefault="00B96CB1" w:rsidP="00E37D35">
      <w:pPr>
        <w:pStyle w:val="TableTitle"/>
      </w:pPr>
      <w:r w:rsidRPr="00E37D35">
        <w:t xml:space="preserve">Table </w:t>
      </w:r>
      <w:fldSimple w:instr=" SEQ Table \* ARABIC ">
        <w:r w:rsidR="007E2134">
          <w:rPr>
            <w:noProof/>
          </w:rPr>
          <w:t>15</w:t>
        </w:r>
      </w:fldSimple>
      <w:r>
        <w:t xml:space="preserve">: </w:t>
      </w:r>
      <w:r w:rsidR="00E37D35" w:rsidRPr="00E37D35">
        <w:t xml:space="preserve">VIALE-C </w:t>
      </w:r>
      <w:r w:rsidR="00E37D35">
        <w:t xml:space="preserve">trial </w:t>
      </w:r>
      <w:r w:rsidR="00E37D35" w:rsidRPr="00E37D35">
        <w:t xml:space="preserve">Secondary </w:t>
      </w:r>
      <w:r w:rsidR="00E37D35">
        <w:t>e</w:t>
      </w:r>
      <w:r w:rsidR="00E37D35" w:rsidRPr="00E37D35">
        <w:t xml:space="preserve">ndpoint </w:t>
      </w:r>
      <w:r w:rsidR="00E37D35">
        <w:t>s</w:t>
      </w:r>
      <w:r w:rsidR="00E37D35" w:rsidRPr="00E37D35">
        <w:t>ummary</w:t>
      </w:r>
    </w:p>
    <w:p w14:paraId="4196CC86" w14:textId="25F051BD" w:rsidR="00E37D35" w:rsidRDefault="00E37D35" w:rsidP="00E37D35">
      <w:r>
        <w:rPr>
          <w:noProof/>
          <w:lang w:val="en-GB" w:eastAsia="en-GB"/>
        </w:rPr>
        <w:drawing>
          <wp:inline distT="0" distB="0" distL="0" distR="0" wp14:anchorId="78356698" wp14:editId="45D1375C">
            <wp:extent cx="5067300" cy="5591175"/>
            <wp:effectExtent l="0" t="0" r="0" b="9525"/>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3">
                      <a:lum bright="-20000" contrast="40000"/>
                      <a:extLst>
                        <a:ext uri="{28A0092B-C50C-407E-A947-70E740481C1C}">
                          <a14:useLocalDpi xmlns:a14="http://schemas.microsoft.com/office/drawing/2010/main" val="0"/>
                        </a:ext>
                      </a:extLst>
                    </a:blip>
                    <a:srcRect l="3116" t="565" r="4633" b="16715"/>
                    <a:stretch/>
                  </pic:blipFill>
                  <pic:spPr bwMode="auto">
                    <a:xfrm>
                      <a:off x="0" y="0"/>
                      <a:ext cx="5068010" cy="5591958"/>
                    </a:xfrm>
                    <a:prstGeom prst="rect">
                      <a:avLst/>
                    </a:prstGeom>
                    <a:noFill/>
                    <a:ln>
                      <a:noFill/>
                    </a:ln>
                    <a:extLst>
                      <a:ext uri="{53640926-AAD7-44D8-BBD7-CCE9431645EC}">
                        <a14:shadowObscured xmlns:a14="http://schemas.microsoft.com/office/drawing/2010/main"/>
                      </a:ext>
                    </a:extLst>
                  </pic:spPr>
                </pic:pic>
              </a:graphicData>
            </a:graphic>
          </wp:inline>
        </w:drawing>
      </w:r>
    </w:p>
    <w:p w14:paraId="0F7C8B44" w14:textId="0AA50550" w:rsidR="00E37D35" w:rsidRDefault="00E37D35" w:rsidP="00E37D35">
      <w:pPr>
        <w:pStyle w:val="TableDescription"/>
      </w:pPr>
      <w:r>
        <w:t xml:space="preserve">CI = confidence interval; CR = complete remission; </w:t>
      </w:r>
      <w:proofErr w:type="spellStart"/>
      <w:r>
        <w:t>CRh</w:t>
      </w:r>
      <w:proofErr w:type="spellEnd"/>
      <w:r>
        <w:t xml:space="preserve"> = complete remission with partial hematologic recovery; LDAC = low dose cytarabine; MRD = minimum residual disease; N = sample size; n = number of patients; PBO = placebo; RBC = red blood cell; VEN = </w:t>
      </w:r>
      <w:proofErr w:type="spellStart"/>
      <w:r>
        <w:t>Venetoclax</w:t>
      </w:r>
      <w:proofErr w:type="spellEnd"/>
    </w:p>
    <w:p w14:paraId="77C996E4" w14:textId="1915D929" w:rsidR="00E37D35" w:rsidRDefault="00E37D35" w:rsidP="00E37D35">
      <w:pPr>
        <w:pStyle w:val="TableDescription"/>
      </w:pPr>
      <w:r>
        <w:t>a P-value is from Cochran-Mantel-Haenszel test stratified by age (18 to &lt; 75, ≥ 75) and AML status (</w:t>
      </w:r>
      <w:r w:rsidRPr="00E37D35">
        <w:rPr>
          <w:i/>
          <w:iCs/>
        </w:rPr>
        <w:t>de novo</w:t>
      </w:r>
      <w:r>
        <w:t xml:space="preserve">, secondary) from IVRS/IWRS. Because statistical significance was not met for the primary objective in VIALE-C trial, </w:t>
      </w:r>
      <w:proofErr w:type="gramStart"/>
      <w:r>
        <w:t>statistical</w:t>
      </w:r>
      <w:proofErr w:type="gramEnd"/>
      <w:r>
        <w:t xml:space="preserve"> significant cannot be declared for any of the secondary efficacy endpoints. Therefore, these p-values are only descriptive in nature.</w:t>
      </w:r>
    </w:p>
    <w:p w14:paraId="7638A80C" w14:textId="0F0BA929" w:rsidR="00E37D35" w:rsidRDefault="00E37D35" w:rsidP="00E37D35">
      <w:pPr>
        <w:pStyle w:val="TableDescription"/>
      </w:pPr>
      <w:r>
        <w:t xml:space="preserve">Note: data included are subject to a </w:t>
      </w:r>
      <w:proofErr w:type="spellStart"/>
      <w:r>
        <w:t>cutoff</w:t>
      </w:r>
      <w:proofErr w:type="spellEnd"/>
      <w:r>
        <w:t xml:space="preserve"> date of 15 February 2019 for the </w:t>
      </w:r>
      <w:r w:rsidR="000728CE">
        <w:t>p</w:t>
      </w:r>
      <w:r>
        <w:t xml:space="preserve">rimary </w:t>
      </w:r>
      <w:r w:rsidR="000728CE">
        <w:t>a</w:t>
      </w:r>
      <w:r>
        <w:t xml:space="preserve">nalysis and 15 August 2019 for the 6 </w:t>
      </w:r>
      <w:proofErr w:type="gramStart"/>
      <w:r>
        <w:t>month</w:t>
      </w:r>
      <w:proofErr w:type="gramEnd"/>
      <w:r>
        <w:t xml:space="preserve"> follow up analysis</w:t>
      </w:r>
    </w:p>
    <w:p w14:paraId="3BC981A3" w14:textId="05B9DFF4" w:rsidR="003F36AA" w:rsidRDefault="003F36AA" w:rsidP="003F36AA">
      <w:r w:rsidRPr="003F36AA">
        <w:t>An analysis of the best response includes results for complete remission</w:t>
      </w:r>
      <w:r w:rsidR="00EC3338">
        <w:t xml:space="preserve"> (CR)</w:t>
      </w:r>
      <w:r w:rsidRPr="003F36AA">
        <w:t xml:space="preserve"> and the composite endpoint of complete remission including haematological response</w:t>
      </w:r>
      <w:r w:rsidR="00EC3338">
        <w:t xml:space="preserve"> (</w:t>
      </w:r>
      <w:proofErr w:type="spellStart"/>
      <w:r w:rsidR="00EC3338">
        <w:t>CRh</w:t>
      </w:r>
      <w:proofErr w:type="spellEnd"/>
      <w:r w:rsidR="00EC3338">
        <w:t>)</w:t>
      </w:r>
      <w:r w:rsidRPr="003F36AA">
        <w:t>.</w:t>
      </w:r>
    </w:p>
    <w:p w14:paraId="156DC77C" w14:textId="5CDB7539" w:rsidR="003F36AA" w:rsidRDefault="003F36AA" w:rsidP="003F36AA">
      <w:pPr>
        <w:pStyle w:val="TableTitle"/>
      </w:pPr>
      <w:r w:rsidRPr="003F36AA">
        <w:lastRenderedPageBreak/>
        <w:t xml:space="preserve">Table </w:t>
      </w:r>
      <w:fldSimple w:instr=" SEQ Table \* ARABIC ">
        <w:r w:rsidR="007E2134">
          <w:rPr>
            <w:noProof/>
          </w:rPr>
          <w:t>16</w:t>
        </w:r>
      </w:fldSimple>
      <w:r>
        <w:t xml:space="preserve">: </w:t>
      </w:r>
      <w:r w:rsidRPr="003F36AA">
        <w:t xml:space="preserve">VIALE-C </w:t>
      </w:r>
      <w:r>
        <w:t>trial</w:t>
      </w:r>
      <w:r w:rsidRPr="003F36AA">
        <w:t xml:space="preserve"> Best </w:t>
      </w:r>
      <w:r>
        <w:t>o</w:t>
      </w:r>
      <w:r w:rsidRPr="003F36AA">
        <w:t xml:space="preserve">verall </w:t>
      </w:r>
      <w:r>
        <w:t>r</w:t>
      </w:r>
      <w:r w:rsidRPr="003F36AA">
        <w:t>esponse</w:t>
      </w:r>
    </w:p>
    <w:p w14:paraId="4C779471" w14:textId="6CF9268D" w:rsidR="003F36AA" w:rsidRDefault="003F36AA" w:rsidP="00B21B0B">
      <w:pPr>
        <w:jc w:val="both"/>
        <w:rPr>
          <w:noProof/>
        </w:rPr>
      </w:pPr>
      <w:r w:rsidRPr="003F36AA">
        <w:rPr>
          <w:noProof/>
        </w:rPr>
        <w:t xml:space="preserve"> </w:t>
      </w:r>
      <w:r w:rsidR="00B21B0B">
        <w:rPr>
          <w:noProof/>
        </w:rPr>
        <w:drawing>
          <wp:inline distT="0" distB="0" distL="0" distR="0" wp14:anchorId="2D48DF18" wp14:editId="387B92BE">
            <wp:extent cx="4848225" cy="2542043"/>
            <wp:effectExtent l="0" t="0" r="0" b="0"/>
            <wp:docPr id="1" name="Picture 1" descr="VIALE-C trial Best overall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ALE-C trial Best overall response"/>
                    <pic:cNvPicPr/>
                  </pic:nvPicPr>
                  <pic:blipFill>
                    <a:blip r:embed="rId24"/>
                    <a:stretch>
                      <a:fillRect/>
                    </a:stretch>
                  </pic:blipFill>
                  <pic:spPr>
                    <a:xfrm>
                      <a:off x="0" y="0"/>
                      <a:ext cx="4873384" cy="2555235"/>
                    </a:xfrm>
                    <a:prstGeom prst="rect">
                      <a:avLst/>
                    </a:prstGeom>
                  </pic:spPr>
                </pic:pic>
              </a:graphicData>
            </a:graphic>
          </wp:inline>
        </w:drawing>
      </w:r>
    </w:p>
    <w:p w14:paraId="56A2F23F" w14:textId="314E8594" w:rsidR="000728CE" w:rsidRDefault="000728CE" w:rsidP="000728CE">
      <w:pPr>
        <w:pStyle w:val="TableDescription"/>
      </w:pPr>
      <w:r>
        <w:t>AML = acute myeloid leuk</w:t>
      </w:r>
      <w:r w:rsidR="00402974">
        <w:t>a</w:t>
      </w:r>
      <w:r>
        <w:t xml:space="preserve">emia; CI = confidence interval; CR = complete remission; </w:t>
      </w:r>
      <w:proofErr w:type="spellStart"/>
      <w:r>
        <w:t>CRh</w:t>
      </w:r>
      <w:proofErr w:type="spellEnd"/>
      <w:r>
        <w:t xml:space="preserve"> = complete remission with partial hematologic recovery; IVRS = interactive voice response system; IWRS = interactive web response system; LDAC = low dose cytarabine; N = sample size; n = number of patients; SD = standard deviation</w:t>
      </w:r>
    </w:p>
    <w:p w14:paraId="4990838A" w14:textId="77777777" w:rsidR="000728CE" w:rsidRDefault="000728CE" w:rsidP="000728CE">
      <w:pPr>
        <w:pStyle w:val="TableDescription"/>
      </w:pPr>
      <w:r>
        <w:t>a p-value is from Cochran-Mantel-Haenszel test stratified by age (18 to &lt; 75, ≥ 75) and AML status (</w:t>
      </w:r>
      <w:r w:rsidRPr="00E37D35">
        <w:rPr>
          <w:i/>
          <w:iCs/>
        </w:rPr>
        <w:t>de novo</w:t>
      </w:r>
      <w:r>
        <w:t>, secondary) from IVRS/IWRS.</w:t>
      </w:r>
    </w:p>
    <w:p w14:paraId="235288B4" w14:textId="2A8D04F3" w:rsidR="000728CE" w:rsidRDefault="000728CE" w:rsidP="000728CE">
      <w:pPr>
        <w:pStyle w:val="TableDescription"/>
      </w:pPr>
      <w:r>
        <w:t>b 95% CI is from exact binomial distribution</w:t>
      </w:r>
    </w:p>
    <w:p w14:paraId="68F38A79" w14:textId="78CCE034" w:rsidR="000728CE" w:rsidRDefault="000728CE" w:rsidP="000728CE">
      <w:pPr>
        <w:pStyle w:val="TableDescription"/>
      </w:pPr>
      <w:r>
        <w:t>Note: ***. **. * statistically significant cannot be declared for any of the secondary efficacy endpoints. Therefore, these p-value are only for descriptive in nature.</w:t>
      </w:r>
    </w:p>
    <w:p w14:paraId="25BA287F" w14:textId="47A14784" w:rsidR="000728CE" w:rsidRDefault="000728CE" w:rsidP="000728CE">
      <w:pPr>
        <w:pStyle w:val="TableDescription"/>
      </w:pPr>
      <w:r>
        <w:t xml:space="preserve">Note: data included are subject to a </w:t>
      </w:r>
      <w:proofErr w:type="spellStart"/>
      <w:r>
        <w:t>cutoff</w:t>
      </w:r>
      <w:proofErr w:type="spellEnd"/>
      <w:r>
        <w:t xml:space="preserve"> date of 15 February 2019 for the (primary analysis)</w:t>
      </w:r>
    </w:p>
    <w:p w14:paraId="419E6010" w14:textId="4B2C77F3" w:rsidR="000728CE" w:rsidRDefault="000728CE" w:rsidP="000728CE">
      <w:r>
        <w:t>There was a greater CR</w:t>
      </w:r>
      <w:r w:rsidR="00A63854">
        <w:t xml:space="preserve"> plus </w:t>
      </w:r>
      <w:proofErr w:type="spellStart"/>
      <w:r>
        <w:t>CRh</w:t>
      </w:r>
      <w:proofErr w:type="spellEnd"/>
      <w:r>
        <w:t xml:space="preserve"> response for </w:t>
      </w:r>
      <w:proofErr w:type="spellStart"/>
      <w:r w:rsidR="00A63854">
        <w:t>venetoclax</w:t>
      </w:r>
      <w:proofErr w:type="spellEnd"/>
      <w:r w:rsidR="00A63854">
        <w:t xml:space="preserve"> in combination with low dose cytarabine</w:t>
      </w:r>
      <w:r>
        <w:t xml:space="preserve"> by intermediate cytogenetic risk, poor cytogene</w:t>
      </w:r>
      <w:r w:rsidR="00EC3338">
        <w:t>t</w:t>
      </w:r>
      <w:r>
        <w:t xml:space="preserve">ic risk, primary AML, secondary AML, </w:t>
      </w:r>
      <w:r w:rsidR="0032396E" w:rsidRPr="0032396E">
        <w:t>acute myeloid leuk</w:t>
      </w:r>
      <w:r w:rsidR="00B34CB3">
        <w:t>a</w:t>
      </w:r>
      <w:r w:rsidR="0032396E" w:rsidRPr="0032396E">
        <w:t>emia with myelodysplasia</w:t>
      </w:r>
      <w:r w:rsidR="0032396E">
        <w:t xml:space="preserve"> </w:t>
      </w:r>
      <w:r w:rsidR="0032396E" w:rsidRPr="0032396E">
        <w:t xml:space="preserve">related changes </w:t>
      </w:r>
      <w:r w:rsidR="0032396E">
        <w:t>(</w:t>
      </w:r>
      <w:r w:rsidR="00EC3338">
        <w:t>AML</w:t>
      </w:r>
      <w:r w:rsidR="00EC3338">
        <w:noBreakHyphen/>
      </w:r>
      <w:r>
        <w:t>MRC</w:t>
      </w:r>
      <w:r w:rsidR="0032396E">
        <w:t>)</w:t>
      </w:r>
      <w:r>
        <w:t xml:space="preserve"> and with prior </w:t>
      </w:r>
      <w:r w:rsidR="00EC3338">
        <w:t>hypomethylating agents</w:t>
      </w:r>
      <w:r>
        <w:t xml:space="preserve"> for </w:t>
      </w:r>
      <w:r w:rsidR="00EC3338">
        <w:t xml:space="preserve">myelodysplastic </w:t>
      </w:r>
      <w:proofErr w:type="spellStart"/>
      <w:r w:rsidR="00EC3338">
        <w:t>syndome</w:t>
      </w:r>
      <w:proofErr w:type="spellEnd"/>
      <w:r>
        <w:t>.</w:t>
      </w:r>
    </w:p>
    <w:p w14:paraId="11417171" w14:textId="0F09CF58" w:rsidR="000728CE" w:rsidRDefault="000728CE" w:rsidP="000728CE">
      <w:r>
        <w:t xml:space="preserve">At the 15 August 2019 data </w:t>
      </w:r>
      <w:proofErr w:type="spellStart"/>
      <w:r>
        <w:t>cutoff</w:t>
      </w:r>
      <w:proofErr w:type="spellEnd"/>
      <w:r>
        <w:t xml:space="preserve">, 117 patients </w:t>
      </w:r>
      <w:r w:rsidR="00A63854">
        <w:t>(</w:t>
      </w:r>
      <w:r>
        <w:t>81.8%</w:t>
      </w:r>
      <w:r w:rsidR="00A63854">
        <w:t>)</w:t>
      </w:r>
      <w:r>
        <w:t xml:space="preserve"> in </w:t>
      </w:r>
      <w:proofErr w:type="spellStart"/>
      <w:r w:rsidR="00A63854">
        <w:t>venetoclax</w:t>
      </w:r>
      <w:proofErr w:type="spellEnd"/>
      <w:r w:rsidR="00A63854">
        <w:t xml:space="preserve"> with low dose cytarabine </w:t>
      </w:r>
      <w:r w:rsidR="0032396E">
        <w:t xml:space="preserve">combination </w:t>
      </w:r>
      <w:r>
        <w:t xml:space="preserve">arm and 63 patients </w:t>
      </w:r>
      <w:r w:rsidR="00A63854">
        <w:t>(</w:t>
      </w:r>
      <w:r>
        <w:t>92.6%</w:t>
      </w:r>
      <w:r w:rsidR="00A63854">
        <w:t>)</w:t>
      </w:r>
      <w:r>
        <w:t xml:space="preserve"> in </w:t>
      </w:r>
      <w:r w:rsidR="00A63854">
        <w:t>placebo with</w:t>
      </w:r>
      <w:r>
        <w:t xml:space="preserve"> </w:t>
      </w:r>
      <w:r w:rsidR="00A63854">
        <w:t>low dose cytarabine</w:t>
      </w:r>
      <w:r>
        <w:t xml:space="preserve"> </w:t>
      </w:r>
      <w:r w:rsidR="0032396E">
        <w:t xml:space="preserve">combination </w:t>
      </w:r>
      <w:r>
        <w:t xml:space="preserve">arm had discontinued treatment, and around 75% overall had discontinued the study. Death had occurred in 69.7% of the </w:t>
      </w:r>
      <w:proofErr w:type="spellStart"/>
      <w:r w:rsidR="00A63854">
        <w:t>venetoclax</w:t>
      </w:r>
      <w:proofErr w:type="spellEnd"/>
      <w:r w:rsidR="00A63854">
        <w:t xml:space="preserve"> in combination with low dose cytarabine arm </w:t>
      </w:r>
      <w:r>
        <w:t xml:space="preserve">and 79.4% in the </w:t>
      </w:r>
      <w:r w:rsidR="00A63854">
        <w:t>placebo in combination with low dose cytarabine arm</w:t>
      </w:r>
      <w:r>
        <w:t xml:space="preserve">. The </w:t>
      </w:r>
      <w:r w:rsidR="00EC3338">
        <w:t xml:space="preserve">hazard ratio </w:t>
      </w:r>
      <w:r>
        <w:t xml:space="preserve">for </w:t>
      </w:r>
      <w:r w:rsidR="00EC3338">
        <w:t>overall survival</w:t>
      </w:r>
      <w:r>
        <w:t xml:space="preserve"> was 0.70 (95% C</w:t>
      </w:r>
      <w:r w:rsidR="003D3B92">
        <w:t>I: 0.50, 0.99); nominal p</w:t>
      </w:r>
      <w:r w:rsidR="003D3B92">
        <w:noBreakHyphen/>
      </w:r>
      <w:r w:rsidR="00EC3338">
        <w:t>value </w:t>
      </w:r>
      <w:r>
        <w:t>=</w:t>
      </w:r>
      <w:r w:rsidR="00EC3338">
        <w:t> </w:t>
      </w:r>
      <w:r w:rsidR="008A040F">
        <w:t>0.040</w:t>
      </w:r>
      <w:r>
        <w:t>.</w:t>
      </w:r>
    </w:p>
    <w:p w14:paraId="1ABA85EA" w14:textId="54935A63" w:rsidR="00D8772C" w:rsidRDefault="00D8772C" w:rsidP="00D8772C">
      <w:pPr>
        <w:pStyle w:val="Heading5"/>
      </w:pPr>
      <w:r>
        <w:t>Study M14-387</w:t>
      </w:r>
    </w:p>
    <w:p w14:paraId="1F7BB0E3" w14:textId="62A7A14C" w:rsidR="00D8772C" w:rsidRDefault="00D8772C" w:rsidP="00D8772C">
      <w:r>
        <w:t xml:space="preserve">Study M14-387 was a Phase </w:t>
      </w:r>
      <w:r w:rsidR="00192FBF">
        <w:t>I/</w:t>
      </w:r>
      <w:r>
        <w:t xml:space="preserve">II, multicentre, open label, single arm study of 82 adults with newly diagnosed AML ineligible for standard induction therapy. Patients received </w:t>
      </w:r>
      <w:proofErr w:type="spellStart"/>
      <w:r>
        <w:t>venetoclax</w:t>
      </w:r>
      <w:proofErr w:type="spellEnd"/>
      <w:r>
        <w:t xml:space="preserve"> 600 mg in combination with low dose cytarabine (20 mg/m</w:t>
      </w:r>
      <w:r w:rsidRPr="00D8772C">
        <w:rPr>
          <w:vertAlign w:val="superscript"/>
        </w:rPr>
        <w:t>2</w:t>
      </w:r>
      <w:r>
        <w:t xml:space="preserve">). The efficacy population were 61 patients who were </w:t>
      </w:r>
      <w:r w:rsidR="0032396E">
        <w:t>greater or equal to</w:t>
      </w:r>
      <w:r>
        <w:t xml:space="preserve"> 75 years of age or who had comorbidities that precluded standard intensive induction chemotherapy. In combination with low dose cytarabine, the CR rate was 21% (95% CI: 12, 34) with a median duration of CR of 22.9 months (95% CI: 5.1 to not reached). The </w:t>
      </w:r>
      <w:proofErr w:type="spellStart"/>
      <w:r>
        <w:t>CRh</w:t>
      </w:r>
      <w:proofErr w:type="spellEnd"/>
      <w:r>
        <w:t xml:space="preserve"> rate was 21%.</w:t>
      </w:r>
    </w:p>
    <w:p w14:paraId="4317BF7E" w14:textId="4241A695" w:rsidR="00D8772C" w:rsidRDefault="00D8772C" w:rsidP="00D8772C">
      <w:pPr>
        <w:pStyle w:val="Heading4"/>
      </w:pPr>
      <w:r>
        <w:t>Safety</w:t>
      </w:r>
    </w:p>
    <w:p w14:paraId="5A085FF8" w14:textId="366E6FC6" w:rsidR="00D8772C" w:rsidRDefault="00D8772C" w:rsidP="00D8772C">
      <w:r>
        <w:t xml:space="preserve">The safety data set was derived 622 adult patients with AML exposed to at least one dose of </w:t>
      </w:r>
      <w:proofErr w:type="spellStart"/>
      <w:r>
        <w:t>venetoclax</w:t>
      </w:r>
      <w:proofErr w:type="spellEnd"/>
      <w:r>
        <w:t xml:space="preserve"> in the clinical studies and 212 patients exposed to a </w:t>
      </w:r>
      <w:proofErr w:type="gramStart"/>
      <w:r>
        <w:t>placebo combinations</w:t>
      </w:r>
      <w:proofErr w:type="gramEnd"/>
      <w:r w:rsidR="002A4E04">
        <w:t xml:space="preserve"> (See </w:t>
      </w:r>
      <w:r w:rsidR="002A4E04">
        <w:fldChar w:fldCharType="begin"/>
      </w:r>
      <w:r w:rsidR="002A4E04">
        <w:instrText xml:space="preserve"> REF _Ref99112474 \h </w:instrText>
      </w:r>
      <w:r w:rsidR="002A4E04">
        <w:fldChar w:fldCharType="separate"/>
      </w:r>
      <w:r w:rsidR="002A4E04" w:rsidRPr="00D8772C">
        <w:t xml:space="preserve">Table </w:t>
      </w:r>
      <w:r w:rsidR="002A4E04">
        <w:rPr>
          <w:noProof/>
        </w:rPr>
        <w:t>17</w:t>
      </w:r>
      <w:r w:rsidR="002A4E04">
        <w:fldChar w:fldCharType="end"/>
      </w:r>
      <w:r w:rsidR="002A4E04">
        <w:t>)</w:t>
      </w:r>
      <w:r>
        <w:t>.</w:t>
      </w:r>
    </w:p>
    <w:p w14:paraId="0E569DCA" w14:textId="24585C9B" w:rsidR="00D8772C" w:rsidRDefault="00D8772C" w:rsidP="00D8772C">
      <w:r>
        <w:lastRenderedPageBreak/>
        <w:t>The sponsor has tabulated the adverse events for each stu</w:t>
      </w:r>
      <w:r w:rsidR="003D3B92">
        <w:t>dy in the submission as follows in Table 17.</w:t>
      </w:r>
    </w:p>
    <w:p w14:paraId="7DDFBC5F" w14:textId="34666B97" w:rsidR="00D8772C" w:rsidRDefault="00D8772C" w:rsidP="00D8772C">
      <w:pPr>
        <w:pStyle w:val="TableTitle"/>
      </w:pPr>
      <w:bookmarkStart w:id="58" w:name="_Ref99112474"/>
      <w:r w:rsidRPr="00D8772C">
        <w:t xml:space="preserve">Table </w:t>
      </w:r>
      <w:fldSimple w:instr=" SEQ Table \* ARABIC ">
        <w:r w:rsidR="007E2134">
          <w:rPr>
            <w:noProof/>
          </w:rPr>
          <w:t>17</w:t>
        </w:r>
      </w:fldSimple>
      <w:bookmarkEnd w:id="58"/>
      <w:r>
        <w:t>: Overall safety summary</w:t>
      </w:r>
    </w:p>
    <w:p w14:paraId="0E06A504" w14:textId="7358ECF3" w:rsidR="000F1970" w:rsidRDefault="00B21B0B" w:rsidP="00D8772C">
      <w:r>
        <w:rPr>
          <w:noProof/>
        </w:rPr>
        <w:drawing>
          <wp:inline distT="0" distB="0" distL="0" distR="0" wp14:anchorId="3587201D" wp14:editId="6A1972F0">
            <wp:extent cx="5400040" cy="82861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8286115"/>
                    </a:xfrm>
                    <a:prstGeom prst="rect">
                      <a:avLst/>
                    </a:prstGeom>
                  </pic:spPr>
                </pic:pic>
              </a:graphicData>
            </a:graphic>
          </wp:inline>
        </w:drawing>
      </w:r>
    </w:p>
    <w:p w14:paraId="7FED2D86" w14:textId="576B38DF" w:rsidR="00754DD4" w:rsidRDefault="00754DD4" w:rsidP="00754DD4">
      <w:pPr>
        <w:pStyle w:val="TableDescription"/>
      </w:pPr>
    </w:p>
    <w:p w14:paraId="6E6E294A" w14:textId="38526727" w:rsidR="00754DD4" w:rsidRPr="00754DD4" w:rsidRDefault="00754DD4" w:rsidP="00754DD4">
      <w:pPr>
        <w:pStyle w:val="TableDescription"/>
      </w:pPr>
      <w:r w:rsidRPr="00754DD4">
        <w:t>AML = acute myeloid leuk</w:t>
      </w:r>
      <w:r w:rsidR="00402974">
        <w:t>a</w:t>
      </w:r>
      <w:r w:rsidRPr="00754DD4">
        <w:t xml:space="preserve">emia; AZA = </w:t>
      </w:r>
      <w:proofErr w:type="spellStart"/>
      <w:r w:rsidRPr="00754DD4">
        <w:t>azac</w:t>
      </w:r>
      <w:r>
        <w:t>i</w:t>
      </w:r>
      <w:r w:rsidRPr="00754DD4">
        <w:t>tidine</w:t>
      </w:r>
      <w:proofErr w:type="spellEnd"/>
      <w:r w:rsidRPr="00754DD4">
        <w:t>; DEC = decitabine; HMA = hypomethylating agent; LDAC = low dose cytarabin</w:t>
      </w:r>
      <w:r w:rsidR="003D3B92">
        <w:t>e; MedDRA = Medical Dictionary f</w:t>
      </w:r>
      <w:r w:rsidRPr="00754DD4">
        <w:t>or Regulatory Activit</w:t>
      </w:r>
      <w:r w:rsidR="003D3B92">
        <w:t>ies; N = sample size; n = </w:t>
      </w:r>
      <w:r w:rsidRPr="00754DD4">
        <w:t xml:space="preserve">number of patients; PBO = placebo; PT = Preferred Term; SAE = serious adverse event; SOC = System Organ Class; VEN = </w:t>
      </w:r>
      <w:proofErr w:type="spellStart"/>
      <w:r w:rsidRPr="00754DD4">
        <w:t>venetoclax</w:t>
      </w:r>
      <w:proofErr w:type="spellEnd"/>
    </w:p>
    <w:p w14:paraId="6C51AFA8" w14:textId="0D056AE9" w:rsidR="00754DD4" w:rsidRDefault="00754DD4" w:rsidP="00754DD4">
      <w:pPr>
        <w:pStyle w:val="Heading5"/>
      </w:pPr>
      <w:r>
        <w:t>VIALE-A trial</w:t>
      </w:r>
    </w:p>
    <w:p w14:paraId="14CCA723" w14:textId="346D85D5" w:rsidR="00754DD4" w:rsidRDefault="00754DD4" w:rsidP="00347750">
      <w:r w:rsidRPr="00754DD4">
        <w:t>VIALE-A trial</w:t>
      </w:r>
      <w:r>
        <w:t xml:space="preserve"> includes data from </w:t>
      </w:r>
      <w:proofErr w:type="spellStart"/>
      <w:r>
        <w:t>venetoclax</w:t>
      </w:r>
      <w:proofErr w:type="spellEnd"/>
      <w:r>
        <w:t xml:space="preserve"> 400 mg daily dose when used in combination with </w:t>
      </w:r>
      <w:proofErr w:type="spellStart"/>
      <w:r>
        <w:t>azacitidine</w:t>
      </w:r>
      <w:proofErr w:type="spellEnd"/>
      <w:r>
        <w:t xml:space="preserve">. At the time of the primary analysis, the median duration of treatment was 7.6 months (range: &lt; 0.1 to 30.7 months) in the </w:t>
      </w:r>
      <w:proofErr w:type="spellStart"/>
      <w:r>
        <w:t>venetoclax</w:t>
      </w:r>
      <w:proofErr w:type="spellEnd"/>
      <w:r>
        <w:t xml:space="preserve"> in combination with </w:t>
      </w:r>
      <w:proofErr w:type="spellStart"/>
      <w:r>
        <w:t>azacitidine</w:t>
      </w:r>
      <w:proofErr w:type="spellEnd"/>
      <w:r>
        <w:t xml:space="preserve"> arm and 4.3 months (range: 0.1 to 24.0 months) in the </w:t>
      </w:r>
      <w:r w:rsidR="00347750">
        <w:t>placebo</w:t>
      </w:r>
      <w:r w:rsidR="00347750" w:rsidRPr="00347750">
        <w:t xml:space="preserve"> </w:t>
      </w:r>
      <w:r w:rsidR="00347750">
        <w:t xml:space="preserve">in combination with </w:t>
      </w:r>
      <w:proofErr w:type="spellStart"/>
      <w:r w:rsidR="00347750">
        <w:t>azacitidine</w:t>
      </w:r>
      <w:proofErr w:type="spellEnd"/>
      <w:r w:rsidR="00347750">
        <w:t xml:space="preserve"> arm</w:t>
      </w:r>
      <w:r>
        <w:t>.</w:t>
      </w:r>
    </w:p>
    <w:p w14:paraId="0A349ACC" w14:textId="4EE75C59" w:rsidR="00754DD4" w:rsidRDefault="00754DD4" w:rsidP="00347750">
      <w:r>
        <w:t xml:space="preserve">The most common events reported occurring in a higher proportion </w:t>
      </w:r>
      <w:r w:rsidR="00347750">
        <w:t>for</w:t>
      </w:r>
      <w:r>
        <w:t xml:space="preserve"> </w:t>
      </w:r>
      <w:proofErr w:type="spellStart"/>
      <w:r w:rsidR="00347750">
        <w:t>venetoclax</w:t>
      </w:r>
      <w:proofErr w:type="spellEnd"/>
      <w:r w:rsidR="00347750">
        <w:t xml:space="preserve"> when used in combination with </w:t>
      </w:r>
      <w:proofErr w:type="spellStart"/>
      <w:r w:rsidR="00347750">
        <w:t>azacitidine</w:t>
      </w:r>
      <w:proofErr w:type="spellEnd"/>
      <w:r>
        <w:t xml:space="preserve"> included thrombocytopenia, neutropenia, nausea, febrile neutropenia, diarrh</w:t>
      </w:r>
      <w:r w:rsidR="003D3B92">
        <w:t>o</w:t>
      </w:r>
      <w:r>
        <w:t xml:space="preserve">ea, vomiting, </w:t>
      </w:r>
      <w:proofErr w:type="spellStart"/>
      <w:r>
        <w:t>anemia</w:t>
      </w:r>
      <w:proofErr w:type="spellEnd"/>
      <w:r>
        <w:t xml:space="preserve">, decreased appetite, peripheral oedema, leukopenia, and asthenia. Grade ≥ 3 </w:t>
      </w:r>
      <w:r w:rsidR="0032396E">
        <w:t>adverse events (</w:t>
      </w:r>
      <w:r>
        <w:t>AE</w:t>
      </w:r>
      <w:r w:rsidR="0032396E">
        <w:t>)</w:t>
      </w:r>
      <w:r>
        <w:t xml:space="preserve"> more commonly in the </w:t>
      </w:r>
      <w:proofErr w:type="spellStart"/>
      <w:r w:rsidR="00C1248D">
        <w:t>venetoclax</w:t>
      </w:r>
      <w:proofErr w:type="spellEnd"/>
      <w:r w:rsidR="00C1248D">
        <w:t xml:space="preserve"> when used in combination with </w:t>
      </w:r>
      <w:proofErr w:type="spellStart"/>
      <w:r w:rsidR="00C1248D">
        <w:t>azacitidine</w:t>
      </w:r>
      <w:proofErr w:type="spellEnd"/>
      <w:r w:rsidR="00C1248D">
        <w:t xml:space="preserve"> </w:t>
      </w:r>
      <w:r>
        <w:t xml:space="preserve">arm compared to </w:t>
      </w:r>
      <w:r w:rsidR="00C1248D">
        <w:t>placebo</w:t>
      </w:r>
      <w:r w:rsidR="00C1248D" w:rsidRPr="00C1248D">
        <w:t xml:space="preserve"> </w:t>
      </w:r>
      <w:r w:rsidR="00C1248D">
        <w:t xml:space="preserve">when used in combination with </w:t>
      </w:r>
      <w:proofErr w:type="spellStart"/>
      <w:r w:rsidR="00C1248D">
        <w:t>azacitidine</w:t>
      </w:r>
      <w:proofErr w:type="spellEnd"/>
      <w:r w:rsidR="00C1248D">
        <w:t xml:space="preserve"> </w:t>
      </w:r>
      <w:r>
        <w:t>arm were thrombocytopenia, neutropenia, febrile neutropenia, anaemia, leukopenia, and atrial fibrillation.</w:t>
      </w:r>
    </w:p>
    <w:p w14:paraId="1F23369D" w14:textId="476F37BC" w:rsidR="00754DD4" w:rsidRDefault="00754DD4" w:rsidP="00347750">
      <w:r>
        <w:t xml:space="preserve">Deaths occurred in 75.7% of the </w:t>
      </w:r>
      <w:r w:rsidR="00C1248D">
        <w:t>placebo</w:t>
      </w:r>
      <w:r w:rsidR="00C1248D" w:rsidRPr="00C1248D">
        <w:t xml:space="preserve"> </w:t>
      </w:r>
      <w:r w:rsidR="00C1248D">
        <w:t xml:space="preserve">when used in combination with </w:t>
      </w:r>
      <w:proofErr w:type="spellStart"/>
      <w:r w:rsidR="00C1248D">
        <w:t>azacitidine</w:t>
      </w:r>
      <w:proofErr w:type="spellEnd"/>
      <w:r w:rsidR="00C1248D">
        <w:t xml:space="preserve"> arm </w:t>
      </w:r>
      <w:r>
        <w:t xml:space="preserve">and 56.2% of the </w:t>
      </w:r>
      <w:proofErr w:type="spellStart"/>
      <w:r w:rsidR="00C1248D">
        <w:t>venetoclax</w:t>
      </w:r>
      <w:proofErr w:type="spellEnd"/>
      <w:r w:rsidR="00C1248D">
        <w:t xml:space="preserve"> when used in combination with </w:t>
      </w:r>
      <w:proofErr w:type="spellStart"/>
      <w:r w:rsidR="00C1248D">
        <w:t>azacitidine</w:t>
      </w:r>
      <w:proofErr w:type="spellEnd"/>
      <w:r w:rsidR="00C1248D">
        <w:t xml:space="preserve"> arm</w:t>
      </w:r>
      <w:r>
        <w:t xml:space="preserve">. Of those, fatal AEs events occurred in 22.6% of the </w:t>
      </w:r>
      <w:proofErr w:type="spellStart"/>
      <w:r w:rsidR="00C1248D">
        <w:t>venetoclax</w:t>
      </w:r>
      <w:proofErr w:type="spellEnd"/>
      <w:r w:rsidR="00C1248D">
        <w:t xml:space="preserve"> when used in combination with </w:t>
      </w:r>
      <w:proofErr w:type="spellStart"/>
      <w:r w:rsidR="00C1248D">
        <w:t>azacitidine</w:t>
      </w:r>
      <w:proofErr w:type="spellEnd"/>
      <w:r w:rsidR="00C1248D">
        <w:t xml:space="preserve"> arm</w:t>
      </w:r>
      <w:r>
        <w:t xml:space="preserve"> and 20.1% of the </w:t>
      </w:r>
      <w:r w:rsidR="00C1248D">
        <w:t>placebo</w:t>
      </w:r>
      <w:r w:rsidR="00C1248D" w:rsidRPr="00C1248D">
        <w:t xml:space="preserve"> </w:t>
      </w:r>
      <w:r w:rsidR="00C1248D">
        <w:t xml:space="preserve">when used in combination with </w:t>
      </w:r>
      <w:proofErr w:type="spellStart"/>
      <w:r w:rsidR="00C1248D">
        <w:t>azacitidine</w:t>
      </w:r>
      <w:proofErr w:type="spellEnd"/>
      <w:r w:rsidR="00C1248D">
        <w:t xml:space="preserve"> arm</w:t>
      </w:r>
      <w:r>
        <w:t>.</w:t>
      </w:r>
    </w:p>
    <w:p w14:paraId="15DB8F12" w14:textId="49333545" w:rsidR="00754DD4" w:rsidRDefault="00754DD4" w:rsidP="00347750">
      <w:r>
        <w:t xml:space="preserve">Serious </w:t>
      </w:r>
      <w:r w:rsidR="00706A47">
        <w:t>adverse drug reaction</w:t>
      </w:r>
      <w:r w:rsidR="0032396E">
        <w:t xml:space="preserve">s </w:t>
      </w:r>
      <w:r w:rsidR="00706A47">
        <w:t>(</w:t>
      </w:r>
      <w:r>
        <w:t>ADR</w:t>
      </w:r>
      <w:r w:rsidR="00706A47">
        <w:t>)</w:t>
      </w:r>
      <w:r>
        <w:t xml:space="preserve"> in the </w:t>
      </w:r>
      <w:proofErr w:type="spellStart"/>
      <w:r w:rsidR="00706A47">
        <w:t>venetoclax</w:t>
      </w:r>
      <w:proofErr w:type="spellEnd"/>
      <w:r w:rsidR="00706A47">
        <w:t xml:space="preserve"> when used in combination with </w:t>
      </w:r>
      <w:proofErr w:type="spellStart"/>
      <w:r w:rsidR="00706A47">
        <w:t>azacitidine</w:t>
      </w:r>
      <w:proofErr w:type="spellEnd"/>
      <w:r w:rsidR="00706A47">
        <w:t xml:space="preserve"> arm </w:t>
      </w:r>
      <w:r>
        <w:t xml:space="preserve">were seen in 83% of patients and were most commonly febrile neutropenia (30%), pneumonia (23%), sepsis (16%) and haemorrhage (9%). </w:t>
      </w:r>
      <w:r w:rsidR="003D3B92">
        <w:t xml:space="preserve">Adverse events </w:t>
      </w:r>
      <w:r>
        <w:t xml:space="preserve">resulting in deaths due to adverse events were reported in 23% of patients who received </w:t>
      </w:r>
      <w:proofErr w:type="spellStart"/>
      <w:r w:rsidR="00706A47">
        <w:t>venetoclax</w:t>
      </w:r>
      <w:proofErr w:type="spellEnd"/>
      <w:r w:rsidR="00706A47">
        <w:t xml:space="preserve"> and </w:t>
      </w:r>
      <w:proofErr w:type="spellStart"/>
      <w:r w:rsidR="00706A47">
        <w:t>azacitidine</w:t>
      </w:r>
      <w:proofErr w:type="spellEnd"/>
      <w:r w:rsidR="00706A47">
        <w:t xml:space="preserve"> combination arm </w:t>
      </w:r>
      <w:r>
        <w:t>with the most frequent (≥ 2%) being pneumonia (4%), sepsis (3%) and haemorrhage (2%).</w:t>
      </w:r>
    </w:p>
    <w:p w14:paraId="3E8B2D17" w14:textId="75512741" w:rsidR="00754DD4" w:rsidRDefault="00754DD4" w:rsidP="00347750">
      <w:r>
        <w:t>A</w:t>
      </w:r>
      <w:r w:rsidR="00ED07FB">
        <w:t>dverse event</w:t>
      </w:r>
      <w:r>
        <w:t>s leading to study treatment discontinuation were reported for 69 patients</w:t>
      </w:r>
      <w:r w:rsidR="00ED07FB">
        <w:t xml:space="preserve"> </w:t>
      </w:r>
      <w:r>
        <w:t xml:space="preserve">(24.4%) treated with </w:t>
      </w:r>
      <w:proofErr w:type="spellStart"/>
      <w:r w:rsidR="00ED07FB">
        <w:t>venetoclax</w:t>
      </w:r>
      <w:proofErr w:type="spellEnd"/>
      <w:r w:rsidR="00ED07FB">
        <w:t xml:space="preserve"> 400 mg and </w:t>
      </w:r>
      <w:proofErr w:type="spellStart"/>
      <w:r w:rsidR="00ED07FB">
        <w:t>azacitidine</w:t>
      </w:r>
      <w:proofErr w:type="spellEnd"/>
      <w:r w:rsidR="00ED07FB">
        <w:t xml:space="preserve"> combination arms </w:t>
      </w:r>
      <w:r>
        <w:t xml:space="preserve">and 29 patients (20.1%) treated with </w:t>
      </w:r>
      <w:r w:rsidR="00ED07FB">
        <w:t xml:space="preserve">placebo and </w:t>
      </w:r>
      <w:proofErr w:type="spellStart"/>
      <w:r w:rsidR="00ED07FB">
        <w:t>azacitidine</w:t>
      </w:r>
      <w:proofErr w:type="spellEnd"/>
      <w:r>
        <w:t xml:space="preserve">. The most commonly reported </w:t>
      </w:r>
      <w:r w:rsidR="00ED07FB">
        <w:t>adverse events</w:t>
      </w:r>
      <w:r>
        <w:t xml:space="preserve"> leading to </w:t>
      </w:r>
      <w:proofErr w:type="spellStart"/>
      <w:r w:rsidR="00ED07FB">
        <w:t>venetoclax</w:t>
      </w:r>
      <w:proofErr w:type="spellEnd"/>
      <w:r>
        <w:t>/</w:t>
      </w:r>
      <w:r w:rsidR="00ED07FB">
        <w:t>placebo</w:t>
      </w:r>
      <w:r>
        <w:t xml:space="preserve"> discontinuation in the </w:t>
      </w:r>
      <w:proofErr w:type="spellStart"/>
      <w:r w:rsidR="00ED07FB">
        <w:t>venetoclax</w:t>
      </w:r>
      <w:proofErr w:type="spellEnd"/>
      <w:r w:rsidR="00ED07FB">
        <w:t xml:space="preserve"> and </w:t>
      </w:r>
      <w:proofErr w:type="spellStart"/>
      <w:r w:rsidR="00ED07FB">
        <w:t>azacitidine</w:t>
      </w:r>
      <w:proofErr w:type="spellEnd"/>
      <w:r w:rsidR="00ED07FB">
        <w:t xml:space="preserve"> combination arm </w:t>
      </w:r>
      <w:r>
        <w:t xml:space="preserve">versus </w:t>
      </w:r>
      <w:r w:rsidR="00ED07FB">
        <w:t xml:space="preserve">placebo and </w:t>
      </w:r>
      <w:proofErr w:type="spellStart"/>
      <w:r w:rsidR="00ED07FB">
        <w:t>azacitidine</w:t>
      </w:r>
      <w:proofErr w:type="spellEnd"/>
      <w:r w:rsidR="00ED07FB">
        <w:t xml:space="preserve"> combination arm </w:t>
      </w:r>
      <w:r>
        <w:t>were sepsis (1.4% v</w:t>
      </w:r>
      <w:r w:rsidR="00ED07FB">
        <w:t>ersu</w:t>
      </w:r>
      <w:r>
        <w:t>s 3.5%) and pneumonia (1.4% v</w:t>
      </w:r>
      <w:r w:rsidR="00ED07FB">
        <w:t>ersus</w:t>
      </w:r>
      <w:r>
        <w:t xml:space="preserve"> 2.8%), followed by neutropenia (1.4% v</w:t>
      </w:r>
      <w:r w:rsidR="00ED07FB">
        <w:t>ersus</w:t>
      </w:r>
      <w:r>
        <w:t xml:space="preserve"> 1.4%), febrile neutropenia (1.4% v</w:t>
      </w:r>
      <w:r w:rsidR="00ED07FB">
        <w:t>ersus</w:t>
      </w:r>
      <w:r>
        <w:t xml:space="preserve"> 0.7%), and thrombocytopenia (1.1% v</w:t>
      </w:r>
      <w:r w:rsidR="00ED07FB">
        <w:t>ersus</w:t>
      </w:r>
      <w:r>
        <w:t xml:space="preserve"> 2.1%).</w:t>
      </w:r>
    </w:p>
    <w:p w14:paraId="472F3EB6" w14:textId="06641B9E" w:rsidR="00754DD4" w:rsidRPr="00AA041D" w:rsidRDefault="00754DD4" w:rsidP="00AA041D">
      <w:r w:rsidRPr="00AA041D">
        <w:t xml:space="preserve">Tumour lysis syndrome was reported in 1% of the </w:t>
      </w:r>
      <w:proofErr w:type="spellStart"/>
      <w:r w:rsidR="00C20E0F">
        <w:t>venetoclax</w:t>
      </w:r>
      <w:proofErr w:type="spellEnd"/>
      <w:r w:rsidR="00AA041D" w:rsidRPr="00AA041D">
        <w:t xml:space="preserve"> in combination low dose </w:t>
      </w:r>
      <w:proofErr w:type="spellStart"/>
      <w:r w:rsidR="000E51FC">
        <w:t>azacitidine</w:t>
      </w:r>
      <w:proofErr w:type="spellEnd"/>
      <w:r w:rsidR="000E51FC">
        <w:t xml:space="preserve"> </w:t>
      </w:r>
      <w:r w:rsidRPr="00AA041D">
        <w:t>arm.</w:t>
      </w:r>
    </w:p>
    <w:p w14:paraId="7A859E76" w14:textId="5A228904" w:rsidR="00754DD4" w:rsidRDefault="00754DD4" w:rsidP="00F8785F">
      <w:pPr>
        <w:pStyle w:val="Heading5"/>
      </w:pPr>
      <w:r>
        <w:t>VIALE-C</w:t>
      </w:r>
      <w:r w:rsidR="0032396E">
        <w:t xml:space="preserve"> trial</w:t>
      </w:r>
    </w:p>
    <w:p w14:paraId="3B935E52" w14:textId="6A97182C" w:rsidR="00754DD4" w:rsidRDefault="00754DD4" w:rsidP="00F8785F">
      <w:r>
        <w:t xml:space="preserve">This study collected safety information from the use of </w:t>
      </w:r>
      <w:proofErr w:type="spellStart"/>
      <w:r w:rsidR="00F8785F">
        <w:t>venetoclax</w:t>
      </w:r>
      <w:proofErr w:type="spellEnd"/>
      <w:r w:rsidR="00F8785F">
        <w:t xml:space="preserve"> </w:t>
      </w:r>
      <w:r>
        <w:t xml:space="preserve">600 mg </w:t>
      </w:r>
      <w:r w:rsidR="00F8785F">
        <w:t>once daily</w:t>
      </w:r>
      <w:r>
        <w:t xml:space="preserve"> with </w:t>
      </w:r>
      <w:r w:rsidR="00F8785F" w:rsidRPr="00AA041D">
        <w:t>low dose cytarabine</w:t>
      </w:r>
      <w:r>
        <w:t xml:space="preserve"> (n</w:t>
      </w:r>
      <w:r w:rsidR="00F8785F">
        <w:t xml:space="preserve"> </w:t>
      </w:r>
      <w:r>
        <w:t>=</w:t>
      </w:r>
      <w:r w:rsidR="00F8785F">
        <w:t xml:space="preserve"> </w:t>
      </w:r>
      <w:r>
        <w:t>142) v</w:t>
      </w:r>
      <w:r w:rsidR="00F8785F">
        <w:t>ersus</w:t>
      </w:r>
      <w:r>
        <w:t xml:space="preserve"> </w:t>
      </w:r>
      <w:r w:rsidR="00F8785F">
        <w:t xml:space="preserve">placebo in combination of </w:t>
      </w:r>
      <w:r w:rsidR="00F8785F" w:rsidRPr="00AA041D">
        <w:t xml:space="preserve">low dose cytarabine </w:t>
      </w:r>
      <w:r>
        <w:t>(n</w:t>
      </w:r>
      <w:r w:rsidR="00F8785F">
        <w:t> </w:t>
      </w:r>
      <w:r>
        <w:t>=</w:t>
      </w:r>
      <w:r w:rsidR="00F8785F">
        <w:t> </w:t>
      </w:r>
      <w:r>
        <w:t>68). At the time of the primary analysis, the median duration of treatment was 3.9</w:t>
      </w:r>
      <w:r w:rsidR="0032396E">
        <w:t> </w:t>
      </w:r>
      <w:r>
        <w:t xml:space="preserve">months (range: &lt; 0.1 to 17.1 months) in the </w:t>
      </w:r>
      <w:proofErr w:type="spellStart"/>
      <w:r w:rsidR="00C20E0F">
        <w:t>venetoclax</w:t>
      </w:r>
      <w:proofErr w:type="spellEnd"/>
      <w:r w:rsidR="00F8785F">
        <w:t xml:space="preserve"> in combination with low dose cytarabine</w:t>
      </w:r>
      <w:r>
        <w:t xml:space="preserve"> and 1.7 months (range: 0.1 to 14.2 months) in the </w:t>
      </w:r>
      <w:r w:rsidR="00F8785F">
        <w:t xml:space="preserve">placebo with </w:t>
      </w:r>
      <w:r w:rsidR="00F8785F" w:rsidRPr="00AA041D">
        <w:t xml:space="preserve">low dose cytarabine </w:t>
      </w:r>
      <w:r>
        <w:t>arm.</w:t>
      </w:r>
    </w:p>
    <w:p w14:paraId="1F964CED" w14:textId="40CAC5D6" w:rsidR="00754DD4" w:rsidRDefault="00754DD4" w:rsidP="00F8785F">
      <w:r>
        <w:t xml:space="preserve">The most common events reported for any </w:t>
      </w:r>
      <w:r w:rsidR="003D3B92">
        <w:t>g</w:t>
      </w:r>
      <w:r>
        <w:t xml:space="preserve">rade and reported by a higher percentage of patients (≥ 5% of patients) receiving </w:t>
      </w:r>
      <w:proofErr w:type="spellStart"/>
      <w:r w:rsidR="00C20E0F">
        <w:t>venetoclax</w:t>
      </w:r>
      <w:proofErr w:type="spellEnd"/>
      <w:r w:rsidR="00F8785F">
        <w:t xml:space="preserve"> in combination with low dose cytarabine </w:t>
      </w:r>
      <w:r>
        <w:t xml:space="preserve">compared to those with </w:t>
      </w:r>
      <w:r w:rsidR="00F8785F">
        <w:t xml:space="preserve">placebo with </w:t>
      </w:r>
      <w:r w:rsidR="00F8785F" w:rsidRPr="00AA041D">
        <w:t xml:space="preserve">low dose cytarabine </w:t>
      </w:r>
      <w:r w:rsidR="00F8785F">
        <w:t>arm</w:t>
      </w:r>
      <w:r>
        <w:t xml:space="preserve"> were neutropenia, thrombocytopenia, nausea, diarrhoea, hypokalaemia, anaemia, and vomiting. The most common (≥ 5%) Grade ≥ 3 AEs reported in a higher percentage of patients (by ≥ 2%) in </w:t>
      </w:r>
      <w:r>
        <w:lastRenderedPageBreak/>
        <w:t xml:space="preserve">the </w:t>
      </w:r>
      <w:proofErr w:type="spellStart"/>
      <w:r w:rsidR="00C20E0F">
        <w:t>venetoclax</w:t>
      </w:r>
      <w:proofErr w:type="spellEnd"/>
      <w:r w:rsidR="00F8785F">
        <w:t xml:space="preserve"> in combination with low dose cytarabine </w:t>
      </w:r>
      <w:r>
        <w:t xml:space="preserve">arm compared to the </w:t>
      </w:r>
      <w:r w:rsidR="00F8785F">
        <w:t xml:space="preserve">placebo with </w:t>
      </w:r>
      <w:r w:rsidR="00F8785F" w:rsidRPr="00AA041D">
        <w:t xml:space="preserve">low dose cytarabine </w:t>
      </w:r>
      <w:r>
        <w:t>arm were neutropenia, thrombocytopenia, febrile neutropenia, anaemia, and leukopenia.</w:t>
      </w:r>
    </w:p>
    <w:p w14:paraId="6411F178" w14:textId="5EED2EA1" w:rsidR="00754DD4" w:rsidRDefault="00754DD4" w:rsidP="00F8785F">
      <w:r>
        <w:t xml:space="preserve">Deaths occurred in 79.4% of the </w:t>
      </w:r>
      <w:r w:rsidR="00F8785F">
        <w:t xml:space="preserve">placebo with </w:t>
      </w:r>
      <w:r w:rsidR="00F8785F" w:rsidRPr="00AA041D">
        <w:t xml:space="preserve">low dose cytarabine </w:t>
      </w:r>
      <w:r>
        <w:t xml:space="preserve">arm and 69.7% of the </w:t>
      </w:r>
      <w:proofErr w:type="spellStart"/>
      <w:r w:rsidR="0083121B">
        <w:t>venetoclax</w:t>
      </w:r>
      <w:proofErr w:type="spellEnd"/>
      <w:r w:rsidR="0083121B">
        <w:t xml:space="preserve"> in combination with low dose cytarabine arm</w:t>
      </w:r>
      <w:r>
        <w:t xml:space="preserve">. Of those, fatal AEs events occurred in 23.2% of the </w:t>
      </w:r>
      <w:proofErr w:type="spellStart"/>
      <w:r w:rsidR="00C20E0F">
        <w:t>venetoclax</w:t>
      </w:r>
      <w:proofErr w:type="spellEnd"/>
      <w:r w:rsidR="00F8785F">
        <w:t xml:space="preserve"> in combination with low dose cytarabine </w:t>
      </w:r>
      <w:r>
        <w:t xml:space="preserve">arm and 20.6% of the </w:t>
      </w:r>
      <w:r w:rsidR="00F8785F">
        <w:t xml:space="preserve">placebo with </w:t>
      </w:r>
      <w:r w:rsidR="00F8785F" w:rsidRPr="00AA041D">
        <w:t>low dose cytarabine</w:t>
      </w:r>
      <w:r w:rsidR="00F8785F">
        <w:t xml:space="preserve"> </w:t>
      </w:r>
      <w:r>
        <w:t>arm.</w:t>
      </w:r>
    </w:p>
    <w:p w14:paraId="21EB3661" w14:textId="736C90B8" w:rsidR="00754DD4" w:rsidRDefault="00754DD4" w:rsidP="00F8785F">
      <w:r>
        <w:t xml:space="preserve">In </w:t>
      </w:r>
      <w:r w:rsidR="003D3B92">
        <w:t xml:space="preserve">the </w:t>
      </w:r>
      <w:r>
        <w:t>VIALE-C</w:t>
      </w:r>
      <w:r w:rsidR="00F8785F">
        <w:t xml:space="preserve"> trial</w:t>
      </w:r>
      <w:r>
        <w:t xml:space="preserve">, AEs leading to study treatment discontinuation were similar across treatment arms and reported for 37 patients (26.1%) treated with </w:t>
      </w:r>
      <w:proofErr w:type="spellStart"/>
      <w:r w:rsidR="00F8785F">
        <w:t>venetoclax</w:t>
      </w:r>
      <w:proofErr w:type="spellEnd"/>
      <w:r w:rsidR="00F8785F">
        <w:t xml:space="preserve"> 600 mg once daily with </w:t>
      </w:r>
      <w:r w:rsidR="00F8785F" w:rsidRPr="00AA041D">
        <w:t>low dose cytarabine</w:t>
      </w:r>
      <w:r w:rsidR="00F8785F">
        <w:t xml:space="preserve"> </w:t>
      </w:r>
      <w:r>
        <w:t xml:space="preserve">and 16 patients (23.5%) treated with </w:t>
      </w:r>
      <w:r w:rsidR="00F8785F">
        <w:t>placebo in combination with low dose cytarabine</w:t>
      </w:r>
      <w:r>
        <w:t xml:space="preserve">. </w:t>
      </w:r>
      <w:r w:rsidR="003D3B92">
        <w:t>Adverse events</w:t>
      </w:r>
      <w:r>
        <w:t xml:space="preserve"> that led to </w:t>
      </w:r>
      <w:proofErr w:type="spellStart"/>
      <w:r w:rsidR="00F8785F">
        <w:t>venetoclax</w:t>
      </w:r>
      <w:proofErr w:type="spellEnd"/>
      <w:r>
        <w:t xml:space="preserve"> discontinuation, reported in &gt; 1 patient (</w:t>
      </w:r>
      <w:proofErr w:type="spellStart"/>
      <w:r w:rsidR="00F8785F">
        <w:t>venetoclax</w:t>
      </w:r>
      <w:proofErr w:type="spellEnd"/>
      <w:r w:rsidR="00F8785F">
        <w:t xml:space="preserve"> in combination with low dose cytarabine</w:t>
      </w:r>
      <w:r>
        <w:t xml:space="preserve"> arm) included pneumonia (7 patients, 4.9%), febrile neutropenia, lung infection, sepsis, septic shock, and </w:t>
      </w:r>
      <w:r w:rsidR="00F8785F" w:rsidRPr="00F8785F">
        <w:t>tumo</w:t>
      </w:r>
      <w:r w:rsidR="003D3B92">
        <w:t>u</w:t>
      </w:r>
      <w:r w:rsidR="00F8785F" w:rsidRPr="00F8785F">
        <w:t xml:space="preserve">r lysis syndrome </w:t>
      </w:r>
      <w:r w:rsidR="00F8785F">
        <w:t>(</w:t>
      </w:r>
      <w:r>
        <w:t>TLS</w:t>
      </w:r>
      <w:r w:rsidR="00F8785F">
        <w:t>)</w:t>
      </w:r>
      <w:r>
        <w:t xml:space="preserve"> (2 patients each, 1.4%). AEs leading to </w:t>
      </w:r>
      <w:r w:rsidR="00F8785F">
        <w:t>placebo</w:t>
      </w:r>
      <w:r>
        <w:t xml:space="preserve"> discontinuation (</w:t>
      </w:r>
      <w:r w:rsidR="00F8785F">
        <w:t>placebo in combination with low dose cytarabine arm</w:t>
      </w:r>
      <w:r>
        <w:t xml:space="preserve">) reported in &gt; 1 patient included febrile neutropenia and tumour associated fever (2 patients each, 2.9%). Serious ADRs were reported in 67% of patients in the </w:t>
      </w:r>
      <w:proofErr w:type="spellStart"/>
      <w:r w:rsidR="00F8785F">
        <w:t>venetoclax</w:t>
      </w:r>
      <w:proofErr w:type="spellEnd"/>
      <w:r w:rsidR="00F8785F">
        <w:t xml:space="preserve"> in combination with low dose cytarabine arm</w:t>
      </w:r>
      <w:r>
        <w:t xml:space="preserve">, with the most frequent (≥ 10%) being pneumonia (20%), febrile neutropenia (17%), and sepsis (13%). In the </w:t>
      </w:r>
      <w:r w:rsidR="00F8785F">
        <w:t>placebo in combination with low dose cytarabine arm</w:t>
      </w:r>
      <w:r>
        <w:t>, serious ADRs were reported in 62% of patients. The most frequent were febrile neutropenia (18%), sepsis (18%), and pneumonia (16%).</w:t>
      </w:r>
    </w:p>
    <w:p w14:paraId="1C0EC609" w14:textId="4FD736C3" w:rsidR="00754DD4" w:rsidRDefault="00754DD4" w:rsidP="00F8785F">
      <w:r>
        <w:t xml:space="preserve">Tumour lysis syndrome was reported in 6% of the </w:t>
      </w:r>
      <w:proofErr w:type="spellStart"/>
      <w:r w:rsidR="00F8785F">
        <w:t>venetoclax</w:t>
      </w:r>
      <w:proofErr w:type="spellEnd"/>
      <w:r w:rsidR="00F8785F">
        <w:t xml:space="preserve"> in combination with low dose cytarabine arm</w:t>
      </w:r>
      <w:r>
        <w:t>.</w:t>
      </w:r>
    </w:p>
    <w:p w14:paraId="748065DE" w14:textId="77777777" w:rsidR="008E7846" w:rsidRDefault="00386150" w:rsidP="007B6132">
      <w:pPr>
        <w:pStyle w:val="Heading3"/>
        <w:rPr>
          <w:lang w:eastAsia="en-AU"/>
        </w:rPr>
      </w:pPr>
      <w:bookmarkStart w:id="59" w:name="_Toc101431975"/>
      <w:r>
        <w:rPr>
          <w:lang w:eastAsia="en-AU"/>
        </w:rPr>
        <w:t>Risk m</w:t>
      </w:r>
      <w:r w:rsidR="008E7846">
        <w:rPr>
          <w:lang w:eastAsia="en-AU"/>
        </w:rPr>
        <w:t xml:space="preserve">anagement </w:t>
      </w:r>
      <w:r>
        <w:rPr>
          <w:lang w:eastAsia="en-AU"/>
        </w:rPr>
        <w:t>p</w:t>
      </w:r>
      <w:r w:rsidR="008E7846">
        <w:rPr>
          <w:lang w:eastAsia="en-AU"/>
        </w:rPr>
        <w:t>lan</w:t>
      </w:r>
      <w:bookmarkEnd w:id="40"/>
      <w:bookmarkEnd w:id="59"/>
    </w:p>
    <w:p w14:paraId="4EC6DACF" w14:textId="4C3EC78A" w:rsidR="00984C7E" w:rsidRDefault="00984C7E" w:rsidP="00984C7E">
      <w:proofErr w:type="spellStart"/>
      <w:r>
        <w:t>Venclexta</w:t>
      </w:r>
      <w:proofErr w:type="spellEnd"/>
      <w:r>
        <w:t xml:space="preserve"> has been granted orphan drug designation for the AML indication by the TGA. </w:t>
      </w:r>
      <w:proofErr w:type="spellStart"/>
      <w:r w:rsidRPr="0032396E">
        <w:t>Venclexta</w:t>
      </w:r>
      <w:proofErr w:type="spellEnd"/>
      <w:r w:rsidRPr="0032396E">
        <w:t xml:space="preserve"> was provisionally approved, on 5 February 2020, for the indication of AML through submission PM-2019-04393-1-6</w:t>
      </w:r>
      <w:r w:rsidR="0032396E" w:rsidRPr="0032396E">
        <w:t>.</w:t>
      </w:r>
      <w:r w:rsidR="0032396E" w:rsidRPr="0032396E">
        <w:fldChar w:fldCharType="begin"/>
      </w:r>
      <w:r w:rsidR="0032396E" w:rsidRPr="0032396E">
        <w:instrText xml:space="preserve"> NOTEREF _Ref99101140 \f \h </w:instrText>
      </w:r>
      <w:r w:rsidR="0032396E">
        <w:instrText xml:space="preserve"> \* MERGEFORMAT </w:instrText>
      </w:r>
      <w:r w:rsidR="0032396E" w:rsidRPr="0032396E">
        <w:fldChar w:fldCharType="separate"/>
      </w:r>
      <w:r w:rsidR="00211D51" w:rsidRPr="00211D51">
        <w:rPr>
          <w:rStyle w:val="FootnoteReference"/>
        </w:rPr>
        <w:t>6</w:t>
      </w:r>
      <w:r w:rsidR="0032396E" w:rsidRPr="0032396E">
        <w:fldChar w:fldCharType="end"/>
      </w:r>
    </w:p>
    <w:p w14:paraId="3DC50832" w14:textId="1297064F" w:rsidR="00984C7E" w:rsidRDefault="00984C7E" w:rsidP="00984C7E">
      <w:r>
        <w:t>For the indication of AML, the most recently evaluated core-risk management plan (RMP) was version 4.1 (June 2019; data lock point (DLP) 29 May 2019) and Australia</w:t>
      </w:r>
      <w:r w:rsidR="00FC4B32">
        <w:t>n</w:t>
      </w:r>
      <w:r>
        <w:t xml:space="preserve"> specific annex (ASA) version 3.2 (July 2019). In support of this submission, the sponsor has submitted core-RMP version 6.1 (June 2020; DLP (AML) 4 January 2020 and DLP</w:t>
      </w:r>
      <w:r w:rsidR="00211D51">
        <w:t xml:space="preserve"> for </w:t>
      </w:r>
      <w:r w:rsidR="00211D51" w:rsidRPr="00211D51">
        <w:t xml:space="preserve">chronic lymphocytic leukaemia </w:t>
      </w:r>
      <w:r w:rsidR="00211D51">
        <w:t>(</w:t>
      </w:r>
      <w:r>
        <w:t>CLL) 17 August 2018) and ASA version 4.0 (May 2020).</w:t>
      </w:r>
    </w:p>
    <w:p w14:paraId="53F79421" w14:textId="7966D982" w:rsidR="00984C7E" w:rsidRDefault="00984C7E" w:rsidP="00984C7E">
      <w:r>
        <w:t>In response to TGA questions, the sponsor provided ASA version 4.1 (December 2020), which relates to core-RMP version 6.1.</w:t>
      </w:r>
    </w:p>
    <w:p w14:paraId="78A915B1" w14:textId="34783521" w:rsidR="00984C7E" w:rsidRDefault="00984C7E" w:rsidP="00984C7E">
      <w:r>
        <w:t xml:space="preserve">The summary of safety concerns and their associated risk monitoring and mitigation strategies are summarised in </w:t>
      </w:r>
      <w:r>
        <w:fldChar w:fldCharType="begin"/>
      </w:r>
      <w:r>
        <w:instrText xml:space="preserve"> REF _Ref99019502 \h </w:instrText>
      </w:r>
      <w:r>
        <w:fldChar w:fldCharType="separate"/>
      </w:r>
      <w:r w:rsidR="00211D51" w:rsidRPr="00984C7E">
        <w:t xml:space="preserve">Table </w:t>
      </w:r>
      <w:r w:rsidR="00211D51">
        <w:rPr>
          <w:noProof/>
        </w:rPr>
        <w:t>18</w:t>
      </w:r>
      <w:r>
        <w:fldChar w:fldCharType="end"/>
      </w:r>
      <w:r>
        <w:t>.</w:t>
      </w:r>
      <w:r>
        <w:rPr>
          <w:rStyle w:val="FootnoteReference"/>
        </w:rPr>
        <w:footnoteReference w:id="8"/>
      </w:r>
    </w:p>
    <w:p w14:paraId="79B33E4B" w14:textId="258BCDBE" w:rsidR="00984C7E" w:rsidRDefault="00984C7E" w:rsidP="00F13010">
      <w:pPr>
        <w:pStyle w:val="TableTitle"/>
        <w:tabs>
          <w:tab w:val="clear" w:pos="1440"/>
          <w:tab w:val="left" w:pos="284"/>
          <w:tab w:val="left" w:pos="709"/>
        </w:tabs>
        <w:ind w:left="0" w:firstLine="0"/>
      </w:pPr>
      <w:bookmarkStart w:id="60" w:name="_Ref99019502"/>
      <w:r w:rsidRPr="00984C7E">
        <w:lastRenderedPageBreak/>
        <w:t xml:space="preserve">Table </w:t>
      </w:r>
      <w:fldSimple w:instr=" SEQ Table \* ARABIC ">
        <w:r w:rsidR="007E2134">
          <w:rPr>
            <w:noProof/>
          </w:rPr>
          <w:t>18</w:t>
        </w:r>
      </w:fldSimple>
      <w:bookmarkEnd w:id="60"/>
      <w:r>
        <w:t>:</w:t>
      </w:r>
      <w:r w:rsidRPr="003D3B92">
        <w:t xml:space="preserve"> Summary of safety concerns and associated risk monitoring and mitigation strategies</w:t>
      </w:r>
    </w:p>
    <w:tbl>
      <w:tblPr>
        <w:tblStyle w:val="TableTGAblue"/>
        <w:tblW w:w="5000" w:type="pct"/>
        <w:tblLook w:val="04A0" w:firstRow="1" w:lastRow="0" w:firstColumn="1" w:lastColumn="0" w:noHBand="0" w:noVBand="1"/>
      </w:tblPr>
      <w:tblGrid>
        <w:gridCol w:w="1612"/>
        <w:gridCol w:w="1834"/>
        <w:gridCol w:w="1162"/>
        <w:gridCol w:w="1362"/>
        <w:gridCol w:w="1162"/>
        <w:gridCol w:w="1362"/>
      </w:tblGrid>
      <w:tr w:rsidR="00984C7E" w:rsidRPr="000B670C" w14:paraId="3CA89D56" w14:textId="77777777" w:rsidTr="00984C7E">
        <w:trPr>
          <w:cnfStyle w:val="100000000000" w:firstRow="1" w:lastRow="0" w:firstColumn="0" w:lastColumn="0" w:oddVBand="0" w:evenVBand="0" w:oddHBand="0" w:evenHBand="0" w:firstRowFirstColumn="0" w:firstRowLastColumn="0" w:lastRowFirstColumn="0" w:lastRowLastColumn="0"/>
          <w:trHeight w:val="131"/>
        </w:trPr>
        <w:tc>
          <w:tcPr>
            <w:tcW w:w="2028" w:type="pct"/>
            <w:gridSpan w:val="2"/>
            <w:vMerge w:val="restart"/>
            <w:tcBorders>
              <w:top w:val="single" w:sz="4" w:space="0" w:color="auto"/>
              <w:left w:val="single" w:sz="4" w:space="0" w:color="auto"/>
              <w:bottom w:val="single" w:sz="4" w:space="0" w:color="auto"/>
              <w:right w:val="single" w:sz="4" w:space="0" w:color="auto"/>
            </w:tcBorders>
          </w:tcPr>
          <w:p w14:paraId="19620BFD" w14:textId="77777777" w:rsidR="00984C7E" w:rsidRPr="000B670C" w:rsidRDefault="00984C7E" w:rsidP="00984C7E">
            <w:pPr>
              <w:pStyle w:val="Tabletext"/>
              <w:rPr>
                <w:b w:val="0"/>
              </w:rPr>
            </w:pPr>
            <w:r w:rsidRPr="000B670C">
              <w:t>Summary of safety concerns</w:t>
            </w:r>
          </w:p>
        </w:tc>
        <w:tc>
          <w:tcPr>
            <w:tcW w:w="1486" w:type="pct"/>
            <w:gridSpan w:val="2"/>
            <w:tcBorders>
              <w:top w:val="single" w:sz="4" w:space="0" w:color="auto"/>
              <w:left w:val="single" w:sz="4" w:space="0" w:color="auto"/>
              <w:bottom w:val="single" w:sz="4" w:space="0" w:color="auto"/>
              <w:right w:val="single" w:sz="4" w:space="0" w:color="auto"/>
            </w:tcBorders>
          </w:tcPr>
          <w:p w14:paraId="617295B7" w14:textId="77777777" w:rsidR="00984C7E" w:rsidRPr="000B670C" w:rsidRDefault="00984C7E" w:rsidP="00984C7E">
            <w:pPr>
              <w:pStyle w:val="Tabletext"/>
              <w:rPr>
                <w:b w:val="0"/>
                <w:sz w:val="18"/>
              </w:rPr>
            </w:pPr>
            <w:r w:rsidRPr="000B670C">
              <w:rPr>
                <w:sz w:val="18"/>
              </w:rPr>
              <w:t>Pharmacovigilance</w:t>
            </w:r>
          </w:p>
        </w:tc>
        <w:tc>
          <w:tcPr>
            <w:tcW w:w="1486" w:type="pct"/>
            <w:gridSpan w:val="2"/>
            <w:tcBorders>
              <w:top w:val="single" w:sz="4" w:space="0" w:color="auto"/>
              <w:left w:val="single" w:sz="4" w:space="0" w:color="auto"/>
              <w:bottom w:val="single" w:sz="4" w:space="0" w:color="auto"/>
              <w:right w:val="single" w:sz="4" w:space="0" w:color="auto"/>
            </w:tcBorders>
          </w:tcPr>
          <w:p w14:paraId="03E67F27" w14:textId="77777777" w:rsidR="00984C7E" w:rsidRPr="000B670C" w:rsidRDefault="00984C7E" w:rsidP="00984C7E">
            <w:pPr>
              <w:pStyle w:val="Tabletext"/>
              <w:rPr>
                <w:b w:val="0"/>
                <w:sz w:val="18"/>
              </w:rPr>
            </w:pPr>
            <w:r w:rsidRPr="000B670C">
              <w:rPr>
                <w:sz w:val="18"/>
              </w:rPr>
              <w:t>Risk Minimisation</w:t>
            </w:r>
          </w:p>
        </w:tc>
      </w:tr>
      <w:tr w:rsidR="00984C7E" w:rsidRPr="000B670C" w14:paraId="4E31D9AF" w14:textId="77777777" w:rsidTr="00984C7E">
        <w:trPr>
          <w:trHeight w:val="150"/>
        </w:trPr>
        <w:tc>
          <w:tcPr>
            <w:tcW w:w="2028" w:type="pct"/>
            <w:gridSpan w:val="2"/>
            <w:vMerge/>
            <w:tcBorders>
              <w:top w:val="single" w:sz="4" w:space="0" w:color="auto"/>
              <w:left w:val="single" w:sz="4" w:space="0" w:color="auto"/>
              <w:bottom w:val="single" w:sz="4" w:space="0" w:color="auto"/>
              <w:right w:val="single" w:sz="4" w:space="0" w:color="auto"/>
            </w:tcBorders>
          </w:tcPr>
          <w:p w14:paraId="2BA8BF7D" w14:textId="77777777" w:rsidR="00984C7E" w:rsidRPr="000B670C" w:rsidRDefault="00984C7E" w:rsidP="00984C7E">
            <w:pPr>
              <w:pStyle w:val="Tabletext"/>
              <w:rPr>
                <w:b/>
              </w:rPr>
            </w:pPr>
          </w:p>
        </w:tc>
        <w:tc>
          <w:tcPr>
            <w:tcW w:w="684" w:type="pct"/>
            <w:tcBorders>
              <w:top w:val="single" w:sz="4" w:space="0" w:color="auto"/>
              <w:left w:val="single" w:sz="4" w:space="0" w:color="auto"/>
              <w:bottom w:val="single" w:sz="4" w:space="0" w:color="auto"/>
              <w:right w:val="single" w:sz="4" w:space="0" w:color="auto"/>
            </w:tcBorders>
            <w:shd w:val="clear" w:color="auto" w:fill="006DA7"/>
          </w:tcPr>
          <w:p w14:paraId="03C6F0AF" w14:textId="77777777" w:rsidR="00984C7E" w:rsidRPr="00984C7E" w:rsidRDefault="00984C7E" w:rsidP="00984C7E">
            <w:pPr>
              <w:pStyle w:val="Tabletext"/>
              <w:rPr>
                <w:color w:val="FFFFFF" w:themeColor="background1"/>
                <w:sz w:val="18"/>
              </w:rPr>
            </w:pPr>
            <w:r w:rsidRPr="00984C7E">
              <w:rPr>
                <w:color w:val="FFFFFF" w:themeColor="background1"/>
                <w:sz w:val="18"/>
              </w:rPr>
              <w:t>Routine</w:t>
            </w:r>
          </w:p>
        </w:tc>
        <w:tc>
          <w:tcPr>
            <w:tcW w:w="802" w:type="pct"/>
            <w:tcBorders>
              <w:top w:val="single" w:sz="4" w:space="0" w:color="auto"/>
              <w:left w:val="single" w:sz="4" w:space="0" w:color="auto"/>
              <w:bottom w:val="single" w:sz="4" w:space="0" w:color="auto"/>
              <w:right w:val="single" w:sz="4" w:space="0" w:color="auto"/>
            </w:tcBorders>
            <w:shd w:val="clear" w:color="auto" w:fill="006DA7"/>
          </w:tcPr>
          <w:p w14:paraId="020C2DFD" w14:textId="77777777" w:rsidR="00984C7E" w:rsidRPr="00984C7E" w:rsidRDefault="00984C7E" w:rsidP="00984C7E">
            <w:pPr>
              <w:pStyle w:val="Tabletext"/>
              <w:rPr>
                <w:color w:val="FFFFFF" w:themeColor="background1"/>
                <w:sz w:val="18"/>
              </w:rPr>
            </w:pPr>
            <w:r w:rsidRPr="00984C7E">
              <w:rPr>
                <w:color w:val="FFFFFF" w:themeColor="background1"/>
                <w:sz w:val="18"/>
              </w:rPr>
              <w:t>Additional</w:t>
            </w:r>
          </w:p>
        </w:tc>
        <w:tc>
          <w:tcPr>
            <w:tcW w:w="684" w:type="pct"/>
            <w:tcBorders>
              <w:top w:val="single" w:sz="4" w:space="0" w:color="auto"/>
              <w:left w:val="single" w:sz="4" w:space="0" w:color="auto"/>
              <w:bottom w:val="single" w:sz="4" w:space="0" w:color="auto"/>
              <w:right w:val="single" w:sz="4" w:space="0" w:color="auto"/>
            </w:tcBorders>
            <w:shd w:val="clear" w:color="auto" w:fill="006DA7"/>
          </w:tcPr>
          <w:p w14:paraId="284CF02B" w14:textId="77777777" w:rsidR="00984C7E" w:rsidRPr="00984C7E" w:rsidRDefault="00984C7E" w:rsidP="00984C7E">
            <w:pPr>
              <w:pStyle w:val="Tabletext"/>
              <w:rPr>
                <w:color w:val="FFFFFF" w:themeColor="background1"/>
                <w:sz w:val="18"/>
              </w:rPr>
            </w:pPr>
            <w:r w:rsidRPr="00984C7E">
              <w:rPr>
                <w:color w:val="FFFFFF" w:themeColor="background1"/>
                <w:sz w:val="18"/>
              </w:rPr>
              <w:t>Routine</w:t>
            </w:r>
          </w:p>
        </w:tc>
        <w:tc>
          <w:tcPr>
            <w:tcW w:w="802" w:type="pct"/>
            <w:tcBorders>
              <w:top w:val="single" w:sz="4" w:space="0" w:color="auto"/>
              <w:left w:val="single" w:sz="4" w:space="0" w:color="auto"/>
              <w:bottom w:val="single" w:sz="4" w:space="0" w:color="auto"/>
              <w:right w:val="single" w:sz="4" w:space="0" w:color="auto"/>
            </w:tcBorders>
            <w:shd w:val="clear" w:color="auto" w:fill="006DA7"/>
          </w:tcPr>
          <w:p w14:paraId="2AA67060" w14:textId="77777777" w:rsidR="00984C7E" w:rsidRPr="00984C7E" w:rsidRDefault="00984C7E" w:rsidP="00984C7E">
            <w:pPr>
              <w:pStyle w:val="Tabletext"/>
              <w:rPr>
                <w:color w:val="FFFFFF" w:themeColor="background1"/>
                <w:sz w:val="18"/>
              </w:rPr>
            </w:pPr>
            <w:r w:rsidRPr="00984C7E">
              <w:rPr>
                <w:color w:val="FFFFFF" w:themeColor="background1"/>
                <w:sz w:val="18"/>
              </w:rPr>
              <w:t>Additional</w:t>
            </w:r>
          </w:p>
        </w:tc>
      </w:tr>
      <w:tr w:rsidR="00984C7E" w:rsidRPr="000B670C" w14:paraId="5D077F06" w14:textId="77777777" w:rsidTr="00984C7E">
        <w:trPr>
          <w:trHeight w:val="137"/>
        </w:trPr>
        <w:tc>
          <w:tcPr>
            <w:tcW w:w="949" w:type="pct"/>
            <w:vMerge w:val="restart"/>
            <w:tcBorders>
              <w:top w:val="single" w:sz="4" w:space="0" w:color="auto"/>
            </w:tcBorders>
          </w:tcPr>
          <w:p w14:paraId="6978DB00" w14:textId="77777777" w:rsidR="00984C7E" w:rsidRPr="000B670C" w:rsidRDefault="00984C7E" w:rsidP="00984C7E">
            <w:pPr>
              <w:pStyle w:val="Tabletext"/>
              <w:rPr>
                <w:b/>
              </w:rPr>
            </w:pPr>
            <w:r w:rsidRPr="000B670C">
              <w:rPr>
                <w:b/>
              </w:rPr>
              <w:t>Important identified risks</w:t>
            </w:r>
          </w:p>
        </w:tc>
        <w:tc>
          <w:tcPr>
            <w:tcW w:w="1080" w:type="pct"/>
            <w:tcBorders>
              <w:top w:val="single" w:sz="4" w:space="0" w:color="auto"/>
            </w:tcBorders>
          </w:tcPr>
          <w:p w14:paraId="5C767354" w14:textId="77777777" w:rsidR="00984C7E" w:rsidRPr="000B670C" w:rsidRDefault="00984C7E" w:rsidP="00984C7E">
            <w:pPr>
              <w:pStyle w:val="Tabletext"/>
            </w:pPr>
            <w:r w:rsidRPr="000B670C">
              <w:t>Tumour lysis syndrome (TLS)</w:t>
            </w:r>
          </w:p>
        </w:tc>
        <w:tc>
          <w:tcPr>
            <w:tcW w:w="684" w:type="pct"/>
            <w:tcBorders>
              <w:top w:val="single" w:sz="4" w:space="0" w:color="auto"/>
            </w:tcBorders>
          </w:tcPr>
          <w:p w14:paraId="47333FAC" w14:textId="77777777" w:rsidR="00984C7E" w:rsidRPr="000B670C" w:rsidRDefault="00984C7E" w:rsidP="00984C7E">
            <w:pPr>
              <w:pStyle w:val="Tabletext"/>
              <w:jc w:val="center"/>
              <w:rPr>
                <w:vertAlign w:val="superscript"/>
              </w:rPr>
            </w:pPr>
            <w:r w:rsidRPr="000B670C">
              <w:sym w:font="Wingdings" w:char="F0FC"/>
            </w:r>
            <w:r w:rsidRPr="000B670C">
              <w:rPr>
                <w:vertAlign w:val="superscript"/>
              </w:rPr>
              <w:t>1</w:t>
            </w:r>
          </w:p>
        </w:tc>
        <w:tc>
          <w:tcPr>
            <w:tcW w:w="802" w:type="pct"/>
            <w:tcBorders>
              <w:top w:val="single" w:sz="4" w:space="0" w:color="auto"/>
            </w:tcBorders>
          </w:tcPr>
          <w:p w14:paraId="141E8161" w14:textId="77777777" w:rsidR="00984C7E" w:rsidRPr="000B670C" w:rsidRDefault="00984C7E" w:rsidP="00984C7E">
            <w:pPr>
              <w:pStyle w:val="Tabletext"/>
              <w:jc w:val="center"/>
            </w:pPr>
            <w:r w:rsidRPr="000B670C">
              <w:t>–</w:t>
            </w:r>
          </w:p>
        </w:tc>
        <w:tc>
          <w:tcPr>
            <w:tcW w:w="684" w:type="pct"/>
            <w:tcBorders>
              <w:top w:val="single" w:sz="4" w:space="0" w:color="auto"/>
            </w:tcBorders>
          </w:tcPr>
          <w:p w14:paraId="71561C2F" w14:textId="77777777" w:rsidR="00984C7E" w:rsidRPr="009913E8" w:rsidRDefault="00984C7E" w:rsidP="00984C7E">
            <w:pPr>
              <w:pStyle w:val="Tabletext"/>
              <w:jc w:val="center"/>
              <w:rPr>
                <w:vertAlign w:val="superscript"/>
              </w:rPr>
            </w:pPr>
            <w:r w:rsidRPr="000B670C">
              <w:sym w:font="Wingdings" w:char="F0FC"/>
            </w:r>
            <w:r>
              <w:rPr>
                <w:vertAlign w:val="superscript"/>
              </w:rPr>
              <w:t>3,4</w:t>
            </w:r>
          </w:p>
        </w:tc>
        <w:tc>
          <w:tcPr>
            <w:tcW w:w="802" w:type="pct"/>
            <w:tcBorders>
              <w:top w:val="single" w:sz="4" w:space="0" w:color="auto"/>
            </w:tcBorders>
          </w:tcPr>
          <w:p w14:paraId="0F842EE3" w14:textId="77777777" w:rsidR="00984C7E" w:rsidRPr="000B670C" w:rsidRDefault="00984C7E" w:rsidP="00984C7E">
            <w:pPr>
              <w:pStyle w:val="Tabletext"/>
              <w:jc w:val="center"/>
            </w:pPr>
            <w:r w:rsidRPr="000B670C">
              <w:t>–</w:t>
            </w:r>
          </w:p>
        </w:tc>
      </w:tr>
      <w:tr w:rsidR="00984C7E" w:rsidRPr="000B670C" w14:paraId="31EF93A5" w14:textId="77777777" w:rsidTr="00984C7E">
        <w:trPr>
          <w:trHeight w:val="94"/>
        </w:trPr>
        <w:tc>
          <w:tcPr>
            <w:tcW w:w="949" w:type="pct"/>
            <w:vMerge/>
          </w:tcPr>
          <w:p w14:paraId="03A0EABE" w14:textId="77777777" w:rsidR="00984C7E" w:rsidRPr="000B670C" w:rsidRDefault="00984C7E" w:rsidP="00984C7E">
            <w:pPr>
              <w:pStyle w:val="Tabletext"/>
              <w:rPr>
                <w:b/>
              </w:rPr>
            </w:pPr>
          </w:p>
        </w:tc>
        <w:tc>
          <w:tcPr>
            <w:tcW w:w="1080" w:type="pct"/>
          </w:tcPr>
          <w:p w14:paraId="4F5A1B2B" w14:textId="77777777" w:rsidR="00984C7E" w:rsidRPr="000B670C" w:rsidRDefault="00984C7E" w:rsidP="00984C7E">
            <w:pPr>
              <w:pStyle w:val="Tabletext"/>
            </w:pPr>
            <w:r w:rsidRPr="000B670C">
              <w:t>Neutropenia</w:t>
            </w:r>
          </w:p>
        </w:tc>
        <w:tc>
          <w:tcPr>
            <w:tcW w:w="684" w:type="pct"/>
          </w:tcPr>
          <w:p w14:paraId="4ED1178A" w14:textId="77777777" w:rsidR="00984C7E" w:rsidRPr="000B670C" w:rsidRDefault="00984C7E" w:rsidP="00984C7E">
            <w:pPr>
              <w:pStyle w:val="Tabletext"/>
              <w:jc w:val="center"/>
            </w:pPr>
            <w:r w:rsidRPr="000B670C">
              <w:sym w:font="Wingdings" w:char="F0FC"/>
            </w:r>
          </w:p>
        </w:tc>
        <w:tc>
          <w:tcPr>
            <w:tcW w:w="802" w:type="pct"/>
          </w:tcPr>
          <w:p w14:paraId="4680D795" w14:textId="77777777" w:rsidR="00984C7E" w:rsidRPr="000B670C" w:rsidRDefault="00984C7E" w:rsidP="00984C7E">
            <w:pPr>
              <w:pStyle w:val="Tabletext"/>
              <w:jc w:val="center"/>
            </w:pPr>
            <w:r w:rsidRPr="000B670C">
              <w:t>–</w:t>
            </w:r>
          </w:p>
        </w:tc>
        <w:tc>
          <w:tcPr>
            <w:tcW w:w="684" w:type="pct"/>
          </w:tcPr>
          <w:p w14:paraId="57DB4FC9" w14:textId="77777777" w:rsidR="00984C7E" w:rsidRPr="000B670C" w:rsidRDefault="00984C7E" w:rsidP="00984C7E">
            <w:pPr>
              <w:pStyle w:val="Tabletext"/>
              <w:jc w:val="center"/>
            </w:pPr>
            <w:r w:rsidRPr="000B670C">
              <w:sym w:font="Wingdings" w:char="F0FC"/>
            </w:r>
          </w:p>
        </w:tc>
        <w:tc>
          <w:tcPr>
            <w:tcW w:w="802" w:type="pct"/>
          </w:tcPr>
          <w:p w14:paraId="1390B800" w14:textId="77777777" w:rsidR="00984C7E" w:rsidRPr="000B670C" w:rsidRDefault="00984C7E" w:rsidP="00984C7E">
            <w:pPr>
              <w:pStyle w:val="Tabletext"/>
              <w:jc w:val="center"/>
            </w:pPr>
            <w:r w:rsidRPr="000B670C">
              <w:t>–</w:t>
            </w:r>
          </w:p>
        </w:tc>
      </w:tr>
      <w:tr w:rsidR="00984C7E" w:rsidRPr="000B670C" w14:paraId="1B4DE509" w14:textId="77777777" w:rsidTr="00984C7E">
        <w:trPr>
          <w:trHeight w:val="187"/>
        </w:trPr>
        <w:tc>
          <w:tcPr>
            <w:tcW w:w="949" w:type="pct"/>
            <w:vMerge/>
          </w:tcPr>
          <w:p w14:paraId="4EFFEAE5" w14:textId="77777777" w:rsidR="00984C7E" w:rsidRPr="000B670C" w:rsidRDefault="00984C7E" w:rsidP="00984C7E">
            <w:pPr>
              <w:pStyle w:val="Tabletext"/>
              <w:rPr>
                <w:b/>
              </w:rPr>
            </w:pPr>
          </w:p>
        </w:tc>
        <w:tc>
          <w:tcPr>
            <w:tcW w:w="1080" w:type="pct"/>
          </w:tcPr>
          <w:p w14:paraId="4AE337BF" w14:textId="77777777" w:rsidR="00984C7E" w:rsidRPr="000B670C" w:rsidRDefault="00984C7E" w:rsidP="00984C7E">
            <w:pPr>
              <w:pStyle w:val="Tabletext"/>
            </w:pPr>
            <w:r w:rsidRPr="000B670C">
              <w:t>Serious infection</w:t>
            </w:r>
          </w:p>
        </w:tc>
        <w:tc>
          <w:tcPr>
            <w:tcW w:w="684" w:type="pct"/>
          </w:tcPr>
          <w:p w14:paraId="09DE6B17" w14:textId="77777777" w:rsidR="00984C7E" w:rsidRPr="000B670C" w:rsidRDefault="00984C7E" w:rsidP="00984C7E">
            <w:pPr>
              <w:pStyle w:val="Tabletext"/>
              <w:jc w:val="center"/>
              <w:rPr>
                <w:vertAlign w:val="superscript"/>
              </w:rPr>
            </w:pPr>
            <w:r w:rsidRPr="000B670C">
              <w:sym w:font="Wingdings" w:char="F0FC"/>
            </w:r>
            <w:r w:rsidRPr="000B670C">
              <w:rPr>
                <w:vertAlign w:val="superscript"/>
              </w:rPr>
              <w:t>1</w:t>
            </w:r>
          </w:p>
        </w:tc>
        <w:tc>
          <w:tcPr>
            <w:tcW w:w="802" w:type="pct"/>
          </w:tcPr>
          <w:p w14:paraId="34BEF685" w14:textId="77777777" w:rsidR="00984C7E" w:rsidRPr="000B670C" w:rsidRDefault="00984C7E" w:rsidP="00984C7E">
            <w:pPr>
              <w:pStyle w:val="Tabletext"/>
              <w:jc w:val="center"/>
            </w:pPr>
            <w:r w:rsidRPr="000B670C">
              <w:t>–</w:t>
            </w:r>
          </w:p>
        </w:tc>
        <w:tc>
          <w:tcPr>
            <w:tcW w:w="684" w:type="pct"/>
          </w:tcPr>
          <w:p w14:paraId="1D0429C1" w14:textId="77777777" w:rsidR="00984C7E" w:rsidRPr="000B670C" w:rsidRDefault="00984C7E" w:rsidP="00984C7E">
            <w:pPr>
              <w:pStyle w:val="Tabletext"/>
              <w:jc w:val="center"/>
            </w:pPr>
            <w:r w:rsidRPr="000B670C">
              <w:sym w:font="Wingdings" w:char="F0FC"/>
            </w:r>
          </w:p>
        </w:tc>
        <w:tc>
          <w:tcPr>
            <w:tcW w:w="802" w:type="pct"/>
          </w:tcPr>
          <w:p w14:paraId="43C297FF" w14:textId="77777777" w:rsidR="00984C7E" w:rsidRPr="000B670C" w:rsidRDefault="00984C7E" w:rsidP="00984C7E">
            <w:pPr>
              <w:pStyle w:val="Tabletext"/>
              <w:jc w:val="center"/>
            </w:pPr>
            <w:r w:rsidRPr="000B670C">
              <w:t>–</w:t>
            </w:r>
          </w:p>
        </w:tc>
      </w:tr>
      <w:tr w:rsidR="00984C7E" w:rsidRPr="000B670C" w14:paraId="210176EB" w14:textId="77777777" w:rsidTr="00984C7E">
        <w:trPr>
          <w:trHeight w:val="159"/>
        </w:trPr>
        <w:tc>
          <w:tcPr>
            <w:tcW w:w="949" w:type="pct"/>
            <w:vMerge w:val="restart"/>
          </w:tcPr>
          <w:p w14:paraId="1658441E" w14:textId="77777777" w:rsidR="00984C7E" w:rsidRPr="000B670C" w:rsidRDefault="00984C7E" w:rsidP="00984C7E">
            <w:pPr>
              <w:pStyle w:val="Tabletext"/>
              <w:rPr>
                <w:b/>
              </w:rPr>
            </w:pPr>
            <w:r w:rsidRPr="000B670C">
              <w:rPr>
                <w:b/>
              </w:rPr>
              <w:t>Important potential risks</w:t>
            </w:r>
          </w:p>
        </w:tc>
        <w:tc>
          <w:tcPr>
            <w:tcW w:w="1080" w:type="pct"/>
          </w:tcPr>
          <w:p w14:paraId="5339EF11" w14:textId="3A2FEE73" w:rsidR="00984C7E" w:rsidRPr="000B670C" w:rsidRDefault="003D3B92" w:rsidP="00984C7E">
            <w:pPr>
              <w:pStyle w:val="Tabletext"/>
            </w:pPr>
            <w:r>
              <w:t>Embryof</w:t>
            </w:r>
            <w:r w:rsidR="00984C7E" w:rsidRPr="000B670C">
              <w:t>etal toxicity</w:t>
            </w:r>
          </w:p>
        </w:tc>
        <w:tc>
          <w:tcPr>
            <w:tcW w:w="684" w:type="pct"/>
          </w:tcPr>
          <w:p w14:paraId="7095338B" w14:textId="77777777" w:rsidR="00984C7E" w:rsidRPr="000B670C" w:rsidRDefault="00984C7E" w:rsidP="00984C7E">
            <w:pPr>
              <w:pStyle w:val="Tabletext"/>
              <w:jc w:val="center"/>
              <w:rPr>
                <w:vertAlign w:val="superscript"/>
              </w:rPr>
            </w:pPr>
            <w:r w:rsidRPr="000B670C">
              <w:sym w:font="Wingdings" w:char="F0FC"/>
            </w:r>
            <w:r w:rsidRPr="000B670C">
              <w:rPr>
                <w:vertAlign w:val="superscript"/>
              </w:rPr>
              <w:t>1</w:t>
            </w:r>
          </w:p>
        </w:tc>
        <w:tc>
          <w:tcPr>
            <w:tcW w:w="802" w:type="pct"/>
          </w:tcPr>
          <w:p w14:paraId="26E74991" w14:textId="77777777" w:rsidR="00984C7E" w:rsidRPr="000B670C" w:rsidRDefault="00984C7E" w:rsidP="00984C7E">
            <w:pPr>
              <w:pStyle w:val="Tabletext"/>
              <w:jc w:val="center"/>
            </w:pPr>
            <w:r w:rsidRPr="000B670C">
              <w:t>–</w:t>
            </w:r>
          </w:p>
        </w:tc>
        <w:tc>
          <w:tcPr>
            <w:tcW w:w="684" w:type="pct"/>
          </w:tcPr>
          <w:p w14:paraId="11FE1313" w14:textId="77777777" w:rsidR="00984C7E" w:rsidRPr="000B670C" w:rsidRDefault="00984C7E" w:rsidP="00984C7E">
            <w:pPr>
              <w:pStyle w:val="Tabletext"/>
              <w:jc w:val="center"/>
            </w:pPr>
            <w:r w:rsidRPr="000B670C">
              <w:sym w:font="Wingdings" w:char="F0FC"/>
            </w:r>
          </w:p>
        </w:tc>
        <w:tc>
          <w:tcPr>
            <w:tcW w:w="802" w:type="pct"/>
          </w:tcPr>
          <w:p w14:paraId="5B2E79BF" w14:textId="77777777" w:rsidR="00984C7E" w:rsidRPr="000B670C" w:rsidRDefault="00984C7E" w:rsidP="00984C7E">
            <w:pPr>
              <w:pStyle w:val="Tabletext"/>
              <w:jc w:val="center"/>
            </w:pPr>
            <w:r w:rsidRPr="000B670C">
              <w:t>–</w:t>
            </w:r>
          </w:p>
        </w:tc>
      </w:tr>
      <w:tr w:rsidR="00984C7E" w:rsidRPr="000B670C" w14:paraId="6A32390F" w14:textId="77777777" w:rsidTr="00984C7E">
        <w:trPr>
          <w:trHeight w:val="122"/>
        </w:trPr>
        <w:tc>
          <w:tcPr>
            <w:tcW w:w="949" w:type="pct"/>
            <w:vMerge/>
          </w:tcPr>
          <w:p w14:paraId="503BE9BD" w14:textId="77777777" w:rsidR="00984C7E" w:rsidRPr="000B670C" w:rsidRDefault="00984C7E" w:rsidP="00984C7E">
            <w:pPr>
              <w:pStyle w:val="Tabletext"/>
              <w:rPr>
                <w:b/>
              </w:rPr>
            </w:pPr>
          </w:p>
        </w:tc>
        <w:tc>
          <w:tcPr>
            <w:tcW w:w="1080" w:type="pct"/>
          </w:tcPr>
          <w:p w14:paraId="2582E5BB" w14:textId="77777777" w:rsidR="00984C7E" w:rsidRPr="000B670C" w:rsidRDefault="00984C7E" w:rsidP="00984C7E">
            <w:pPr>
              <w:pStyle w:val="Tabletext"/>
            </w:pPr>
            <w:r w:rsidRPr="000B670C">
              <w:t>Medication error</w:t>
            </w:r>
          </w:p>
        </w:tc>
        <w:tc>
          <w:tcPr>
            <w:tcW w:w="684" w:type="pct"/>
          </w:tcPr>
          <w:p w14:paraId="29B40A41" w14:textId="77777777" w:rsidR="00984C7E" w:rsidRPr="000B670C" w:rsidRDefault="00984C7E" w:rsidP="00984C7E">
            <w:pPr>
              <w:pStyle w:val="Tabletext"/>
              <w:jc w:val="center"/>
            </w:pPr>
            <w:r w:rsidRPr="000B670C">
              <w:sym w:font="Wingdings" w:char="F0FC"/>
            </w:r>
          </w:p>
        </w:tc>
        <w:tc>
          <w:tcPr>
            <w:tcW w:w="802" w:type="pct"/>
          </w:tcPr>
          <w:p w14:paraId="7AFA38D9" w14:textId="77777777" w:rsidR="00984C7E" w:rsidRPr="000B670C" w:rsidRDefault="00984C7E" w:rsidP="00984C7E">
            <w:pPr>
              <w:pStyle w:val="Tabletext"/>
              <w:jc w:val="center"/>
            </w:pPr>
            <w:r w:rsidRPr="000B670C">
              <w:t>–</w:t>
            </w:r>
          </w:p>
        </w:tc>
        <w:tc>
          <w:tcPr>
            <w:tcW w:w="684" w:type="pct"/>
          </w:tcPr>
          <w:p w14:paraId="6C63E9D8" w14:textId="77777777" w:rsidR="00984C7E" w:rsidRPr="000B670C" w:rsidRDefault="00984C7E" w:rsidP="00984C7E">
            <w:pPr>
              <w:pStyle w:val="Tabletext"/>
              <w:jc w:val="center"/>
              <w:rPr>
                <w:vertAlign w:val="superscript"/>
              </w:rPr>
            </w:pPr>
            <w:r w:rsidRPr="000B670C">
              <w:sym w:font="Wingdings" w:char="F0FC"/>
            </w:r>
            <w:r>
              <w:rPr>
                <w:vertAlign w:val="superscript"/>
              </w:rPr>
              <w:t>3,4</w:t>
            </w:r>
          </w:p>
        </w:tc>
        <w:tc>
          <w:tcPr>
            <w:tcW w:w="802" w:type="pct"/>
          </w:tcPr>
          <w:p w14:paraId="500EFDFA" w14:textId="77777777" w:rsidR="00984C7E" w:rsidRPr="000B670C" w:rsidRDefault="00984C7E" w:rsidP="00984C7E">
            <w:pPr>
              <w:pStyle w:val="Tabletext"/>
              <w:jc w:val="center"/>
            </w:pPr>
            <w:r w:rsidRPr="000B670C">
              <w:t>–</w:t>
            </w:r>
          </w:p>
        </w:tc>
      </w:tr>
      <w:tr w:rsidR="00984C7E" w:rsidRPr="000B670C" w14:paraId="0B2311C7" w14:textId="77777777" w:rsidTr="00984C7E">
        <w:trPr>
          <w:trHeight w:val="122"/>
        </w:trPr>
        <w:tc>
          <w:tcPr>
            <w:tcW w:w="949" w:type="pct"/>
            <w:vMerge/>
          </w:tcPr>
          <w:p w14:paraId="23C3DB1A" w14:textId="77777777" w:rsidR="00984C7E" w:rsidRPr="000B670C" w:rsidRDefault="00984C7E" w:rsidP="00984C7E">
            <w:pPr>
              <w:pStyle w:val="Tabletext"/>
              <w:rPr>
                <w:b/>
              </w:rPr>
            </w:pPr>
          </w:p>
        </w:tc>
        <w:tc>
          <w:tcPr>
            <w:tcW w:w="1080" w:type="pct"/>
          </w:tcPr>
          <w:p w14:paraId="2BB94871" w14:textId="77777777" w:rsidR="00984C7E" w:rsidRPr="000B670C" w:rsidRDefault="00984C7E" w:rsidP="00984C7E">
            <w:pPr>
              <w:pStyle w:val="Tabletext"/>
            </w:pPr>
            <w:r w:rsidRPr="000B670C">
              <w:t>Richter’s transformation (for CLL only)</w:t>
            </w:r>
          </w:p>
        </w:tc>
        <w:tc>
          <w:tcPr>
            <w:tcW w:w="684" w:type="pct"/>
          </w:tcPr>
          <w:p w14:paraId="7E1CE246" w14:textId="77777777" w:rsidR="00984C7E" w:rsidRPr="000B670C" w:rsidRDefault="00984C7E" w:rsidP="00984C7E">
            <w:pPr>
              <w:pStyle w:val="Tabletext"/>
              <w:jc w:val="center"/>
            </w:pPr>
            <w:r w:rsidRPr="000B670C">
              <w:sym w:font="Wingdings" w:char="F0FC"/>
            </w:r>
          </w:p>
        </w:tc>
        <w:tc>
          <w:tcPr>
            <w:tcW w:w="802" w:type="pct"/>
          </w:tcPr>
          <w:p w14:paraId="3521A5B8" w14:textId="77777777" w:rsidR="00984C7E" w:rsidRPr="000B670C" w:rsidRDefault="00984C7E" w:rsidP="00984C7E">
            <w:pPr>
              <w:pStyle w:val="Tabletext"/>
              <w:jc w:val="center"/>
              <w:rPr>
                <w:vertAlign w:val="superscript"/>
              </w:rPr>
            </w:pPr>
            <w:r w:rsidRPr="000B670C">
              <w:sym w:font="Wingdings" w:char="F0FC"/>
            </w:r>
            <w:r w:rsidRPr="000B670C">
              <w:rPr>
                <w:vertAlign w:val="superscript"/>
              </w:rPr>
              <w:t>2</w:t>
            </w:r>
          </w:p>
        </w:tc>
        <w:tc>
          <w:tcPr>
            <w:tcW w:w="684" w:type="pct"/>
          </w:tcPr>
          <w:p w14:paraId="66DF5B48" w14:textId="77777777" w:rsidR="00984C7E" w:rsidRPr="000B670C" w:rsidRDefault="00984C7E" w:rsidP="00984C7E">
            <w:pPr>
              <w:pStyle w:val="Tabletext"/>
              <w:jc w:val="center"/>
            </w:pPr>
            <w:r w:rsidRPr="000B670C">
              <w:t>–</w:t>
            </w:r>
          </w:p>
        </w:tc>
        <w:tc>
          <w:tcPr>
            <w:tcW w:w="802" w:type="pct"/>
          </w:tcPr>
          <w:p w14:paraId="21BDD863" w14:textId="77777777" w:rsidR="00984C7E" w:rsidRPr="000B670C" w:rsidRDefault="00984C7E" w:rsidP="00984C7E">
            <w:pPr>
              <w:pStyle w:val="Tabletext"/>
              <w:jc w:val="center"/>
            </w:pPr>
            <w:r w:rsidRPr="000B670C">
              <w:t>–</w:t>
            </w:r>
          </w:p>
        </w:tc>
      </w:tr>
      <w:tr w:rsidR="00984C7E" w:rsidRPr="000B670C" w14:paraId="4E1A6BE9" w14:textId="77777777" w:rsidTr="00984C7E">
        <w:trPr>
          <w:trHeight w:val="122"/>
        </w:trPr>
        <w:tc>
          <w:tcPr>
            <w:tcW w:w="949" w:type="pct"/>
            <w:vMerge/>
          </w:tcPr>
          <w:p w14:paraId="5B6DC187" w14:textId="77777777" w:rsidR="00984C7E" w:rsidRPr="000B670C" w:rsidRDefault="00984C7E" w:rsidP="00984C7E">
            <w:pPr>
              <w:pStyle w:val="Tabletext"/>
              <w:rPr>
                <w:b/>
              </w:rPr>
            </w:pPr>
          </w:p>
        </w:tc>
        <w:tc>
          <w:tcPr>
            <w:tcW w:w="1080" w:type="pct"/>
          </w:tcPr>
          <w:p w14:paraId="1CA647C3" w14:textId="77777777" w:rsidR="00984C7E" w:rsidRPr="000B670C" w:rsidRDefault="00984C7E" w:rsidP="00984C7E">
            <w:pPr>
              <w:pStyle w:val="Tabletext"/>
            </w:pPr>
            <w:r w:rsidRPr="000B670C">
              <w:t>Second primary malignancy</w:t>
            </w:r>
          </w:p>
        </w:tc>
        <w:tc>
          <w:tcPr>
            <w:tcW w:w="684" w:type="pct"/>
          </w:tcPr>
          <w:p w14:paraId="321BD703" w14:textId="77777777" w:rsidR="00984C7E" w:rsidRPr="000B670C" w:rsidRDefault="00984C7E" w:rsidP="00984C7E">
            <w:pPr>
              <w:pStyle w:val="Tabletext"/>
              <w:jc w:val="center"/>
            </w:pPr>
            <w:r w:rsidRPr="000B670C">
              <w:sym w:font="Wingdings" w:char="F0FC"/>
            </w:r>
          </w:p>
        </w:tc>
        <w:tc>
          <w:tcPr>
            <w:tcW w:w="802" w:type="pct"/>
          </w:tcPr>
          <w:p w14:paraId="71145964" w14:textId="77777777" w:rsidR="00984C7E" w:rsidRPr="000B670C" w:rsidRDefault="00984C7E" w:rsidP="00984C7E">
            <w:pPr>
              <w:pStyle w:val="Tabletext"/>
              <w:jc w:val="center"/>
              <w:rPr>
                <w:vertAlign w:val="superscript"/>
              </w:rPr>
            </w:pPr>
            <w:r w:rsidRPr="000B670C">
              <w:sym w:font="Wingdings" w:char="F0FC"/>
            </w:r>
            <w:r w:rsidRPr="000B670C">
              <w:rPr>
                <w:vertAlign w:val="superscript"/>
              </w:rPr>
              <w:t>2</w:t>
            </w:r>
          </w:p>
        </w:tc>
        <w:tc>
          <w:tcPr>
            <w:tcW w:w="684" w:type="pct"/>
          </w:tcPr>
          <w:p w14:paraId="34B64039" w14:textId="77777777" w:rsidR="00984C7E" w:rsidRPr="000B670C" w:rsidRDefault="00984C7E" w:rsidP="00984C7E">
            <w:pPr>
              <w:pStyle w:val="Tabletext"/>
              <w:jc w:val="center"/>
            </w:pPr>
            <w:r w:rsidRPr="000B670C">
              <w:t>–</w:t>
            </w:r>
          </w:p>
        </w:tc>
        <w:tc>
          <w:tcPr>
            <w:tcW w:w="802" w:type="pct"/>
          </w:tcPr>
          <w:p w14:paraId="4ECA9DF4" w14:textId="77777777" w:rsidR="00984C7E" w:rsidRPr="000B670C" w:rsidRDefault="00984C7E" w:rsidP="00984C7E">
            <w:pPr>
              <w:pStyle w:val="Tabletext"/>
              <w:jc w:val="center"/>
            </w:pPr>
            <w:r w:rsidRPr="000B670C">
              <w:t>–</w:t>
            </w:r>
          </w:p>
        </w:tc>
      </w:tr>
      <w:tr w:rsidR="00984C7E" w:rsidRPr="000B670C" w14:paraId="3F0F6243" w14:textId="77777777" w:rsidTr="00984C7E">
        <w:trPr>
          <w:trHeight w:val="112"/>
        </w:trPr>
        <w:tc>
          <w:tcPr>
            <w:tcW w:w="949" w:type="pct"/>
            <w:vMerge/>
          </w:tcPr>
          <w:p w14:paraId="66AAB46A" w14:textId="77777777" w:rsidR="00984C7E" w:rsidRPr="000B670C" w:rsidRDefault="00984C7E" w:rsidP="00984C7E">
            <w:pPr>
              <w:pStyle w:val="Tabletext"/>
              <w:rPr>
                <w:b/>
              </w:rPr>
            </w:pPr>
          </w:p>
        </w:tc>
        <w:tc>
          <w:tcPr>
            <w:tcW w:w="1080" w:type="pct"/>
          </w:tcPr>
          <w:p w14:paraId="3DD8407E" w14:textId="77777777" w:rsidR="00984C7E" w:rsidRPr="000B670C" w:rsidRDefault="00984C7E" w:rsidP="00984C7E">
            <w:pPr>
              <w:pStyle w:val="Tabletext"/>
            </w:pPr>
            <w:r w:rsidRPr="000B670C">
              <w:t>Toxicity in patients with severe hepatic impairment</w:t>
            </w:r>
          </w:p>
        </w:tc>
        <w:tc>
          <w:tcPr>
            <w:tcW w:w="684" w:type="pct"/>
          </w:tcPr>
          <w:p w14:paraId="2C2EF086" w14:textId="77777777" w:rsidR="00984C7E" w:rsidRPr="000B670C" w:rsidRDefault="00984C7E" w:rsidP="00984C7E">
            <w:pPr>
              <w:pStyle w:val="Tabletext"/>
              <w:jc w:val="center"/>
            </w:pPr>
            <w:r w:rsidRPr="000B670C">
              <w:sym w:font="Wingdings" w:char="F0FC"/>
            </w:r>
          </w:p>
        </w:tc>
        <w:tc>
          <w:tcPr>
            <w:tcW w:w="802" w:type="pct"/>
          </w:tcPr>
          <w:p w14:paraId="1FCE1AD9" w14:textId="77777777" w:rsidR="00984C7E" w:rsidRPr="000B670C" w:rsidRDefault="00984C7E" w:rsidP="00984C7E">
            <w:pPr>
              <w:pStyle w:val="Tabletext"/>
              <w:jc w:val="center"/>
            </w:pPr>
            <w:r w:rsidRPr="000B670C">
              <w:t>–</w:t>
            </w:r>
          </w:p>
        </w:tc>
        <w:tc>
          <w:tcPr>
            <w:tcW w:w="684" w:type="pct"/>
          </w:tcPr>
          <w:p w14:paraId="40E8CC53" w14:textId="77777777" w:rsidR="00984C7E" w:rsidRPr="000B670C" w:rsidRDefault="00984C7E" w:rsidP="00984C7E">
            <w:pPr>
              <w:pStyle w:val="Tabletext"/>
              <w:jc w:val="center"/>
            </w:pPr>
            <w:r w:rsidRPr="000B670C">
              <w:sym w:font="Wingdings" w:char="F0FC"/>
            </w:r>
          </w:p>
        </w:tc>
        <w:tc>
          <w:tcPr>
            <w:tcW w:w="802" w:type="pct"/>
          </w:tcPr>
          <w:p w14:paraId="3DF36FA8" w14:textId="77777777" w:rsidR="00984C7E" w:rsidRPr="000B670C" w:rsidRDefault="00984C7E" w:rsidP="00984C7E">
            <w:pPr>
              <w:pStyle w:val="Tabletext"/>
              <w:jc w:val="center"/>
            </w:pPr>
            <w:r w:rsidRPr="000B670C">
              <w:t>–</w:t>
            </w:r>
          </w:p>
        </w:tc>
      </w:tr>
      <w:tr w:rsidR="00984C7E" w:rsidRPr="000B670C" w14:paraId="404A0516" w14:textId="77777777" w:rsidTr="00984C7E">
        <w:trPr>
          <w:trHeight w:val="178"/>
        </w:trPr>
        <w:tc>
          <w:tcPr>
            <w:tcW w:w="949" w:type="pct"/>
            <w:vMerge w:val="restart"/>
          </w:tcPr>
          <w:p w14:paraId="4C398333" w14:textId="77777777" w:rsidR="00984C7E" w:rsidRPr="000B670C" w:rsidRDefault="00984C7E" w:rsidP="00984C7E">
            <w:pPr>
              <w:pStyle w:val="Tabletext"/>
              <w:rPr>
                <w:b/>
              </w:rPr>
            </w:pPr>
            <w:r w:rsidRPr="000B670C">
              <w:rPr>
                <w:b/>
              </w:rPr>
              <w:t>Missing information</w:t>
            </w:r>
          </w:p>
        </w:tc>
        <w:tc>
          <w:tcPr>
            <w:tcW w:w="1080" w:type="pct"/>
          </w:tcPr>
          <w:p w14:paraId="556B13B8" w14:textId="77777777" w:rsidR="00984C7E" w:rsidRPr="000B670C" w:rsidRDefault="00984C7E" w:rsidP="00984C7E">
            <w:pPr>
              <w:pStyle w:val="Tabletext"/>
            </w:pPr>
            <w:r w:rsidRPr="000B670C">
              <w:rPr>
                <w:rFonts w:ascii="Times New Roman" w:hAnsi="Times New Roman"/>
                <w:szCs w:val="19"/>
              </w:rPr>
              <w:t>Safety in severe renal impairment</w:t>
            </w:r>
          </w:p>
        </w:tc>
        <w:tc>
          <w:tcPr>
            <w:tcW w:w="684" w:type="pct"/>
          </w:tcPr>
          <w:p w14:paraId="07E04BAB" w14:textId="77777777" w:rsidR="00984C7E" w:rsidRPr="000B670C" w:rsidRDefault="00984C7E" w:rsidP="00984C7E">
            <w:pPr>
              <w:pStyle w:val="Tabletext"/>
              <w:jc w:val="center"/>
            </w:pPr>
            <w:r w:rsidRPr="000B670C">
              <w:sym w:font="Wingdings" w:char="F0FC"/>
            </w:r>
          </w:p>
        </w:tc>
        <w:tc>
          <w:tcPr>
            <w:tcW w:w="802" w:type="pct"/>
          </w:tcPr>
          <w:p w14:paraId="42C3A016" w14:textId="77777777" w:rsidR="00984C7E" w:rsidRPr="000B670C" w:rsidRDefault="00984C7E" w:rsidP="00984C7E">
            <w:pPr>
              <w:pStyle w:val="Tabletext"/>
              <w:jc w:val="center"/>
            </w:pPr>
            <w:r w:rsidRPr="000B670C">
              <w:t>–</w:t>
            </w:r>
          </w:p>
        </w:tc>
        <w:tc>
          <w:tcPr>
            <w:tcW w:w="684" w:type="pct"/>
          </w:tcPr>
          <w:p w14:paraId="65E131F9" w14:textId="77777777" w:rsidR="00984C7E" w:rsidRPr="000B670C" w:rsidRDefault="00984C7E" w:rsidP="00984C7E">
            <w:pPr>
              <w:pStyle w:val="Tabletext"/>
              <w:jc w:val="center"/>
            </w:pPr>
            <w:r w:rsidRPr="000B670C">
              <w:sym w:font="Wingdings" w:char="F0FC"/>
            </w:r>
          </w:p>
        </w:tc>
        <w:tc>
          <w:tcPr>
            <w:tcW w:w="802" w:type="pct"/>
          </w:tcPr>
          <w:p w14:paraId="0B471053" w14:textId="77777777" w:rsidR="00984C7E" w:rsidRPr="000B670C" w:rsidRDefault="00984C7E" w:rsidP="00984C7E">
            <w:pPr>
              <w:pStyle w:val="Tabletext"/>
              <w:jc w:val="center"/>
            </w:pPr>
            <w:r w:rsidRPr="000B670C">
              <w:t>–</w:t>
            </w:r>
          </w:p>
        </w:tc>
      </w:tr>
      <w:tr w:rsidR="00984C7E" w:rsidRPr="000B670C" w14:paraId="6A35EA6F" w14:textId="77777777" w:rsidTr="00984C7E">
        <w:trPr>
          <w:trHeight w:val="140"/>
        </w:trPr>
        <w:tc>
          <w:tcPr>
            <w:tcW w:w="949" w:type="pct"/>
            <w:vMerge/>
          </w:tcPr>
          <w:p w14:paraId="72B1FB06" w14:textId="77777777" w:rsidR="00984C7E" w:rsidRPr="000B670C" w:rsidRDefault="00984C7E" w:rsidP="00984C7E">
            <w:pPr>
              <w:pStyle w:val="Tabletext"/>
            </w:pPr>
          </w:p>
        </w:tc>
        <w:tc>
          <w:tcPr>
            <w:tcW w:w="1080" w:type="pct"/>
          </w:tcPr>
          <w:p w14:paraId="30F813CF" w14:textId="77777777" w:rsidR="00984C7E" w:rsidRPr="000B670C" w:rsidRDefault="00984C7E" w:rsidP="00984C7E">
            <w:pPr>
              <w:pStyle w:val="Tabletext"/>
            </w:pPr>
            <w:r w:rsidRPr="000B670C">
              <w:rPr>
                <w:rFonts w:ascii="Times New Roman" w:hAnsi="Times New Roman"/>
                <w:szCs w:val="19"/>
              </w:rPr>
              <w:t>Safety in long-term exposure (&gt; 12 months) (for CLL only)</w:t>
            </w:r>
          </w:p>
        </w:tc>
        <w:tc>
          <w:tcPr>
            <w:tcW w:w="684" w:type="pct"/>
          </w:tcPr>
          <w:p w14:paraId="381CC524" w14:textId="77777777" w:rsidR="00984C7E" w:rsidRPr="000B670C" w:rsidRDefault="00984C7E" w:rsidP="00984C7E">
            <w:pPr>
              <w:pStyle w:val="Tabletext"/>
              <w:jc w:val="center"/>
            </w:pPr>
            <w:r w:rsidRPr="000B670C">
              <w:sym w:font="Wingdings" w:char="F0FC"/>
            </w:r>
          </w:p>
        </w:tc>
        <w:tc>
          <w:tcPr>
            <w:tcW w:w="802" w:type="pct"/>
          </w:tcPr>
          <w:p w14:paraId="42C3C0DB" w14:textId="77777777" w:rsidR="00984C7E" w:rsidRPr="000B670C" w:rsidRDefault="00984C7E" w:rsidP="00984C7E">
            <w:pPr>
              <w:pStyle w:val="Tabletext"/>
              <w:jc w:val="center"/>
              <w:rPr>
                <w:vertAlign w:val="superscript"/>
              </w:rPr>
            </w:pPr>
            <w:r w:rsidRPr="000B670C">
              <w:sym w:font="Wingdings" w:char="F0FC"/>
            </w:r>
            <w:r w:rsidRPr="000B670C">
              <w:rPr>
                <w:vertAlign w:val="superscript"/>
              </w:rPr>
              <w:t>2</w:t>
            </w:r>
          </w:p>
        </w:tc>
        <w:tc>
          <w:tcPr>
            <w:tcW w:w="684" w:type="pct"/>
          </w:tcPr>
          <w:p w14:paraId="6ACA7609" w14:textId="77777777" w:rsidR="00984C7E" w:rsidRPr="000B670C" w:rsidRDefault="00984C7E" w:rsidP="00984C7E">
            <w:pPr>
              <w:pStyle w:val="Tabletext"/>
              <w:jc w:val="center"/>
            </w:pPr>
            <w:r w:rsidRPr="000B670C">
              <w:sym w:font="Wingdings" w:char="F0FC"/>
            </w:r>
          </w:p>
        </w:tc>
        <w:tc>
          <w:tcPr>
            <w:tcW w:w="802" w:type="pct"/>
          </w:tcPr>
          <w:p w14:paraId="741F275C" w14:textId="77777777" w:rsidR="00984C7E" w:rsidRPr="000B670C" w:rsidRDefault="00984C7E" w:rsidP="00984C7E">
            <w:pPr>
              <w:pStyle w:val="Tabletext"/>
              <w:jc w:val="center"/>
            </w:pPr>
            <w:r w:rsidRPr="000B670C">
              <w:t>–</w:t>
            </w:r>
          </w:p>
        </w:tc>
      </w:tr>
    </w:tbl>
    <w:p w14:paraId="2D1F57EB" w14:textId="77777777" w:rsidR="00984C7E" w:rsidRDefault="00984C7E" w:rsidP="00984C7E">
      <w:pPr>
        <w:pStyle w:val="TableDescription"/>
      </w:pPr>
      <w:r>
        <w:t>1 Targeted follow-up questionnaire</w:t>
      </w:r>
    </w:p>
    <w:p w14:paraId="267CA924" w14:textId="77777777" w:rsidR="00984C7E" w:rsidRDefault="00984C7E" w:rsidP="00984C7E">
      <w:pPr>
        <w:pStyle w:val="TableDescription"/>
      </w:pPr>
      <w:r>
        <w:t xml:space="preserve">2 Clinical trials </w:t>
      </w:r>
    </w:p>
    <w:p w14:paraId="17718A98" w14:textId="77777777" w:rsidR="00984C7E" w:rsidRDefault="00984C7E" w:rsidP="00984C7E">
      <w:pPr>
        <w:pStyle w:val="TableDescription"/>
      </w:pPr>
      <w:r>
        <w:t>3 Patient Alert card as package insert in monthly starter pack for CLL indications</w:t>
      </w:r>
    </w:p>
    <w:p w14:paraId="5633B98C" w14:textId="37FBF9E6" w:rsidR="00984C7E" w:rsidRDefault="00984C7E" w:rsidP="00984C7E">
      <w:pPr>
        <w:pStyle w:val="TableDescription"/>
      </w:pPr>
      <w:r>
        <w:t>4 Quick start guide as package insert in monthly starter pack for CLL indications</w:t>
      </w:r>
    </w:p>
    <w:p w14:paraId="73FF262E" w14:textId="119D72D1" w:rsidR="0083121B" w:rsidRDefault="0083121B" w:rsidP="0083121B">
      <w:r>
        <w:t>The only change to the safety specification since it was last evaluated and accepted is the addition of ‘for CLL only’ to the missing information: ‘</w:t>
      </w:r>
      <w:r w:rsidR="003D3B92">
        <w:t>Safety in long-term exposure (&gt; 12 </w:t>
      </w:r>
      <w:r>
        <w:t>months)’. As this was due to the completion of clinical trial to monitor long-term safety (&gt; 12 months) in AML patients, the summary of safety concerns is considered acceptable from an RMP perspective.</w:t>
      </w:r>
    </w:p>
    <w:p w14:paraId="1E68AA86" w14:textId="7A3B94CA" w:rsidR="0083121B" w:rsidRDefault="0083121B" w:rsidP="0083121B">
      <w:r>
        <w:lastRenderedPageBreak/>
        <w:t xml:space="preserve">The sponsor states that routine pharmacovigilance activities for all safety concerns, which includes targeted follow-up forms for the risks of TLS, serious </w:t>
      </w:r>
      <w:proofErr w:type="gramStart"/>
      <w:r>
        <w:t>infections</w:t>
      </w:r>
      <w:proofErr w:type="gramEnd"/>
      <w:r>
        <w:t xml:space="preserve"> and embryonic toxicity, as previously accepted by the TGA, will continue. Additional pharmacovigilance activities, in the form of clinical trials in patients with CLL, have been evaluated and accepted in previous evaluation and continue to be acceptable. Overall, sponsor has not proposed changes to currently accepted pharmacovigilance plan for </w:t>
      </w:r>
      <w:proofErr w:type="spellStart"/>
      <w:r>
        <w:t>Venclexta</w:t>
      </w:r>
      <w:proofErr w:type="spellEnd"/>
      <w:r>
        <w:t xml:space="preserve"> and it continues to be acceptable.</w:t>
      </w:r>
    </w:p>
    <w:p w14:paraId="58AEADE4" w14:textId="452AA800" w:rsidR="00984C7E" w:rsidRDefault="0083121B" w:rsidP="0083121B">
      <w:r>
        <w:t xml:space="preserve">The sponsor has proposed only routine risk minimisation to mitigate safety concerns. For the CLL indications, this includes a monthly starter pack with a quick start guide and a patient alert card in the product package. These are not required for the AML indication. This is the currently agreed risk minimisation plan for </w:t>
      </w:r>
      <w:proofErr w:type="spellStart"/>
      <w:r>
        <w:t>Venclexta</w:t>
      </w:r>
      <w:proofErr w:type="spellEnd"/>
      <w:r>
        <w:t xml:space="preserve"> and continues to be acceptable.</w:t>
      </w:r>
    </w:p>
    <w:p w14:paraId="27C227F8" w14:textId="77777777" w:rsidR="008E7846" w:rsidRDefault="00AA0ED0" w:rsidP="008E7846">
      <w:pPr>
        <w:pStyle w:val="Heading3"/>
      </w:pPr>
      <w:bookmarkStart w:id="61" w:name="_Toc247691531"/>
      <w:bookmarkStart w:id="62" w:name="_Toc314842515"/>
      <w:bookmarkStart w:id="63" w:name="_Toc101431976"/>
      <w:bookmarkStart w:id="64" w:name="_Toc196046505"/>
      <w:bookmarkStart w:id="65" w:name="_Toc196046949"/>
      <w:r>
        <w:t>Risk-benefit a</w:t>
      </w:r>
      <w:r w:rsidR="008E7846">
        <w:t>nalysis</w:t>
      </w:r>
      <w:bookmarkEnd w:id="61"/>
      <w:bookmarkEnd w:id="62"/>
      <w:bookmarkEnd w:id="63"/>
    </w:p>
    <w:p w14:paraId="5E840D4A" w14:textId="77777777" w:rsidR="00D23139" w:rsidRDefault="007D53B6" w:rsidP="00F13010">
      <w:pPr>
        <w:pStyle w:val="Heading4"/>
      </w:pPr>
      <w:r>
        <w:t>Delegate’s considerations</w:t>
      </w:r>
    </w:p>
    <w:p w14:paraId="281B00D9" w14:textId="77777777" w:rsidR="0083121B" w:rsidRDefault="0083121B" w:rsidP="0083121B">
      <w:r>
        <w:t xml:space="preserve">The sponsor is seeking conversion to full registration of </w:t>
      </w:r>
      <w:proofErr w:type="spellStart"/>
      <w:r>
        <w:t>venetoclax</w:t>
      </w:r>
      <w:proofErr w:type="spellEnd"/>
      <w:r>
        <w:t xml:space="preserve"> for use in AML for patients who are ineligible for intensive chemotherapy. These are older patients, or patients with significant co-morbidities. The patient populations included in the studies are considered sufficiently representative of the AML population who would be considered for this therapy.</w:t>
      </w:r>
    </w:p>
    <w:p w14:paraId="2EFC5F7F" w14:textId="6B423DE0" w:rsidR="0083121B" w:rsidRDefault="0083121B" w:rsidP="0083121B">
      <w:r>
        <w:t xml:space="preserve">The Phase </w:t>
      </w:r>
      <w:proofErr w:type="spellStart"/>
      <w:r>
        <w:t>Ib</w:t>
      </w:r>
      <w:proofErr w:type="spellEnd"/>
      <w:r>
        <w:t xml:space="preserve"> and Phase I/II studies were considered sufficient to support provisional registration.</w:t>
      </w:r>
    </w:p>
    <w:p w14:paraId="22E85CBC" w14:textId="59AC23DB" w:rsidR="0083121B" w:rsidRDefault="0083121B" w:rsidP="0083121B">
      <w:pPr>
        <w:pStyle w:val="ListBullet"/>
      </w:pPr>
      <w:r>
        <w:t xml:space="preserve">The key efficacy findings for </w:t>
      </w:r>
      <w:proofErr w:type="spellStart"/>
      <w:r>
        <w:t>venetoclax</w:t>
      </w:r>
      <w:proofErr w:type="spellEnd"/>
      <w:r>
        <w:t xml:space="preserve"> when used in combination with </w:t>
      </w:r>
      <w:proofErr w:type="spellStart"/>
      <w:r>
        <w:t>azacitidine</w:t>
      </w:r>
      <w:proofErr w:type="spellEnd"/>
      <w:r>
        <w:t xml:space="preserve"> were </w:t>
      </w:r>
      <w:r w:rsidR="003D3B92">
        <w:t>complete remission (</w:t>
      </w:r>
      <w:r>
        <w:t>CR</w:t>
      </w:r>
      <w:r w:rsidR="003D3B92">
        <w:t>)</w:t>
      </w:r>
      <w:r>
        <w:t xml:space="preserve"> 40.5% with </w:t>
      </w:r>
      <w:r w:rsidR="003D3B92">
        <w:t xml:space="preserve">the </w:t>
      </w:r>
      <w:r>
        <w:t xml:space="preserve">median </w:t>
      </w:r>
      <w:r w:rsidR="00211D51">
        <w:t>duration of response (</w:t>
      </w:r>
      <w:r>
        <w:t>DOR</w:t>
      </w:r>
      <w:r w:rsidR="00211D51">
        <w:t>)</w:t>
      </w:r>
      <w:r>
        <w:t xml:space="preserve"> &gt;</w:t>
      </w:r>
      <w:r w:rsidR="003D3B92">
        <w:t> </w:t>
      </w:r>
      <w:r>
        <w:t xml:space="preserve">14.6 months; CR </w:t>
      </w:r>
      <w:r w:rsidR="00211D51">
        <w:t>plus</w:t>
      </w:r>
      <w:r>
        <w:t xml:space="preserve"> </w:t>
      </w:r>
      <w:r w:rsidR="00AB28CF">
        <w:rPr>
          <w:sz w:val="23"/>
          <w:szCs w:val="23"/>
        </w:rPr>
        <w:t>c</w:t>
      </w:r>
      <w:r w:rsidR="00AB28CF" w:rsidRPr="00B74FCB">
        <w:rPr>
          <w:sz w:val="23"/>
          <w:szCs w:val="23"/>
        </w:rPr>
        <w:t>omplete remission with incomplete blood count recovery</w:t>
      </w:r>
      <w:r w:rsidR="00AB28CF">
        <w:t xml:space="preserve"> (</w:t>
      </w:r>
      <w:r>
        <w:t>CRi</w:t>
      </w:r>
      <w:r w:rsidR="00AB28CF">
        <w:t>)</w:t>
      </w:r>
      <w:r>
        <w:t xml:space="preserve"> 70.2% with median DOR &gt;</w:t>
      </w:r>
      <w:r w:rsidR="00435337">
        <w:t> </w:t>
      </w:r>
      <w:r>
        <w:t>8.2 months. Transfusion independence in 50% for red cells and 57.7% for platelets.</w:t>
      </w:r>
    </w:p>
    <w:p w14:paraId="473A6AB8" w14:textId="3165D8CA" w:rsidR="0083121B" w:rsidRDefault="0083121B" w:rsidP="0083121B">
      <w:pPr>
        <w:pStyle w:val="ListBullet"/>
      </w:pPr>
      <w:r>
        <w:t xml:space="preserve">The key efficacy findings for </w:t>
      </w:r>
      <w:proofErr w:type="spellStart"/>
      <w:r w:rsidR="00C20E0F">
        <w:t>venetoclax</w:t>
      </w:r>
      <w:proofErr w:type="spellEnd"/>
      <w:r>
        <w:t xml:space="preserve"> when used in combination with low dose cytarabine were CR 25.6% with median DOR not reached; CR </w:t>
      </w:r>
      <w:r w:rsidR="00211D51">
        <w:t>plus</w:t>
      </w:r>
      <w:r>
        <w:t xml:space="preserve"> CRi 53.7% with median DOR 8.1 months. Transfusion independence in 43.4% for red cells and 65.2% for platelets.</w:t>
      </w:r>
    </w:p>
    <w:p w14:paraId="271CE731" w14:textId="38F12660" w:rsidR="0083121B" w:rsidRDefault="0083121B" w:rsidP="0083121B">
      <w:r>
        <w:t xml:space="preserve">The sponsor has provided two Phase III studies that compared </w:t>
      </w:r>
      <w:proofErr w:type="spellStart"/>
      <w:r>
        <w:t>venetoclax</w:t>
      </w:r>
      <w:proofErr w:type="spellEnd"/>
      <w:r>
        <w:t xml:space="preserve"> combined with another agent with that agent plus placebo. In this way, the sponsor has enabled an assessment of the contribution of </w:t>
      </w:r>
      <w:proofErr w:type="spellStart"/>
      <w:r>
        <w:t>vene</w:t>
      </w:r>
      <w:r w:rsidR="00C705E2">
        <w:t>toclax</w:t>
      </w:r>
      <w:proofErr w:type="spellEnd"/>
      <w:r>
        <w:t xml:space="preserve"> to the efficacy and safety of the combinations.</w:t>
      </w:r>
    </w:p>
    <w:p w14:paraId="1ADE0E2E" w14:textId="48196EB2" w:rsidR="0083121B" w:rsidRDefault="0083121B" w:rsidP="0083121B">
      <w:r>
        <w:t xml:space="preserve">Efficacy evidence to support full registration of the </w:t>
      </w:r>
      <w:proofErr w:type="spellStart"/>
      <w:r w:rsidR="00C705E2">
        <w:t>venetoclax</w:t>
      </w:r>
      <w:proofErr w:type="spellEnd"/>
      <w:r w:rsidR="00C705E2">
        <w:t xml:space="preserve"> </w:t>
      </w:r>
      <w:r w:rsidR="006D65DF">
        <w:t>and</w:t>
      </w:r>
      <w:r w:rsidR="00C705E2">
        <w:t xml:space="preserve"> </w:t>
      </w:r>
      <w:proofErr w:type="spellStart"/>
      <w:r w:rsidR="00C705E2">
        <w:t>azacitidine</w:t>
      </w:r>
      <w:proofErr w:type="spellEnd"/>
      <w:r w:rsidR="00C705E2">
        <w:t xml:space="preserve"> </w:t>
      </w:r>
      <w:r>
        <w:t xml:space="preserve">combination is from the VIALE-A </w:t>
      </w:r>
      <w:r w:rsidR="00C705E2">
        <w:t>trial</w:t>
      </w:r>
      <w:r>
        <w:t>, with data from 431 patients. The endpoints for this study were different for the US</w:t>
      </w:r>
      <w:r w:rsidR="00AB28CF">
        <w:t>A and US-</w:t>
      </w:r>
      <w:r>
        <w:t>reference countries and</w:t>
      </w:r>
      <w:r w:rsidR="00AB28CF">
        <w:t xml:space="preserve"> for Japan and the EU and EU-reference countries. Overall survival</w:t>
      </w:r>
      <w:r>
        <w:t xml:space="preserve"> events occurred in 75.2% of </w:t>
      </w:r>
      <w:r w:rsidR="00C705E2">
        <w:t xml:space="preserve">the placebo when used in combination with </w:t>
      </w:r>
      <w:proofErr w:type="spellStart"/>
      <w:r w:rsidR="00C705E2">
        <w:t>azacitidine</w:t>
      </w:r>
      <w:proofErr w:type="spellEnd"/>
      <w:r w:rsidR="00C705E2">
        <w:t xml:space="preserve"> arm </w:t>
      </w:r>
      <w:r>
        <w:t xml:space="preserve">and 56.3% </w:t>
      </w:r>
      <w:r w:rsidR="00C705E2">
        <w:t xml:space="preserve">of the </w:t>
      </w:r>
      <w:proofErr w:type="spellStart"/>
      <w:r w:rsidR="00C705E2">
        <w:t>venetoclax</w:t>
      </w:r>
      <w:proofErr w:type="spellEnd"/>
      <w:r w:rsidR="00C705E2">
        <w:t xml:space="preserve"> when used in combination with </w:t>
      </w:r>
      <w:proofErr w:type="spellStart"/>
      <w:r w:rsidR="00C705E2">
        <w:t>azacitidine</w:t>
      </w:r>
      <w:proofErr w:type="spellEnd"/>
      <w:r w:rsidR="00C705E2">
        <w:t xml:space="preserve"> </w:t>
      </w:r>
      <w:r>
        <w:t xml:space="preserve">arm: </w:t>
      </w:r>
      <w:r w:rsidR="00AB28CF">
        <w:t>hazard ratio</w:t>
      </w:r>
      <w:r>
        <w:t xml:space="preserve"> 0.</w:t>
      </w:r>
      <w:r w:rsidR="00AB28CF">
        <w:t>66 (95% CI, 95% CI 0.52, 0.8; p </w:t>
      </w:r>
      <w:r>
        <w:t>&lt;</w:t>
      </w:r>
      <w:r w:rsidR="00AB28CF">
        <w:t> </w:t>
      </w:r>
      <w:r>
        <w:t>0.0001). The endpoint of CR</w:t>
      </w:r>
      <w:r w:rsidR="006D65DF">
        <w:t> </w:t>
      </w:r>
      <w:r w:rsidR="00211D51">
        <w:t>plus</w:t>
      </w:r>
      <w:r w:rsidR="00E74012">
        <w:t xml:space="preserve"> </w:t>
      </w:r>
      <w:r>
        <w:t xml:space="preserve">CRi was achieved in 65.3% of the </w:t>
      </w:r>
      <w:proofErr w:type="spellStart"/>
      <w:r w:rsidR="00C705E2">
        <w:t>venetoclax</w:t>
      </w:r>
      <w:proofErr w:type="spellEnd"/>
      <w:r w:rsidR="00C705E2">
        <w:t xml:space="preserve"> and </w:t>
      </w:r>
      <w:proofErr w:type="spellStart"/>
      <w:r w:rsidR="00211D51">
        <w:t>azac</w:t>
      </w:r>
      <w:r w:rsidR="002A4E04">
        <w:t>i</w:t>
      </w:r>
      <w:r w:rsidR="00211D51">
        <w:t>tidine</w:t>
      </w:r>
      <w:proofErr w:type="spellEnd"/>
      <w:r w:rsidR="00211D51">
        <w:t xml:space="preserve"> combination</w:t>
      </w:r>
      <w:r w:rsidR="00C705E2">
        <w:t xml:space="preserve"> </w:t>
      </w:r>
      <w:r>
        <w:t>arm v</w:t>
      </w:r>
      <w:r w:rsidR="00C705E2">
        <w:t>ersus</w:t>
      </w:r>
      <w:r>
        <w:t xml:space="preserve"> 25.3% of the </w:t>
      </w:r>
      <w:r w:rsidR="00C705E2">
        <w:t xml:space="preserve">placebo and </w:t>
      </w:r>
      <w:proofErr w:type="spellStart"/>
      <w:r w:rsidR="00211D51">
        <w:t>azac</w:t>
      </w:r>
      <w:r w:rsidR="002A4E04">
        <w:t>i</w:t>
      </w:r>
      <w:r w:rsidR="00211D51">
        <w:t>tidine</w:t>
      </w:r>
      <w:proofErr w:type="spellEnd"/>
      <w:r w:rsidR="00211D51">
        <w:t xml:space="preserve"> combination</w:t>
      </w:r>
      <w:r w:rsidR="00C705E2">
        <w:t xml:space="preserve"> </w:t>
      </w:r>
      <w:r>
        <w:t xml:space="preserve">arm. Sensitivity analyses of this endpoint and the key secondary endpoints all support these findings of a benefit. These findings are considered support to the efficacy consideration for the </w:t>
      </w:r>
      <w:proofErr w:type="spellStart"/>
      <w:r w:rsidR="00C705E2">
        <w:t>venetoclax</w:t>
      </w:r>
      <w:proofErr w:type="spellEnd"/>
      <w:r w:rsidR="00C705E2">
        <w:t xml:space="preserve"> and </w:t>
      </w:r>
      <w:proofErr w:type="spellStart"/>
      <w:r w:rsidR="00C705E2">
        <w:t>azacitidine</w:t>
      </w:r>
      <w:proofErr w:type="spellEnd"/>
      <w:r w:rsidR="00C705E2">
        <w:t xml:space="preserve"> </w:t>
      </w:r>
      <w:r>
        <w:t>combination.</w:t>
      </w:r>
    </w:p>
    <w:p w14:paraId="53D2CA35" w14:textId="7104E0D6" w:rsidR="0083121B" w:rsidRDefault="0083121B" w:rsidP="0083121B">
      <w:r w:rsidRPr="00C705E2">
        <w:t xml:space="preserve">Efficacy evidence to support full registration of the </w:t>
      </w:r>
      <w:proofErr w:type="spellStart"/>
      <w:r w:rsidR="00E74012">
        <w:t>venetoclax</w:t>
      </w:r>
      <w:proofErr w:type="spellEnd"/>
      <w:r w:rsidR="00E74012">
        <w:t xml:space="preserve"> in combination with low dose cytarabine </w:t>
      </w:r>
      <w:r w:rsidRPr="00C705E2">
        <w:t>combination is less compelling and arises</w:t>
      </w:r>
      <w:r>
        <w:t xml:space="preserve"> from </w:t>
      </w:r>
      <w:r w:rsidR="00AB28CF">
        <w:t xml:space="preserve">the </w:t>
      </w:r>
      <w:r>
        <w:t>VIALE-C</w:t>
      </w:r>
      <w:r w:rsidR="00E74012">
        <w:t xml:space="preserve"> trial</w:t>
      </w:r>
      <w:r>
        <w:t xml:space="preserve">. The </w:t>
      </w:r>
      <w:r w:rsidR="00AB28CF">
        <w:t>overall survival</w:t>
      </w:r>
      <w:r>
        <w:t xml:space="preserve"> events occurred in </w:t>
      </w:r>
      <w:r w:rsidR="000E51FC">
        <w:t>60.1</w:t>
      </w:r>
      <w:r>
        <w:t xml:space="preserve">% in the </w:t>
      </w:r>
      <w:proofErr w:type="spellStart"/>
      <w:r w:rsidR="00E74012">
        <w:t>venetoclax</w:t>
      </w:r>
      <w:proofErr w:type="spellEnd"/>
      <w:r w:rsidR="00E74012">
        <w:t xml:space="preserve"> in combination with low dose </w:t>
      </w:r>
      <w:r w:rsidR="00E74012">
        <w:lastRenderedPageBreak/>
        <w:t xml:space="preserve">cytarabine arm </w:t>
      </w:r>
      <w:r>
        <w:t xml:space="preserve">and </w:t>
      </w:r>
      <w:r w:rsidR="000E51FC">
        <w:t>69.1</w:t>
      </w:r>
      <w:r>
        <w:t xml:space="preserve">% </w:t>
      </w:r>
      <w:r w:rsidR="00E74012">
        <w:t>placebo in combination with low dose cytarabine arm</w:t>
      </w:r>
      <w:r>
        <w:t xml:space="preserve">: </w:t>
      </w:r>
      <w:r w:rsidR="00AB28CF">
        <w:t>hazard ratio</w:t>
      </w:r>
      <w:r>
        <w:t xml:space="preserve"> 0.75 (0.52, 1.07), p</w:t>
      </w:r>
      <w:r w:rsidR="00E74012">
        <w:t> </w:t>
      </w:r>
      <w:r>
        <w:t>=</w:t>
      </w:r>
      <w:r w:rsidR="00E74012">
        <w:t> </w:t>
      </w:r>
      <w:r>
        <w:t xml:space="preserve">0.114. From a statistical perspective this is a failed study. However, the CR of 27% versus 7% with median </w:t>
      </w:r>
      <w:r w:rsidR="00E74012">
        <w:t xml:space="preserve">duration of </w:t>
      </w:r>
      <w:r>
        <w:t>CR 11.1 months (95% CI, 6.1</w:t>
      </w:r>
      <w:r w:rsidR="00AB28CF">
        <w:t>, upper bound not reached</w:t>
      </w:r>
      <w:r>
        <w:t>) versus 8.3 months (95% CI, 3.1</w:t>
      </w:r>
      <w:r w:rsidR="00AB28CF">
        <w:t>, upper bound not reached</w:t>
      </w:r>
      <w:r>
        <w:t xml:space="preserve">), respectively, and there were numerical differences in favour of the </w:t>
      </w:r>
      <w:proofErr w:type="spellStart"/>
      <w:r w:rsidR="00E74012">
        <w:t>venetoclax</w:t>
      </w:r>
      <w:proofErr w:type="spellEnd"/>
      <w:r w:rsidR="00E74012">
        <w:t xml:space="preserve"> in combination with low dose cytarabine </w:t>
      </w:r>
      <w:r>
        <w:t>combination for haematological outcomes and for transfusion independence. It is noted the follow</w:t>
      </w:r>
      <w:r w:rsidR="00E74012">
        <w:t xml:space="preserve"> </w:t>
      </w:r>
      <w:r>
        <w:t xml:space="preserve">up in this study was shorter than for the VIALE-A </w:t>
      </w:r>
      <w:r w:rsidR="00E74012">
        <w:t>trial</w:t>
      </w:r>
      <w:r>
        <w:t>.</w:t>
      </w:r>
    </w:p>
    <w:p w14:paraId="58A448BE" w14:textId="77777777" w:rsidR="0083121B" w:rsidRDefault="0083121B" w:rsidP="0083121B">
      <w:r>
        <w:t xml:space="preserve">This study is disadvantaged by its size. </w:t>
      </w:r>
      <w:proofErr w:type="gramStart"/>
      <w:r>
        <w:t>Drop outs</w:t>
      </w:r>
      <w:proofErr w:type="gramEnd"/>
      <w:r>
        <w:t xml:space="preserve"> reduced the power to detect differences and its failure to demonstrate benefit from a statistical perspective creates a regulatory challenge. While many of the other endpoints point towards a benefit in this study population and overall survival benefit has not been demonstrated. Overall survival is considered a robust endpoint. It also has assessed the efficacy and safety of a higher dose, although across the adverse events table this does not appear to have contributed significantly to the toxicity.</w:t>
      </w:r>
    </w:p>
    <w:p w14:paraId="318773AC" w14:textId="53624A6D" w:rsidR="0083121B" w:rsidRDefault="0083121B" w:rsidP="0083121B">
      <w:r>
        <w:t>The sponsor provided an unplanned analysis with an additional 6 months follow</w:t>
      </w:r>
      <w:r w:rsidR="00E74012">
        <w:t xml:space="preserve"> </w:t>
      </w:r>
      <w:r>
        <w:t xml:space="preserve">up in which the </w:t>
      </w:r>
      <w:r w:rsidR="001827E5">
        <w:t>overall survival hazard ratio</w:t>
      </w:r>
      <w:r>
        <w:t xml:space="preserve"> was 0.70 (95% CI: 0.50, 0.99). The depletion of susceptible patients </w:t>
      </w:r>
      <w:proofErr w:type="gramStart"/>
      <w:r>
        <w:t>make</w:t>
      </w:r>
      <w:proofErr w:type="gramEnd"/>
      <w:r>
        <w:t xml:space="preserve"> this more difficult to interpret as the power of the study to robustly detect differences is diminished. The updated analysis from the provisional registration </w:t>
      </w:r>
      <w:r w:rsidR="00E74012">
        <w:t>P</w:t>
      </w:r>
      <w:r>
        <w:t xml:space="preserve">hase </w:t>
      </w:r>
      <w:r w:rsidR="003C621A">
        <w:t>I/</w:t>
      </w:r>
      <w:r w:rsidR="00E74012">
        <w:t>II</w:t>
      </w:r>
      <w:r>
        <w:t xml:space="preserve"> study adds support.</w:t>
      </w:r>
    </w:p>
    <w:p w14:paraId="346D4E60" w14:textId="0B4FF4A4" w:rsidR="0083121B" w:rsidRDefault="0083121B" w:rsidP="0083121B">
      <w:r>
        <w:t xml:space="preserve">Across the VIALE-A and VIALE-C </w:t>
      </w:r>
      <w:r w:rsidR="00E74012">
        <w:t>trials,</w:t>
      </w:r>
      <w:r>
        <w:t xml:space="preserve"> safety findings are generally consistent with the findings of the early studies, and the follow</w:t>
      </w:r>
      <w:r w:rsidR="00E74012">
        <w:t xml:space="preserve"> </w:t>
      </w:r>
      <w:r>
        <w:t xml:space="preserve">up data from those early studies in this submission. The safety considerations including the risk of and mitigations strategies for tumour lysis syndrome have been </w:t>
      </w:r>
      <w:proofErr w:type="gramStart"/>
      <w:r>
        <w:t>taken into account</w:t>
      </w:r>
      <w:proofErr w:type="gramEnd"/>
      <w:r>
        <w:t xml:space="preserve"> and are not the main difficulty for this submission.</w:t>
      </w:r>
    </w:p>
    <w:p w14:paraId="606477E3" w14:textId="13B76FAC" w:rsidR="0083121B" w:rsidRDefault="0083121B" w:rsidP="0083121B">
      <w:r>
        <w:t xml:space="preserve">The safety is considered in the context of the patients in whom use is likely. Consistent with the baseline demographics in the study the patient groups, to be ineligible for intensive therapy the patients have significant comorbidities or age. Sensitivities to toxicity setting for the weighing of benefits and harms, so for more vulnerable patient groups the risk of harms must be very clearly outweighed by potential for benefits. While it is considered the sponsor has provided sufficient evidence to support its proposed </w:t>
      </w:r>
      <w:proofErr w:type="spellStart"/>
      <w:r w:rsidR="006D65DF">
        <w:t>venetoclax</w:t>
      </w:r>
      <w:proofErr w:type="spellEnd"/>
      <w:r w:rsidR="006D65DF">
        <w:t xml:space="preserve"> and </w:t>
      </w:r>
      <w:proofErr w:type="spellStart"/>
      <w:r w:rsidR="006D65DF">
        <w:t>azacitidine</w:t>
      </w:r>
      <w:proofErr w:type="spellEnd"/>
      <w:r w:rsidR="006D65DF">
        <w:t xml:space="preserve"> </w:t>
      </w:r>
      <w:r>
        <w:t>combination</w:t>
      </w:r>
      <w:r w:rsidR="006D65DF">
        <w:t>,</w:t>
      </w:r>
      <w:r>
        <w:t xml:space="preserve"> it is less clear for the </w:t>
      </w:r>
      <w:proofErr w:type="spellStart"/>
      <w:r w:rsidR="006D65DF">
        <w:t>venetoclax</w:t>
      </w:r>
      <w:proofErr w:type="spellEnd"/>
      <w:r w:rsidR="006D65DF">
        <w:t xml:space="preserve"> and low dose cytarabine </w:t>
      </w:r>
      <w:r>
        <w:t>combination.</w:t>
      </w:r>
    </w:p>
    <w:p w14:paraId="09583674" w14:textId="5325A6A5" w:rsidR="0083121B" w:rsidRDefault="0083121B" w:rsidP="0083121B">
      <w:r>
        <w:t xml:space="preserve">It is noted that internationally there are different approaches to the indication and that in the EU only the combination of </w:t>
      </w:r>
      <w:proofErr w:type="spellStart"/>
      <w:r>
        <w:t>venetoclax</w:t>
      </w:r>
      <w:proofErr w:type="spellEnd"/>
      <w:r>
        <w:t xml:space="preserve"> and hypomethylating agents has been approved. No </w:t>
      </w:r>
      <w:r w:rsidR="006D65DF">
        <w:t>P</w:t>
      </w:r>
      <w:r>
        <w:t xml:space="preserve">hase </w:t>
      </w:r>
      <w:r w:rsidR="006D65DF">
        <w:t>III</w:t>
      </w:r>
      <w:r>
        <w:t xml:space="preserve"> data were provided for the combination of </w:t>
      </w:r>
      <w:proofErr w:type="spellStart"/>
      <w:r>
        <w:t>venetoclax</w:t>
      </w:r>
      <w:proofErr w:type="spellEnd"/>
      <w:r>
        <w:t xml:space="preserve"> and decitabine and decitabine is not currently registered in Australia except in combination with </w:t>
      </w:r>
      <w:proofErr w:type="spellStart"/>
      <w:r>
        <w:t>cedazuridine</w:t>
      </w:r>
      <w:proofErr w:type="spellEnd"/>
      <w:r>
        <w:t xml:space="preserve"> in a fixed dose combination.</w:t>
      </w:r>
    </w:p>
    <w:p w14:paraId="182DC4B4" w14:textId="37A0E20F" w:rsidR="0083121B" w:rsidRDefault="0083121B" w:rsidP="0083121B">
      <w:proofErr w:type="gramStart"/>
      <w:r>
        <w:t>Overall</w:t>
      </w:r>
      <w:proofErr w:type="gramEnd"/>
      <w:r>
        <w:t xml:space="preserve"> the clinical pharmacology analyses are supportive of the proposed </w:t>
      </w:r>
      <w:proofErr w:type="spellStart"/>
      <w:r>
        <w:t>venetoclax</w:t>
      </w:r>
      <w:proofErr w:type="spellEnd"/>
      <w:r>
        <w:t xml:space="preserve"> dosing regimens in combination with an </w:t>
      </w:r>
      <w:r w:rsidR="006D65DF" w:rsidRPr="006D65DF">
        <w:t xml:space="preserve">hypomethylating agent </w:t>
      </w:r>
      <w:r>
        <w:t xml:space="preserve">or </w:t>
      </w:r>
      <w:r w:rsidR="006D65DF">
        <w:t>low dose cytarabine</w:t>
      </w:r>
      <w:r>
        <w:t xml:space="preserve"> in patients with newly diagnosed AML who are ineligible for intensive chemotherapy.</w:t>
      </w:r>
    </w:p>
    <w:p w14:paraId="4856326F" w14:textId="23722211" w:rsidR="0083121B" w:rsidRPr="0083121B" w:rsidRDefault="0083121B" w:rsidP="0083121B">
      <w:r>
        <w:t xml:space="preserve">There is no apparent need for dose adjustment in patients were severe renal disease, based on the additional data from a total of 6 patients with </w:t>
      </w:r>
      <w:r w:rsidR="006D65DF">
        <w:rPr>
          <w:rFonts w:asciiTheme="minorHAnsi" w:hAnsiTheme="minorHAnsi"/>
        </w:rPr>
        <w:t>c</w:t>
      </w:r>
      <w:r w:rsidR="006D65DF" w:rsidRPr="006D65DF">
        <w:rPr>
          <w:rFonts w:asciiTheme="minorHAnsi" w:hAnsiTheme="minorHAnsi"/>
        </w:rPr>
        <w:t xml:space="preserve">reatinine </w:t>
      </w:r>
      <w:r w:rsidR="006D65DF">
        <w:rPr>
          <w:rFonts w:asciiTheme="minorHAnsi" w:hAnsiTheme="minorHAnsi"/>
        </w:rPr>
        <w:t>c</w:t>
      </w:r>
      <w:r w:rsidR="006D65DF" w:rsidRPr="006D65DF">
        <w:rPr>
          <w:rFonts w:asciiTheme="minorHAnsi" w:hAnsiTheme="minorHAnsi"/>
        </w:rPr>
        <w:t>learance</w:t>
      </w:r>
      <w:r w:rsidR="006D65DF" w:rsidRPr="006E0319">
        <w:rPr>
          <w:rFonts w:asciiTheme="minorHAnsi" w:hAnsiTheme="minorHAnsi"/>
        </w:rPr>
        <w:t xml:space="preserve"> </w:t>
      </w:r>
      <w:r w:rsidR="006D65DF">
        <w:t>≥ </w:t>
      </w:r>
      <w:r>
        <w:t>15</w:t>
      </w:r>
      <w:r w:rsidR="006D65DF">
        <w:t> </w:t>
      </w:r>
      <w:r>
        <w:t>mL/min and &lt;</w:t>
      </w:r>
      <w:r w:rsidR="006D65DF">
        <w:t> </w:t>
      </w:r>
      <w:r>
        <w:t>30 mL/min, the updated population PK analysis in this submission, and the previous findings that renal excretion accounted for &lt;</w:t>
      </w:r>
      <w:r w:rsidR="006D65DF">
        <w:t> </w:t>
      </w:r>
      <w:r>
        <w:t>1% of the administered dose.</w:t>
      </w:r>
    </w:p>
    <w:p w14:paraId="6815209E" w14:textId="77777777" w:rsidR="00D23139" w:rsidRDefault="00D23139" w:rsidP="00D23139">
      <w:pPr>
        <w:pStyle w:val="Heading4"/>
      </w:pPr>
      <w:r w:rsidRPr="00D23139">
        <w:t>Proposed action</w:t>
      </w:r>
    </w:p>
    <w:p w14:paraId="22D1E3CD" w14:textId="2AC5D610" w:rsidR="0083121B" w:rsidRDefault="0083121B" w:rsidP="006D65DF">
      <w:r>
        <w:t xml:space="preserve">In this preliminary consideration, it is the view of the </w:t>
      </w:r>
      <w:r w:rsidR="006D65DF">
        <w:t>D</w:t>
      </w:r>
      <w:r>
        <w:t xml:space="preserve">elegate that sufficient evidence to support the safety and efficacy of </w:t>
      </w:r>
      <w:proofErr w:type="spellStart"/>
      <w:r>
        <w:t>venetoclax</w:t>
      </w:r>
      <w:proofErr w:type="spellEnd"/>
      <w:r>
        <w:t xml:space="preserve"> when used in combination with </w:t>
      </w:r>
      <w:proofErr w:type="spellStart"/>
      <w:r>
        <w:t>azacitidine</w:t>
      </w:r>
      <w:proofErr w:type="spellEnd"/>
      <w:r>
        <w:t xml:space="preserve"> </w:t>
      </w:r>
      <w:r>
        <w:lastRenderedPageBreak/>
        <w:t>has been provided. In this setting, the benefits of overall survival coupled with the haematological response and transfusion independence outweigh the potential harms.</w:t>
      </w:r>
    </w:p>
    <w:p w14:paraId="66969BEA" w14:textId="00C4F0EF" w:rsidR="0083121B" w:rsidRPr="0083121B" w:rsidRDefault="0083121B" w:rsidP="006D65DF">
      <w:r>
        <w:t xml:space="preserve">For the combination of </w:t>
      </w:r>
      <w:proofErr w:type="spellStart"/>
      <w:r>
        <w:t>venetoclax</w:t>
      </w:r>
      <w:proofErr w:type="spellEnd"/>
      <w:r>
        <w:t xml:space="preserve"> and </w:t>
      </w:r>
      <w:r w:rsidR="006D65DF">
        <w:t>low dose cytarabine</w:t>
      </w:r>
      <w:r>
        <w:t xml:space="preserve">, the contribution of </w:t>
      </w:r>
      <w:proofErr w:type="spellStart"/>
      <w:r>
        <w:t>venetoclax</w:t>
      </w:r>
      <w:proofErr w:type="spellEnd"/>
      <w:r>
        <w:t xml:space="preserve"> is less clear. The overall survival did not meet statistical significance; however, haematological responses appeared favourable for </w:t>
      </w:r>
      <w:proofErr w:type="spellStart"/>
      <w:r>
        <w:t>venetoclax</w:t>
      </w:r>
      <w:proofErr w:type="spellEnd"/>
      <w:r>
        <w:t xml:space="preserve"> and </w:t>
      </w:r>
      <w:r w:rsidR="006D65DF">
        <w:t>low dose cytarabine</w:t>
      </w:r>
      <w:r>
        <w:t xml:space="preserve">. The magnitude of benefit for haematological responses is generally consistent with the Phase </w:t>
      </w:r>
      <w:r w:rsidR="004E639E">
        <w:t>I/</w:t>
      </w:r>
      <w:r w:rsidR="006D65DF">
        <w:t>II</w:t>
      </w:r>
      <w:r>
        <w:t xml:space="preserve"> study. The advice of the </w:t>
      </w:r>
      <w:r w:rsidR="006D65DF" w:rsidRPr="00456765">
        <w:rPr>
          <w:bCs/>
        </w:rPr>
        <w:t>Advisory Committee on Medicines</w:t>
      </w:r>
      <w:r w:rsidR="006D65DF">
        <w:rPr>
          <w:bCs/>
        </w:rPr>
        <w:t xml:space="preserve"> (ACM)</w:t>
      </w:r>
      <w:r>
        <w:t xml:space="preserve"> is sought regarding the benefits over harms for this combination and whether based on the totality of the efficacy evidence benefits for haematological response, notwithstanding the lack of demonstrated survival benefit, are sufficient to support use in this context.</w:t>
      </w:r>
    </w:p>
    <w:p w14:paraId="0D443D18" w14:textId="77777777" w:rsidR="008E7846" w:rsidRDefault="008E7846" w:rsidP="007D53B6">
      <w:pPr>
        <w:pStyle w:val="Heading4"/>
      </w:pPr>
      <w:r>
        <w:t xml:space="preserve">Advisory Committee </w:t>
      </w:r>
      <w:r w:rsidR="007D53B6">
        <w:t>c</w:t>
      </w:r>
      <w:r>
        <w:t>onsiderations</w:t>
      </w:r>
      <w:r w:rsidR="00456765">
        <w:rPr>
          <w:rStyle w:val="FootnoteReference"/>
        </w:rPr>
        <w:footnoteReference w:id="9"/>
      </w:r>
    </w:p>
    <w:p w14:paraId="0DE88BD4" w14:textId="77777777" w:rsidR="00744121" w:rsidRDefault="00744121" w:rsidP="00744121">
      <w:pPr>
        <w:rPr>
          <w:bCs/>
        </w:rPr>
      </w:pPr>
      <w:bookmarkStart w:id="66" w:name="_Toc247691532"/>
      <w:bookmarkStart w:id="67" w:name="_Toc314842516"/>
      <w:bookmarkEnd w:id="31"/>
      <w:bookmarkEnd w:id="64"/>
      <w:bookmarkEnd w:id="65"/>
      <w:r w:rsidRPr="00456765">
        <w:rPr>
          <w:bCs/>
        </w:rPr>
        <w:t>The Advisory Committee on Medicines (ACM), having considered the evaluations and the Delegate’s overview, as well as the sponsor’s response to these documents, advised the following</w:t>
      </w:r>
      <w:r>
        <w:rPr>
          <w:bCs/>
        </w:rPr>
        <w:t>.</w:t>
      </w:r>
    </w:p>
    <w:p w14:paraId="2D48E9C8" w14:textId="77777777" w:rsidR="00744121" w:rsidRDefault="00744121" w:rsidP="00744121">
      <w:pPr>
        <w:pStyle w:val="Heading5"/>
      </w:pPr>
      <w:r>
        <w:t>Specific advice to the Delegate</w:t>
      </w:r>
    </w:p>
    <w:p w14:paraId="65E4DE2D" w14:textId="67066B75" w:rsidR="00382A16" w:rsidRPr="00382A16" w:rsidRDefault="00382A16" w:rsidP="00382A16">
      <w:pPr>
        <w:pStyle w:val="Numberbullet0"/>
        <w:rPr>
          <w:b/>
          <w:bCs/>
          <w:i/>
          <w:iCs/>
        </w:rPr>
      </w:pPr>
      <w:r w:rsidRPr="00382A16">
        <w:rPr>
          <w:b/>
          <w:bCs/>
          <w:i/>
          <w:iCs/>
        </w:rPr>
        <w:t xml:space="preserve">Please comment on whether sufficient evidence of efficacy has been presented to support the full registration of the combination of </w:t>
      </w:r>
      <w:proofErr w:type="spellStart"/>
      <w:r w:rsidRPr="00382A16">
        <w:rPr>
          <w:b/>
          <w:bCs/>
          <w:i/>
          <w:iCs/>
        </w:rPr>
        <w:t>venetoclax</w:t>
      </w:r>
      <w:proofErr w:type="spellEnd"/>
      <w:r w:rsidRPr="00382A16">
        <w:rPr>
          <w:b/>
          <w:bCs/>
          <w:i/>
          <w:iCs/>
        </w:rPr>
        <w:t xml:space="preserve"> and low dose cytarabine in acute myeloid leukaemia for </w:t>
      </w:r>
      <w:proofErr w:type="gramStart"/>
      <w:r w:rsidRPr="00382A16">
        <w:rPr>
          <w:b/>
          <w:bCs/>
          <w:i/>
          <w:iCs/>
        </w:rPr>
        <w:t>patients</w:t>
      </w:r>
      <w:proofErr w:type="gramEnd"/>
      <w:r w:rsidRPr="00382A16">
        <w:rPr>
          <w:b/>
          <w:bCs/>
          <w:i/>
          <w:iCs/>
        </w:rPr>
        <w:t xml:space="preserve"> ineligible for intensive chemotherapy.</w:t>
      </w:r>
    </w:p>
    <w:p w14:paraId="7C5553C6" w14:textId="65B787CD" w:rsidR="00382A16" w:rsidRDefault="00382A16" w:rsidP="00382A16">
      <w:r>
        <w:t xml:space="preserve">The ACM advised that they support the full registration of the combination of </w:t>
      </w:r>
      <w:proofErr w:type="spellStart"/>
      <w:r>
        <w:t>venetoclax</w:t>
      </w:r>
      <w:proofErr w:type="spellEnd"/>
      <w:r>
        <w:t xml:space="preserve"> and low dose cytarabine in acute myeloid leukaemia for </w:t>
      </w:r>
      <w:proofErr w:type="gramStart"/>
      <w:r>
        <w:t>patients</w:t>
      </w:r>
      <w:proofErr w:type="gramEnd"/>
      <w:r>
        <w:t xml:space="preserve"> ineligible for intensive chemotherapy, based on a totality of evidence approach. While the level of evidence is not as robust as for the combination of </w:t>
      </w:r>
      <w:proofErr w:type="spellStart"/>
      <w:r>
        <w:t>venetoclax</w:t>
      </w:r>
      <w:proofErr w:type="spellEnd"/>
      <w:r>
        <w:t xml:space="preserve"> and </w:t>
      </w:r>
      <w:proofErr w:type="spellStart"/>
      <w:r>
        <w:t>azacitidine</w:t>
      </w:r>
      <w:proofErr w:type="spellEnd"/>
      <w:r>
        <w:t xml:space="preserve">, the ACM advised that </w:t>
      </w:r>
      <w:proofErr w:type="spellStart"/>
      <w:r>
        <w:t>venetoclax</w:t>
      </w:r>
      <w:proofErr w:type="spellEnd"/>
      <w:r>
        <w:t xml:space="preserve"> and low dose cytarabine may be a reasonable combination offering to some patients, including those who cannot tolerate </w:t>
      </w:r>
      <w:proofErr w:type="spellStart"/>
      <w:r>
        <w:t>azacitidine</w:t>
      </w:r>
      <w:proofErr w:type="spellEnd"/>
      <w:r>
        <w:t xml:space="preserve">. The ACM agreed that the combination of </w:t>
      </w:r>
      <w:proofErr w:type="spellStart"/>
      <w:r>
        <w:t>venetoclax</w:t>
      </w:r>
      <w:proofErr w:type="spellEnd"/>
      <w:r>
        <w:t xml:space="preserve"> and low dose cytarabine has an adequate safety profile, as the toxicity is understood and managed effectively in clinical practice. The ACM emphasised that AML patients who are ineligible for intensive chemotherapy are a difficult to treat group with limited treatment options.</w:t>
      </w:r>
    </w:p>
    <w:p w14:paraId="4CE1A747" w14:textId="74ACD2AC" w:rsidR="00382A16" w:rsidRDefault="00382A16" w:rsidP="00382A16">
      <w:pPr>
        <w:pStyle w:val="Numberbullet0"/>
        <w:rPr>
          <w:b/>
          <w:bCs/>
          <w:i/>
          <w:iCs/>
        </w:rPr>
      </w:pPr>
      <w:r w:rsidRPr="00382A16">
        <w:rPr>
          <w:b/>
          <w:bCs/>
          <w:i/>
          <w:iCs/>
        </w:rPr>
        <w:t xml:space="preserve">The evidence in this submission and the provisional registration submission characterises specific </w:t>
      </w:r>
      <w:proofErr w:type="spellStart"/>
      <w:r w:rsidRPr="00382A16">
        <w:rPr>
          <w:b/>
          <w:bCs/>
          <w:i/>
          <w:iCs/>
        </w:rPr>
        <w:t>venetoclax</w:t>
      </w:r>
      <w:proofErr w:type="spellEnd"/>
      <w:r w:rsidRPr="00382A16">
        <w:rPr>
          <w:b/>
          <w:bCs/>
          <w:i/>
          <w:iCs/>
        </w:rPr>
        <w:t xml:space="preserve">-based combinations. As a general principle, can the ACM please comment on the proposed approach of a more open indication to indicate </w:t>
      </w:r>
      <w:proofErr w:type="spellStart"/>
      <w:r w:rsidRPr="00382A16">
        <w:rPr>
          <w:b/>
          <w:bCs/>
          <w:i/>
          <w:iCs/>
        </w:rPr>
        <w:t>venetoclax</w:t>
      </w:r>
      <w:proofErr w:type="spellEnd"/>
      <w:r w:rsidRPr="00382A16">
        <w:rPr>
          <w:b/>
          <w:bCs/>
          <w:i/>
          <w:iCs/>
        </w:rPr>
        <w:t xml:space="preserve"> should be used as part of a combination in AML that does not define the components of the combination.</w:t>
      </w:r>
    </w:p>
    <w:p w14:paraId="645A0826" w14:textId="77777777" w:rsidR="00382A16" w:rsidRDefault="00382A16" w:rsidP="00382A16">
      <w:r>
        <w:t xml:space="preserve">While the ACM discussed the flexibility that a more open indication provides prescribers, on balance they advised that the current submission provides efficacy and safety data for the defined combination of </w:t>
      </w:r>
      <w:proofErr w:type="spellStart"/>
      <w:r>
        <w:t>venetoclax</w:t>
      </w:r>
      <w:proofErr w:type="spellEnd"/>
      <w:r>
        <w:t xml:space="preserve"> and </w:t>
      </w:r>
      <w:proofErr w:type="spellStart"/>
      <w:r>
        <w:t>azacitidine</w:t>
      </w:r>
      <w:proofErr w:type="spellEnd"/>
      <w:r>
        <w:t xml:space="preserve"> or low dose cytarabine, and therefore it is not considered appropriate for the indication to imply efficacy and safety has been established with any other second component of the combination.</w:t>
      </w:r>
    </w:p>
    <w:p w14:paraId="251B0347" w14:textId="6FB9E8F8" w:rsidR="00382A16" w:rsidRDefault="00382A16" w:rsidP="00382A16">
      <w:r>
        <w:t xml:space="preserve">The ACM noted that there are currently over 100 trials underway with </w:t>
      </w:r>
      <w:proofErr w:type="spellStart"/>
      <w:r>
        <w:t>venetoclax</w:t>
      </w:r>
      <w:proofErr w:type="spellEnd"/>
      <w:r>
        <w:t xml:space="preserve"> in combination with other agents and advised that the components of the combination therapy could be reconsidered at a regulatory level once further data are provided.</w:t>
      </w:r>
    </w:p>
    <w:p w14:paraId="5843601D" w14:textId="77777777" w:rsidR="00382A16" w:rsidRPr="00382A16" w:rsidRDefault="00382A16" w:rsidP="00382A16">
      <w:pPr>
        <w:pStyle w:val="Numberbullet0"/>
        <w:rPr>
          <w:b/>
          <w:bCs/>
          <w:i/>
          <w:iCs/>
        </w:rPr>
      </w:pPr>
      <w:r w:rsidRPr="00382A16">
        <w:rPr>
          <w:b/>
          <w:bCs/>
          <w:i/>
          <w:iCs/>
        </w:rPr>
        <w:lastRenderedPageBreak/>
        <w:t>The ACM is invited to provide advice on any other matters it considers may contribute to the decision.</w:t>
      </w:r>
    </w:p>
    <w:p w14:paraId="4A2B5B38" w14:textId="2BCB2841" w:rsidR="00382A16" w:rsidRPr="00382A16" w:rsidRDefault="00382A16" w:rsidP="00382A16">
      <w:r>
        <w:t xml:space="preserve">The ACM agreed that quality of life is an important factor in the management of AML, and that quality of life assessments are important for patients who would be considered for treatment with </w:t>
      </w:r>
      <w:proofErr w:type="spellStart"/>
      <w:r>
        <w:t>venetoclax</w:t>
      </w:r>
      <w:proofErr w:type="spellEnd"/>
      <w:r>
        <w:t xml:space="preserve"> and </w:t>
      </w:r>
      <w:proofErr w:type="spellStart"/>
      <w:r>
        <w:t>azacitidine</w:t>
      </w:r>
      <w:proofErr w:type="spellEnd"/>
      <w:r>
        <w:t xml:space="preserve"> or low dose cytarabine. The ACM emphasised that optimal care for patients with AML requires dialogue between healthcare providers and patients involving balancing goals of care and the relative risk-benefit balance of treatment.</w:t>
      </w:r>
    </w:p>
    <w:p w14:paraId="0B8332D1" w14:textId="77777777" w:rsidR="00744121" w:rsidRDefault="00744121" w:rsidP="00744121">
      <w:pPr>
        <w:pStyle w:val="Heading5"/>
      </w:pPr>
      <w:r>
        <w:t>Conclusion</w:t>
      </w:r>
    </w:p>
    <w:p w14:paraId="7B7F56CE" w14:textId="77777777" w:rsidR="00382A16" w:rsidRDefault="00382A16" w:rsidP="00382A16">
      <w:r>
        <w:t>The ACM considered this product to have an overall positive benefit-risk profile for the indication:</w:t>
      </w:r>
    </w:p>
    <w:p w14:paraId="64937904" w14:textId="5F321A30" w:rsidR="00382A16" w:rsidRPr="00382A16" w:rsidRDefault="00382A16" w:rsidP="00382A16">
      <w:pPr>
        <w:ind w:left="720"/>
        <w:rPr>
          <w:i/>
          <w:iCs/>
        </w:rPr>
      </w:pPr>
      <w:proofErr w:type="spellStart"/>
      <w:r w:rsidRPr="00382A16">
        <w:rPr>
          <w:i/>
          <w:iCs/>
        </w:rPr>
        <w:t>Venclexta</w:t>
      </w:r>
      <w:proofErr w:type="spellEnd"/>
      <w:r w:rsidRPr="00382A16">
        <w:rPr>
          <w:i/>
          <w:iCs/>
        </w:rPr>
        <w:t xml:space="preserve">, in combination with </w:t>
      </w:r>
      <w:proofErr w:type="spellStart"/>
      <w:r w:rsidRPr="00382A16">
        <w:rPr>
          <w:i/>
          <w:iCs/>
        </w:rPr>
        <w:t>azacitidine</w:t>
      </w:r>
      <w:proofErr w:type="spellEnd"/>
      <w:r w:rsidRPr="00382A16">
        <w:rPr>
          <w:i/>
          <w:iCs/>
        </w:rPr>
        <w:t xml:space="preserve"> or low dose cytarabine, is indicated for the treatment of newly diagnosed adult patients with Acute Myeloid Leukaemia (AML) who are ineligible for intensive chemotherapy.</w:t>
      </w:r>
    </w:p>
    <w:p w14:paraId="5A17BFD0" w14:textId="77777777" w:rsidR="008E7846" w:rsidRPr="002E238E" w:rsidRDefault="008E7846" w:rsidP="008E7846">
      <w:pPr>
        <w:pStyle w:val="Heading3"/>
      </w:pPr>
      <w:bookmarkStart w:id="68" w:name="_Toc101431977"/>
      <w:r>
        <w:t>Outcome</w:t>
      </w:r>
      <w:bookmarkEnd w:id="66"/>
      <w:bookmarkEnd w:id="67"/>
      <w:bookmarkEnd w:id="68"/>
    </w:p>
    <w:p w14:paraId="5C2675AA" w14:textId="1F125B00" w:rsidR="00744121" w:rsidRDefault="00744121" w:rsidP="00744121">
      <w:bookmarkStart w:id="69" w:name="_Toc247691533"/>
      <w:bookmarkStart w:id="70" w:name="_Toc314842517"/>
      <w:r>
        <w:t xml:space="preserve">Based on a review of quality, </w:t>
      </w:r>
      <w:proofErr w:type="gramStart"/>
      <w:r>
        <w:t>safety</w:t>
      </w:r>
      <w:proofErr w:type="gramEnd"/>
      <w:r>
        <w:t xml:space="preserve"> and efficacy, the TGA approved the registration of </w:t>
      </w:r>
      <w:proofErr w:type="spellStart"/>
      <w:r w:rsidR="00996C72">
        <w:t>Venclexta</w:t>
      </w:r>
      <w:proofErr w:type="spellEnd"/>
      <w:r w:rsidR="00996C72" w:rsidRPr="00250271">
        <w:t xml:space="preserve"> (</w:t>
      </w:r>
      <w:proofErr w:type="spellStart"/>
      <w:r w:rsidR="00996C72">
        <w:t>venetoclax</w:t>
      </w:r>
      <w:proofErr w:type="spellEnd"/>
      <w:r w:rsidR="00996C72" w:rsidRPr="00250271">
        <w:t xml:space="preserve">) </w:t>
      </w:r>
      <w:r w:rsidR="00996C72">
        <w:t>10 mg, 50 mg and 100 mg</w:t>
      </w:r>
      <w:r w:rsidR="00996C72" w:rsidRPr="00250271">
        <w:t xml:space="preserve">, </w:t>
      </w:r>
      <w:r w:rsidR="00996C72">
        <w:t>film coated tablet</w:t>
      </w:r>
      <w:r w:rsidR="001827E5">
        <w:t>s</w:t>
      </w:r>
      <w:r w:rsidR="00996C72">
        <w:t>,</w:t>
      </w:r>
      <w:r w:rsidR="00D12DA4">
        <w:t xml:space="preserve"> blister pack and bottle</w:t>
      </w:r>
      <w:r>
        <w:t>, indicated for:</w:t>
      </w:r>
    </w:p>
    <w:p w14:paraId="2C620C34" w14:textId="77777777" w:rsidR="00996C72" w:rsidRPr="00996C72" w:rsidRDefault="00996C72" w:rsidP="00996C72">
      <w:pPr>
        <w:ind w:left="720"/>
        <w:rPr>
          <w:i/>
          <w:iCs/>
        </w:rPr>
      </w:pPr>
      <w:r w:rsidRPr="00996C72">
        <w:rPr>
          <w:i/>
          <w:iCs/>
        </w:rPr>
        <w:t>Acute Myeloid Leukaemia</w:t>
      </w:r>
    </w:p>
    <w:p w14:paraId="6E65B817" w14:textId="24EA2A2B" w:rsidR="00996C72" w:rsidRPr="00996C72" w:rsidRDefault="00996C72" w:rsidP="00996C72">
      <w:pPr>
        <w:ind w:left="720"/>
        <w:rPr>
          <w:i/>
          <w:iCs/>
        </w:rPr>
      </w:pPr>
      <w:proofErr w:type="spellStart"/>
      <w:r w:rsidRPr="00996C72">
        <w:rPr>
          <w:i/>
          <w:iCs/>
        </w:rPr>
        <w:t>V</w:t>
      </w:r>
      <w:r>
        <w:rPr>
          <w:i/>
          <w:iCs/>
        </w:rPr>
        <w:t>enclexta</w:t>
      </w:r>
      <w:proofErr w:type="spellEnd"/>
      <w:r w:rsidRPr="00996C72">
        <w:rPr>
          <w:i/>
          <w:iCs/>
        </w:rPr>
        <w:t xml:space="preserve">, in combination with </w:t>
      </w:r>
      <w:proofErr w:type="spellStart"/>
      <w:r w:rsidRPr="00996C72">
        <w:rPr>
          <w:i/>
          <w:iCs/>
        </w:rPr>
        <w:t>azacitidine</w:t>
      </w:r>
      <w:proofErr w:type="spellEnd"/>
      <w:r w:rsidRPr="00996C72">
        <w:rPr>
          <w:i/>
          <w:iCs/>
        </w:rPr>
        <w:t xml:space="preserve"> or low-dose cytarabine, is indicated for th</w:t>
      </w:r>
      <w:r>
        <w:rPr>
          <w:i/>
          <w:iCs/>
        </w:rPr>
        <w:t xml:space="preserve">e </w:t>
      </w:r>
      <w:r w:rsidRPr="00996C72">
        <w:rPr>
          <w:i/>
          <w:iCs/>
        </w:rPr>
        <w:t>treatment of adult patients with newly diagnosed acute myeloid leukaemia (AML) who are</w:t>
      </w:r>
      <w:r>
        <w:rPr>
          <w:i/>
          <w:iCs/>
        </w:rPr>
        <w:t xml:space="preserve"> </w:t>
      </w:r>
      <w:r w:rsidRPr="00996C72">
        <w:rPr>
          <w:i/>
          <w:iCs/>
        </w:rPr>
        <w:t>ineligible for intensive chemotherapy.</w:t>
      </w:r>
    </w:p>
    <w:p w14:paraId="4F5431E8" w14:textId="77777777" w:rsidR="00996C72" w:rsidRDefault="00996C72" w:rsidP="00996C72">
      <w:r>
        <w:t>The full indications are now:</w:t>
      </w:r>
    </w:p>
    <w:p w14:paraId="6C0B6C51" w14:textId="46607901" w:rsidR="00996C72" w:rsidRPr="00996C72" w:rsidRDefault="00996C72" w:rsidP="00996C72">
      <w:pPr>
        <w:ind w:left="720"/>
        <w:rPr>
          <w:i/>
          <w:iCs/>
        </w:rPr>
      </w:pPr>
      <w:r w:rsidRPr="00996C72">
        <w:rPr>
          <w:i/>
          <w:iCs/>
        </w:rPr>
        <w:t>Chronic Lymphocytic Leukaemia/Small Lymphocytic Lymphoma</w:t>
      </w:r>
    </w:p>
    <w:p w14:paraId="516E4E31" w14:textId="4088ABBE" w:rsidR="00996C72" w:rsidRPr="00996C72" w:rsidRDefault="00996C72" w:rsidP="00996C72">
      <w:pPr>
        <w:ind w:left="720"/>
        <w:rPr>
          <w:i/>
          <w:iCs/>
        </w:rPr>
      </w:pPr>
      <w:proofErr w:type="spellStart"/>
      <w:r w:rsidRPr="00996C72">
        <w:rPr>
          <w:i/>
          <w:iCs/>
        </w:rPr>
        <w:t>V</w:t>
      </w:r>
      <w:r>
        <w:rPr>
          <w:i/>
          <w:iCs/>
        </w:rPr>
        <w:t>enclexta</w:t>
      </w:r>
      <w:proofErr w:type="spellEnd"/>
      <w:r w:rsidRPr="00996C72">
        <w:rPr>
          <w:i/>
          <w:iCs/>
        </w:rPr>
        <w:t xml:space="preserve"> in combination with </w:t>
      </w:r>
      <w:proofErr w:type="spellStart"/>
      <w:r w:rsidRPr="00996C72">
        <w:rPr>
          <w:i/>
          <w:iCs/>
        </w:rPr>
        <w:t>obinutuzumab</w:t>
      </w:r>
      <w:proofErr w:type="spellEnd"/>
      <w:r w:rsidRPr="00996C72">
        <w:rPr>
          <w:i/>
          <w:iCs/>
        </w:rPr>
        <w:t xml:space="preserve"> is indicated for the treatment of patients with</w:t>
      </w:r>
      <w:r>
        <w:rPr>
          <w:i/>
          <w:iCs/>
        </w:rPr>
        <w:t xml:space="preserve"> </w:t>
      </w:r>
      <w:r w:rsidRPr="00996C72">
        <w:rPr>
          <w:i/>
          <w:iCs/>
        </w:rPr>
        <w:t>chronic lymphocytic leukaemia (CLL) or small lymphocytic lymphoma (SLL) who are considered</w:t>
      </w:r>
      <w:r>
        <w:rPr>
          <w:i/>
          <w:iCs/>
        </w:rPr>
        <w:t xml:space="preserve"> </w:t>
      </w:r>
      <w:r w:rsidRPr="00996C72">
        <w:rPr>
          <w:i/>
          <w:iCs/>
        </w:rPr>
        <w:t>unfit or unsuitable for chemo-immunotherapy.</w:t>
      </w:r>
    </w:p>
    <w:p w14:paraId="01A7B39E" w14:textId="420C7B68" w:rsidR="00996C72" w:rsidRPr="00996C72" w:rsidRDefault="00996C72" w:rsidP="00996C72">
      <w:pPr>
        <w:ind w:left="720"/>
        <w:rPr>
          <w:i/>
          <w:iCs/>
        </w:rPr>
      </w:pPr>
      <w:proofErr w:type="spellStart"/>
      <w:r w:rsidRPr="00996C72">
        <w:rPr>
          <w:i/>
          <w:iCs/>
        </w:rPr>
        <w:t>V</w:t>
      </w:r>
      <w:r>
        <w:rPr>
          <w:i/>
          <w:iCs/>
        </w:rPr>
        <w:t>enclexta</w:t>
      </w:r>
      <w:proofErr w:type="spellEnd"/>
      <w:r w:rsidRPr="00996C72">
        <w:rPr>
          <w:i/>
          <w:iCs/>
        </w:rPr>
        <w:t xml:space="preserve"> in combination with rituximab is indicated for the treatment of adult patients with</w:t>
      </w:r>
      <w:r>
        <w:rPr>
          <w:i/>
          <w:iCs/>
        </w:rPr>
        <w:t xml:space="preserve"> </w:t>
      </w:r>
      <w:r w:rsidRPr="00996C72">
        <w:rPr>
          <w:i/>
          <w:iCs/>
        </w:rPr>
        <w:t>chronic lymphocytic leukaemia (CLL) who have received at least one prior therapy.</w:t>
      </w:r>
    </w:p>
    <w:p w14:paraId="19A25F7C" w14:textId="02D3DF5B" w:rsidR="00996C72" w:rsidRPr="00996C72" w:rsidRDefault="00996C72" w:rsidP="00996C72">
      <w:pPr>
        <w:ind w:left="720"/>
        <w:rPr>
          <w:i/>
          <w:iCs/>
        </w:rPr>
      </w:pPr>
      <w:proofErr w:type="spellStart"/>
      <w:r w:rsidRPr="00996C72">
        <w:rPr>
          <w:i/>
          <w:iCs/>
        </w:rPr>
        <w:t>V</w:t>
      </w:r>
      <w:r>
        <w:rPr>
          <w:i/>
          <w:iCs/>
        </w:rPr>
        <w:t>enclexta</w:t>
      </w:r>
      <w:proofErr w:type="spellEnd"/>
      <w:r w:rsidRPr="00996C72">
        <w:rPr>
          <w:i/>
          <w:iCs/>
        </w:rPr>
        <w:t xml:space="preserve"> monotherapy is indicated for the treatment of:</w:t>
      </w:r>
    </w:p>
    <w:p w14:paraId="0535DC89" w14:textId="6CDD295F" w:rsidR="00996C72" w:rsidRPr="00996C72" w:rsidRDefault="00996C72" w:rsidP="00996C72">
      <w:pPr>
        <w:pStyle w:val="ListBullet3"/>
        <w:rPr>
          <w:i/>
          <w:iCs/>
        </w:rPr>
      </w:pPr>
      <w:r w:rsidRPr="00996C72">
        <w:rPr>
          <w:i/>
          <w:iCs/>
        </w:rPr>
        <w:t>patients with relapsed or refractory CLL with 17p deletion, or</w:t>
      </w:r>
    </w:p>
    <w:p w14:paraId="65766869" w14:textId="522AD157" w:rsidR="00996C72" w:rsidRPr="00996C72" w:rsidRDefault="00996C72" w:rsidP="00996C72">
      <w:pPr>
        <w:pStyle w:val="ListBullet3"/>
      </w:pPr>
      <w:r w:rsidRPr="00996C72">
        <w:rPr>
          <w:i/>
          <w:iCs/>
        </w:rPr>
        <w:t>patients with relapsed or refractory CLL for whom there are no other suitable treatment options.</w:t>
      </w:r>
    </w:p>
    <w:p w14:paraId="0A908181" w14:textId="77777777" w:rsidR="00996C72" w:rsidRPr="00996C72" w:rsidRDefault="00996C72" w:rsidP="00996C72">
      <w:pPr>
        <w:ind w:left="720"/>
        <w:rPr>
          <w:i/>
          <w:iCs/>
        </w:rPr>
      </w:pPr>
      <w:r w:rsidRPr="00996C72">
        <w:rPr>
          <w:i/>
          <w:iCs/>
        </w:rPr>
        <w:t>Acute Myeloid Leukaemia</w:t>
      </w:r>
    </w:p>
    <w:p w14:paraId="366C71A2" w14:textId="5EC1CD7B" w:rsidR="00996C72" w:rsidRPr="00996C72" w:rsidRDefault="00996C72" w:rsidP="00996C72">
      <w:pPr>
        <w:ind w:left="720"/>
        <w:rPr>
          <w:i/>
          <w:iCs/>
        </w:rPr>
      </w:pPr>
      <w:proofErr w:type="spellStart"/>
      <w:r w:rsidRPr="00996C72">
        <w:rPr>
          <w:i/>
          <w:iCs/>
        </w:rPr>
        <w:t>V</w:t>
      </w:r>
      <w:r>
        <w:rPr>
          <w:i/>
          <w:iCs/>
        </w:rPr>
        <w:t>enclexta</w:t>
      </w:r>
      <w:proofErr w:type="spellEnd"/>
      <w:r w:rsidRPr="00996C72">
        <w:rPr>
          <w:i/>
          <w:iCs/>
        </w:rPr>
        <w:t xml:space="preserve">, in combination with </w:t>
      </w:r>
      <w:proofErr w:type="spellStart"/>
      <w:r w:rsidRPr="00996C72">
        <w:rPr>
          <w:i/>
          <w:iCs/>
        </w:rPr>
        <w:t>azacitidine</w:t>
      </w:r>
      <w:proofErr w:type="spellEnd"/>
      <w:r w:rsidRPr="00996C72">
        <w:rPr>
          <w:i/>
          <w:iCs/>
        </w:rPr>
        <w:t xml:space="preserve"> or low-dose cytarabine, is indicated for the</w:t>
      </w:r>
      <w:r>
        <w:rPr>
          <w:i/>
          <w:iCs/>
        </w:rPr>
        <w:t xml:space="preserve"> </w:t>
      </w:r>
      <w:r w:rsidRPr="00996C72">
        <w:rPr>
          <w:i/>
          <w:iCs/>
        </w:rPr>
        <w:t>treatment of adult patients with newly diagnosed acute myeloid leukaemia (AML) who ar</w:t>
      </w:r>
      <w:r>
        <w:rPr>
          <w:i/>
          <w:iCs/>
        </w:rPr>
        <w:t xml:space="preserve">e </w:t>
      </w:r>
      <w:r w:rsidRPr="00996C72">
        <w:rPr>
          <w:i/>
          <w:iCs/>
        </w:rPr>
        <w:t>ineligible for intensive chemotherapy.</w:t>
      </w:r>
    </w:p>
    <w:p w14:paraId="4B42C5A5" w14:textId="77777777" w:rsidR="00D23139" w:rsidRPr="00D23139" w:rsidRDefault="00D23139" w:rsidP="00D23139">
      <w:pPr>
        <w:pStyle w:val="Heading4"/>
      </w:pPr>
      <w:r w:rsidRPr="00D23139">
        <w:t>Specific conditions of registration applying to these goods</w:t>
      </w:r>
    </w:p>
    <w:p w14:paraId="5D615228" w14:textId="00AF71F7" w:rsidR="00D12DA4" w:rsidRPr="00D12DA4" w:rsidRDefault="00D12DA4" w:rsidP="00D12DA4">
      <w:pPr>
        <w:pStyle w:val="ListBullet"/>
      </w:pPr>
      <w:proofErr w:type="spellStart"/>
      <w:r>
        <w:t>Venclexta</w:t>
      </w:r>
      <w:proofErr w:type="spellEnd"/>
      <w:r>
        <w:t xml:space="preserve"> (</w:t>
      </w:r>
      <w:proofErr w:type="spellStart"/>
      <w:r>
        <w:t>Venetoclax</w:t>
      </w:r>
      <w:proofErr w:type="spellEnd"/>
      <w:r>
        <w:t xml:space="preserve">) should remain in the Black Triangle Scheme. The PI and Consumer Medicine Information </w:t>
      </w:r>
      <w:r w:rsidRPr="00D12DA4">
        <w:rPr>
          <w:rFonts w:eastAsiaTheme="minorHAnsi" w:cs="Cambria"/>
        </w:rPr>
        <w:t xml:space="preserve">for </w:t>
      </w:r>
      <w:proofErr w:type="spellStart"/>
      <w:r>
        <w:t>venetoclax</w:t>
      </w:r>
      <w:proofErr w:type="spellEnd"/>
      <w:r w:rsidRPr="00D12DA4">
        <w:rPr>
          <w:rFonts w:eastAsiaTheme="minorHAnsi" w:cs="Cambria"/>
        </w:rPr>
        <w:t xml:space="preserve"> must include the black triangle symbol and mandatory accompanying</w:t>
      </w:r>
      <w:r>
        <w:rPr>
          <w:rFonts w:eastAsiaTheme="minorHAnsi" w:cs="Cambria"/>
        </w:rPr>
        <w:t xml:space="preserve"> </w:t>
      </w:r>
      <w:r w:rsidRPr="00D12DA4">
        <w:rPr>
          <w:rFonts w:eastAsiaTheme="minorHAnsi" w:cs="Cambria"/>
        </w:rPr>
        <w:t>text for five years, which started from the date the provisional indication was</w:t>
      </w:r>
      <w:r>
        <w:rPr>
          <w:rFonts w:eastAsiaTheme="minorHAnsi" w:cs="Cambria"/>
        </w:rPr>
        <w:t xml:space="preserve"> </w:t>
      </w:r>
      <w:r w:rsidRPr="00D12DA4">
        <w:rPr>
          <w:rFonts w:eastAsiaTheme="minorHAnsi" w:cs="Cambria"/>
        </w:rPr>
        <w:t>registered in February 2020.</w:t>
      </w:r>
    </w:p>
    <w:p w14:paraId="16D7125F" w14:textId="2F1BCA83" w:rsidR="00D12DA4" w:rsidRPr="00D12DA4" w:rsidRDefault="00D12DA4" w:rsidP="00D12DA4">
      <w:pPr>
        <w:pStyle w:val="ListBullet"/>
      </w:pPr>
      <w:r>
        <w:lastRenderedPageBreak/>
        <w:t xml:space="preserve">The </w:t>
      </w:r>
      <w:proofErr w:type="spellStart"/>
      <w:r>
        <w:t>Venclexta</w:t>
      </w:r>
      <w:proofErr w:type="spellEnd"/>
      <w:r>
        <w:t xml:space="preserve"> EU-RMP (version 8.0, dated May 2021, DLP</w:t>
      </w:r>
      <w:r w:rsidRPr="00D12DA4">
        <w:rPr>
          <w:rFonts w:eastAsiaTheme="minorHAnsi" w:cs="Cambria"/>
        </w:rPr>
        <w:t xml:space="preserve"> (AML) 4 January 2020 and (CLL) 11 February 2021), with </w:t>
      </w:r>
      <w:r>
        <w:rPr>
          <w:rFonts w:eastAsiaTheme="minorHAnsi" w:cs="Cambria"/>
        </w:rPr>
        <w:t>ASA</w:t>
      </w:r>
      <w:r w:rsidRPr="00D12DA4">
        <w:rPr>
          <w:rFonts w:eastAsiaTheme="minorHAnsi" w:cs="Cambria"/>
        </w:rPr>
        <w:t xml:space="preserve"> (version 5.0 dated August 2021), related to submission PM-2020-02543-1-6,</w:t>
      </w:r>
      <w:r>
        <w:rPr>
          <w:rFonts w:eastAsiaTheme="minorHAnsi" w:cs="Cambria"/>
        </w:rPr>
        <w:t xml:space="preserve"> </w:t>
      </w:r>
      <w:r w:rsidRPr="00D12DA4">
        <w:rPr>
          <w:rFonts w:eastAsiaTheme="minorHAnsi" w:cs="Cambria"/>
        </w:rPr>
        <w:t>and any subsequent revisions, as agreed with the TGA will be implemented in Australia.</w:t>
      </w:r>
    </w:p>
    <w:p w14:paraId="74CDFC90" w14:textId="77777777" w:rsidR="00D12DA4" w:rsidRDefault="00D12DA4" w:rsidP="00D12DA4">
      <w:pPr>
        <w:pStyle w:val="ListBullet"/>
        <w:numPr>
          <w:ilvl w:val="0"/>
          <w:numId w:val="0"/>
        </w:numPr>
        <w:ind w:left="360"/>
        <w:rPr>
          <w:rFonts w:eastAsiaTheme="minorHAnsi" w:cs="Cambria"/>
        </w:rPr>
      </w:pPr>
      <w:r w:rsidRPr="00D12DA4">
        <w:rPr>
          <w:rFonts w:eastAsiaTheme="minorHAnsi" w:cs="Cambria"/>
        </w:rPr>
        <w:t>An obligatory component of risk management plans is routine pharmacovigilance.</w:t>
      </w:r>
      <w:r>
        <w:rPr>
          <w:rFonts w:eastAsiaTheme="minorHAnsi" w:cs="Cambria"/>
        </w:rPr>
        <w:t xml:space="preserve"> Routine pharmacovigilance includes the submission of periodic safety update reports (PSURs).</w:t>
      </w:r>
    </w:p>
    <w:p w14:paraId="0BC23C17" w14:textId="77777777" w:rsidR="00D12DA4" w:rsidRDefault="00D12DA4" w:rsidP="00D12DA4">
      <w:pPr>
        <w:pStyle w:val="ListBullet"/>
        <w:numPr>
          <w:ilvl w:val="0"/>
          <w:numId w:val="0"/>
        </w:numPr>
        <w:ind w:left="360"/>
        <w:rPr>
          <w:rFonts w:eastAsiaTheme="minorHAnsi" w:cs="Cambria"/>
        </w:rPr>
      </w:pPr>
      <w:r>
        <w:rPr>
          <w:rFonts w:eastAsiaTheme="minorHAnsi" w:cs="Cambria"/>
        </w:rPr>
        <w:t>Reports are to be provided in line with the current published list of EU reference dates and frequency of submission of PSURs until the period covered by such reports is not less than three years from the date of this approval letter.</w:t>
      </w:r>
    </w:p>
    <w:p w14:paraId="6753376A" w14:textId="3DFC7758" w:rsidR="00456765" w:rsidRDefault="00D12DA4" w:rsidP="00D12DA4">
      <w:pPr>
        <w:pStyle w:val="ListBullet"/>
        <w:numPr>
          <w:ilvl w:val="0"/>
          <w:numId w:val="0"/>
        </w:numPr>
        <w:ind w:left="360"/>
      </w:pPr>
      <w:r>
        <w:rPr>
          <w:rFonts w:eastAsiaTheme="minorHAnsi" w:cs="Cambria"/>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4CC5CF10" w14:textId="77777777" w:rsidR="008E7846" w:rsidRDefault="00A80B5B" w:rsidP="00D23139">
      <w:pPr>
        <w:pStyle w:val="Heading2"/>
      </w:pPr>
      <w:bookmarkStart w:id="71" w:name="_Toc101431978"/>
      <w:r>
        <w:t xml:space="preserve">Attachment 1. </w:t>
      </w:r>
      <w:r w:rsidR="008E7846">
        <w:t xml:space="preserve">Product </w:t>
      </w:r>
      <w:r w:rsidR="00AA0ED0">
        <w:t>I</w:t>
      </w:r>
      <w:r w:rsidR="008E7846">
        <w:t>nformation</w:t>
      </w:r>
      <w:bookmarkEnd w:id="69"/>
      <w:bookmarkEnd w:id="70"/>
      <w:bookmarkEnd w:id="71"/>
    </w:p>
    <w:p w14:paraId="5BA57ABE" w14:textId="0C0051CA" w:rsidR="00C80137" w:rsidRDefault="006136D7" w:rsidP="00C80137">
      <w:pPr>
        <w:rPr>
          <w:color w:val="000000"/>
          <w:lang w:eastAsia="en-AU"/>
        </w:rPr>
      </w:pPr>
      <w:r w:rsidRPr="002B3624">
        <w:t xml:space="preserve">The </w:t>
      </w:r>
      <w:r>
        <w:t>PI</w:t>
      </w:r>
      <w:r w:rsidRPr="002B3624">
        <w:t xml:space="preserve"> for </w:t>
      </w:r>
      <w:proofErr w:type="spellStart"/>
      <w:r w:rsidR="00996C72">
        <w:t>Venclexta</w:t>
      </w:r>
      <w:proofErr w:type="spellEnd"/>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6" w:history="1">
        <w:r w:rsidR="007C6B9B" w:rsidRPr="007C6B9B">
          <w:rPr>
            <w:rStyle w:val="Hyperlink"/>
          </w:rPr>
          <w:t>https://www.tga.gov.au/product-information-pi</w:t>
        </w:r>
      </w:hyperlink>
      <w:r w:rsidR="007C6B9B" w:rsidRPr="007C6B9B">
        <w:t>&gt;.</w:t>
      </w:r>
    </w:p>
    <w:p w14:paraId="0A4B24EC" w14:textId="3580AEE3" w:rsidR="00C80137" w:rsidRPr="001D043B" w:rsidRDefault="008E7846" w:rsidP="00F13010">
      <w:pPr>
        <w:autoSpaceDE w:val="0"/>
        <w:autoSpaceDN w:val="0"/>
        <w:adjustRightInd w:val="0"/>
        <w:spacing w:after="0"/>
        <w:rPr>
          <w:lang w:eastAsia="ja-JP"/>
        </w:rPr>
        <w:sectPr w:rsidR="00C80137" w:rsidRPr="001D043B" w:rsidSect="007E2134">
          <w:headerReference w:type="even" r:id="rId27"/>
          <w:headerReference w:type="first" r:id="rId28"/>
          <w:footerReference w:type="first" r:id="rId29"/>
          <w:pgSz w:w="11906" w:h="16838" w:code="9"/>
          <w:pgMar w:top="834" w:right="1701" w:bottom="1191" w:left="1701" w:header="907" w:footer="216" w:gutter="0"/>
          <w:cols w:space="708"/>
          <w:docGrid w:linePitch="360"/>
        </w:sectPr>
      </w:pPr>
      <w:r w:rsidRPr="00C80137">
        <w:rPr>
          <w:b/>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ADAA0D1" w14:textId="77777777" w:rsidTr="00A05FA4">
        <w:trPr>
          <w:trHeight w:hRule="exact" w:val="704"/>
        </w:trPr>
        <w:tc>
          <w:tcPr>
            <w:tcW w:w="9175" w:type="dxa"/>
          </w:tcPr>
          <w:p w14:paraId="7FD433F8" w14:textId="77777777" w:rsidR="001C32CD" w:rsidRPr="00487162" w:rsidRDefault="001C32CD" w:rsidP="00A05FA4">
            <w:pPr>
              <w:pStyle w:val="TGASignoff"/>
            </w:pPr>
            <w:r w:rsidRPr="00487162">
              <w:lastRenderedPageBreak/>
              <w:t>Therapeutic Goods Administration</w:t>
            </w:r>
          </w:p>
        </w:tc>
      </w:tr>
      <w:tr w:rsidR="001C32CD" w:rsidRPr="004C239D" w14:paraId="3AC7EB28" w14:textId="77777777" w:rsidTr="00A05FA4">
        <w:trPr>
          <w:trHeight w:val="1221"/>
        </w:trPr>
        <w:tc>
          <w:tcPr>
            <w:tcW w:w="9175" w:type="dxa"/>
            <w:tcMar>
              <w:top w:w="28" w:type="dxa"/>
            </w:tcMar>
          </w:tcPr>
          <w:p w14:paraId="00581ED0" w14:textId="77777777" w:rsidR="001C32CD" w:rsidRPr="00487162" w:rsidRDefault="001C32CD" w:rsidP="00A05FA4">
            <w:pPr>
              <w:pStyle w:val="Address"/>
            </w:pPr>
            <w:r w:rsidRPr="00487162">
              <w:t>PO Box 100 Woden ACT 2606 Australia</w:t>
            </w:r>
          </w:p>
          <w:p w14:paraId="4FA2BD78" w14:textId="034E6364" w:rsidR="001C32CD" w:rsidRPr="00487162" w:rsidRDefault="001C32CD" w:rsidP="00A05FA4">
            <w:pPr>
              <w:pStyle w:val="Address"/>
            </w:pPr>
            <w:r w:rsidRPr="00487162">
              <w:t xml:space="preserve">Email: </w:t>
            </w:r>
            <w:hyperlink r:id="rId30"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314B8F5F" w14:textId="71479EDC" w:rsidR="001C32CD" w:rsidRPr="004C239D" w:rsidRDefault="00D300B8" w:rsidP="00A05FA4">
            <w:pPr>
              <w:pStyle w:val="Address"/>
              <w:spacing w:line="260" w:lineRule="atLeast"/>
              <w:rPr>
                <w:b/>
                <w:color w:val="0000FF"/>
                <w:u w:val="single"/>
              </w:rPr>
            </w:pPr>
            <w:hyperlink r:id="rId31" w:history="1">
              <w:r w:rsidR="007C6B9B" w:rsidRPr="007C6B9B">
                <w:rPr>
                  <w:rStyle w:val="Hyperlink"/>
                  <w:b/>
                </w:rPr>
                <w:t>https://www.tga.gov.au</w:t>
              </w:r>
            </w:hyperlink>
          </w:p>
        </w:tc>
      </w:tr>
    </w:tbl>
    <w:p w14:paraId="2295277D" w14:textId="77777777" w:rsidR="00774E1D" w:rsidRPr="008A5E0B" w:rsidRDefault="00774E1D" w:rsidP="00F13010"/>
    <w:sectPr w:rsidR="00774E1D" w:rsidRPr="008A5E0B" w:rsidSect="00D21B81">
      <w:headerReference w:type="even" r:id="rId32"/>
      <w:headerReference w:type="first" r:id="rId33"/>
      <w:footerReference w:type="first" r:id="rId3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48E756" w14:textId="77777777" w:rsidR="008B0AD3" w:rsidRDefault="008B0AD3" w:rsidP="00C40A36">
      <w:pPr>
        <w:spacing w:after="0"/>
      </w:pPr>
      <w:r>
        <w:separator/>
      </w:r>
    </w:p>
  </w:endnote>
  <w:endnote w:type="continuationSeparator" w:id="0">
    <w:p w14:paraId="668247D6" w14:textId="77777777" w:rsidR="008B0AD3" w:rsidRDefault="008B0AD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3" w:usb1="08070000" w:usb2="00000010" w:usb3="00000000" w:csb0="0002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254CB" w:rsidRPr="00487162" w14:paraId="3E6B34C1" w14:textId="77777777" w:rsidTr="00DB750B">
      <w:trPr>
        <w:trHeight w:val="269"/>
      </w:trPr>
      <w:tc>
        <w:tcPr>
          <w:tcW w:w="7371" w:type="dxa"/>
          <w:tcMar>
            <w:top w:w="142" w:type="dxa"/>
            <w:bottom w:w="0" w:type="dxa"/>
          </w:tcMar>
        </w:tcPr>
        <w:p w14:paraId="651994FE" w14:textId="52E780B6" w:rsidR="008254CB" w:rsidRPr="00487162" w:rsidRDefault="008254CB" w:rsidP="00460036">
          <w:pPr>
            <w:pStyle w:val="Footer"/>
          </w:pPr>
          <w:proofErr w:type="spellStart"/>
          <w:r w:rsidRPr="00487162">
            <w:t>AusPA</w:t>
          </w:r>
          <w:r>
            <w:t>R</w:t>
          </w:r>
          <w:proofErr w:type="spellEnd"/>
          <w:r>
            <w:t xml:space="preserve"> - </w:t>
          </w:r>
          <w:proofErr w:type="spellStart"/>
          <w:r>
            <w:t>Venclexta</w:t>
          </w:r>
          <w:proofErr w:type="spellEnd"/>
          <w:r>
            <w:t xml:space="preserve"> </w:t>
          </w:r>
          <w:r w:rsidRPr="00460036">
            <w:t xml:space="preserve">– </w:t>
          </w:r>
          <w:proofErr w:type="spellStart"/>
          <w:r>
            <w:t>venetoclax</w:t>
          </w:r>
          <w:proofErr w:type="spellEnd"/>
          <w:r w:rsidRPr="00460036">
            <w:t xml:space="preserve"> </w:t>
          </w:r>
          <w:r>
            <w:t>– AbbVie Pty Ltd PM-2020</w:t>
          </w:r>
          <w:r w:rsidRPr="00487162">
            <w:t>-</w:t>
          </w:r>
          <w:r>
            <w:t>02543-1-6</w:t>
          </w:r>
          <w:r>
            <w:br/>
          </w:r>
          <w:r w:rsidR="00D21B81">
            <w:t>FINAL</w:t>
          </w:r>
          <w:r w:rsidRPr="00487162">
            <w:t xml:space="preserve"> </w:t>
          </w:r>
          <w:r w:rsidR="00D21B81">
            <w:t>20</w:t>
          </w:r>
          <w:r>
            <w:t xml:space="preserve"> April 2022</w:t>
          </w:r>
        </w:p>
      </w:tc>
      <w:tc>
        <w:tcPr>
          <w:tcW w:w="1490" w:type="dxa"/>
          <w:tcMar>
            <w:top w:w="142" w:type="dxa"/>
            <w:bottom w:w="0" w:type="dxa"/>
          </w:tcMar>
        </w:tcPr>
        <w:p w14:paraId="2175C74A" w14:textId="5350D519" w:rsidR="008254CB" w:rsidRPr="00487162" w:rsidRDefault="008254CB" w:rsidP="00DB750B">
          <w:pPr>
            <w:pStyle w:val="Footer"/>
            <w:jc w:val="right"/>
          </w:pPr>
          <w:r w:rsidRPr="00487162">
            <w:t xml:space="preserve">Page </w:t>
          </w:r>
          <w:r>
            <w:fldChar w:fldCharType="begin"/>
          </w:r>
          <w:r>
            <w:instrText xml:space="preserve"> PAGE  \* Arabic </w:instrText>
          </w:r>
          <w:r>
            <w:fldChar w:fldCharType="separate"/>
          </w:r>
          <w:r w:rsidR="001827E5">
            <w:rPr>
              <w:noProof/>
            </w:rPr>
            <w:t>41</w:t>
          </w:r>
          <w:r>
            <w:fldChar w:fldCharType="end"/>
          </w:r>
          <w:r w:rsidRPr="00487162">
            <w:t xml:space="preserve"> of </w:t>
          </w:r>
          <w:fldSimple w:instr=" NUMPAGES  \* Arabic ">
            <w:r w:rsidR="001827E5">
              <w:rPr>
                <w:noProof/>
              </w:rPr>
              <w:t>43</w:t>
            </w:r>
          </w:fldSimple>
        </w:p>
      </w:tc>
    </w:tr>
  </w:tbl>
  <w:p w14:paraId="31D3A5E8" w14:textId="77777777" w:rsidR="008254CB" w:rsidRDefault="008254CB"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254CB" w:rsidRPr="00487162" w14:paraId="56481D34" w14:textId="77777777" w:rsidTr="00E45619">
      <w:trPr>
        <w:trHeight w:val="269"/>
      </w:trPr>
      <w:tc>
        <w:tcPr>
          <w:tcW w:w="4519" w:type="dxa"/>
          <w:tcBorders>
            <w:top w:val="single" w:sz="4" w:space="0" w:color="auto"/>
          </w:tcBorders>
          <w:tcMar>
            <w:top w:w="142" w:type="dxa"/>
            <w:bottom w:w="0" w:type="dxa"/>
          </w:tcMar>
        </w:tcPr>
        <w:p w14:paraId="6E3853A7" w14:textId="77777777" w:rsidR="008254CB" w:rsidRPr="00487162" w:rsidRDefault="008254CB" w:rsidP="00FE1DEE">
          <w:pPr>
            <w:pStyle w:val="Footer"/>
          </w:pPr>
          <w:r w:rsidRPr="00487162">
            <w:t>Document title, Part #, Section # - Section title</w:t>
          </w:r>
        </w:p>
        <w:p w14:paraId="01EE1C7E" w14:textId="77777777" w:rsidR="008254CB" w:rsidRPr="00487162" w:rsidRDefault="008254CB" w:rsidP="00FE1DEE">
          <w:pPr>
            <w:pStyle w:val="Footer"/>
          </w:pPr>
          <w:r w:rsidRPr="00487162">
            <w:t>V1.0 October 2010</w:t>
          </w:r>
        </w:p>
      </w:tc>
      <w:tc>
        <w:tcPr>
          <w:tcW w:w="4342" w:type="dxa"/>
          <w:tcBorders>
            <w:top w:val="single" w:sz="4" w:space="0" w:color="auto"/>
          </w:tcBorders>
          <w:tcMar>
            <w:top w:w="142" w:type="dxa"/>
            <w:bottom w:w="0" w:type="dxa"/>
          </w:tcMar>
        </w:tcPr>
        <w:p w14:paraId="26C7B3C4" w14:textId="77777777" w:rsidR="008254CB" w:rsidRPr="00487162" w:rsidRDefault="008254C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27952ACF" w14:textId="77777777" w:rsidR="008254CB" w:rsidRDefault="008254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254CB" w14:paraId="4FC33A58" w14:textId="77777777" w:rsidTr="0010601F">
      <w:trPr>
        <w:trHeight w:val="108"/>
      </w:trPr>
      <w:tc>
        <w:tcPr>
          <w:tcW w:w="8875" w:type="dxa"/>
          <w:gridSpan w:val="2"/>
          <w:tcBorders>
            <w:bottom w:val="single" w:sz="4" w:space="0" w:color="auto"/>
          </w:tcBorders>
          <w:tcMar>
            <w:right w:w="284" w:type="dxa"/>
          </w:tcMar>
        </w:tcPr>
        <w:p w14:paraId="1FD87D02" w14:textId="77777777" w:rsidR="008254CB" w:rsidRDefault="008254CB" w:rsidP="006E08B3">
          <w:pPr>
            <w:pStyle w:val="Heading3"/>
          </w:pPr>
          <w:r>
            <w:t>Copyright</w:t>
          </w:r>
        </w:p>
        <w:p w14:paraId="4F406F92" w14:textId="77777777" w:rsidR="008254CB" w:rsidRDefault="008254CB" w:rsidP="006E08B3">
          <w:r>
            <w:rPr>
              <w:rFonts w:cs="Arial"/>
            </w:rPr>
            <w:t>©</w:t>
          </w:r>
          <w:r>
            <w:t xml:space="preserve"> Commonwealth of Australia [add year]</w:t>
          </w:r>
        </w:p>
        <w:p w14:paraId="76051691" w14:textId="77777777" w:rsidR="008254CB" w:rsidRDefault="008254CB" w:rsidP="006E08B3"/>
        <w:p w14:paraId="3C3FB369" w14:textId="77777777" w:rsidR="008254CB" w:rsidRDefault="008254C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72D28AFF" w14:textId="77777777" w:rsidR="008254CB" w:rsidRDefault="008254CB" w:rsidP="006E08B3"/>
        <w:p w14:paraId="122B6043" w14:textId="77777777" w:rsidR="008254CB" w:rsidRDefault="008254CB" w:rsidP="006E08B3">
          <w:pPr>
            <w:pStyle w:val="Heading3"/>
          </w:pPr>
          <w:r>
            <w:t>Confidentiality</w:t>
          </w:r>
        </w:p>
        <w:p w14:paraId="25189520" w14:textId="77777777" w:rsidR="008254CB" w:rsidRDefault="008254C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B1DBB9A" w14:textId="77777777" w:rsidR="008254CB" w:rsidRDefault="008254CB" w:rsidP="006E08B3"/>
        <w:p w14:paraId="7EB2C7A7" w14:textId="77777777" w:rsidR="008254CB" w:rsidRDefault="008254CB" w:rsidP="006E08B3">
          <w:r>
            <w:t>For submission made by individuals, all personal details, other than your name, will be removed from your submission before it is published on the TGA’s Internet site.</w:t>
          </w:r>
        </w:p>
        <w:p w14:paraId="2BA2412A" w14:textId="77777777" w:rsidR="008254CB" w:rsidRDefault="008254CB" w:rsidP="006E08B3"/>
        <w:p w14:paraId="0AAAA687" w14:textId="77777777" w:rsidR="008254CB" w:rsidRDefault="008254CB"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254CB" w14:paraId="56F9D494" w14:textId="77777777" w:rsidTr="0010601F">
      <w:trPr>
        <w:trHeight w:val="417"/>
      </w:trPr>
      <w:tc>
        <w:tcPr>
          <w:tcW w:w="4519" w:type="dxa"/>
          <w:tcBorders>
            <w:top w:val="single" w:sz="4" w:space="0" w:color="auto"/>
          </w:tcBorders>
          <w:tcMar>
            <w:top w:w="142" w:type="dxa"/>
            <w:bottom w:w="0" w:type="dxa"/>
          </w:tcMar>
        </w:tcPr>
        <w:p w14:paraId="0FA22FBE" w14:textId="77777777" w:rsidR="008254CB" w:rsidRDefault="008254CB" w:rsidP="006E08B3">
          <w:r>
            <w:t>Document title, Part #, Section # - Section title</w:t>
          </w:r>
        </w:p>
        <w:p w14:paraId="5C0E4378" w14:textId="77777777" w:rsidR="008254CB" w:rsidRDefault="008254CB" w:rsidP="006E08B3">
          <w:r>
            <w:t>V1.0 October 2010</w:t>
          </w:r>
        </w:p>
      </w:tc>
      <w:tc>
        <w:tcPr>
          <w:tcW w:w="4356" w:type="dxa"/>
          <w:tcBorders>
            <w:top w:val="single" w:sz="4" w:space="0" w:color="auto"/>
          </w:tcBorders>
          <w:tcMar>
            <w:top w:w="142" w:type="dxa"/>
            <w:bottom w:w="0" w:type="dxa"/>
          </w:tcMar>
        </w:tcPr>
        <w:p w14:paraId="2A3F3C52" w14:textId="77777777" w:rsidR="008254CB" w:rsidRDefault="008254C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495D13D9" w14:textId="77777777" w:rsidR="008254CB" w:rsidRDefault="008254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C20F91" w14:textId="77777777" w:rsidR="008B0AD3" w:rsidRDefault="008B0AD3" w:rsidP="00C40A36">
      <w:pPr>
        <w:spacing w:after="0"/>
      </w:pPr>
      <w:r>
        <w:separator/>
      </w:r>
    </w:p>
  </w:footnote>
  <w:footnote w:type="continuationSeparator" w:id="0">
    <w:p w14:paraId="65FBB7E0" w14:textId="77777777" w:rsidR="008B0AD3" w:rsidRDefault="008B0AD3" w:rsidP="00C40A36">
      <w:pPr>
        <w:spacing w:after="0"/>
      </w:pPr>
      <w:r>
        <w:continuationSeparator/>
      </w:r>
    </w:p>
  </w:footnote>
  <w:footnote w:id="1">
    <w:p w14:paraId="77504735" w14:textId="77777777" w:rsidR="008254CB" w:rsidRDefault="008254CB">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59F27411" w14:textId="6BE1C68F" w:rsidR="008254CB" w:rsidRDefault="008254CB">
      <w:pPr>
        <w:pStyle w:val="FootnoteText"/>
      </w:pPr>
      <w:r>
        <w:rPr>
          <w:rStyle w:val="FootnoteReference"/>
        </w:rPr>
        <w:footnoteRef/>
      </w:r>
      <w:r>
        <w:t xml:space="preserve"> </w:t>
      </w:r>
      <w:r w:rsidRPr="00E068E2">
        <w:rPr>
          <w:iCs/>
        </w:rPr>
        <w:t>American Society of Haematology 2020 guidelines for treating newly diagnosed acute myeloid leukemia in older adults</w:t>
      </w:r>
      <w:r>
        <w:rPr>
          <w:iCs/>
        </w:rPr>
        <w:t xml:space="preserve">. </w:t>
      </w:r>
      <w:r w:rsidRPr="00E068E2">
        <w:rPr>
          <w:i/>
        </w:rPr>
        <w:t>Blood Adv</w:t>
      </w:r>
      <w:r>
        <w:rPr>
          <w:iCs/>
        </w:rPr>
        <w:t xml:space="preserve"> (2020) 4 (15): 3528-3549.</w:t>
      </w:r>
    </w:p>
  </w:footnote>
  <w:footnote w:id="3">
    <w:p w14:paraId="612C5A09" w14:textId="77777777" w:rsidR="008254CB" w:rsidRPr="00487A01" w:rsidRDefault="008254CB" w:rsidP="00DC54FD">
      <w:pPr>
        <w:pStyle w:val="FootnoteText"/>
        <w:rPr>
          <w:lang w:val="en-GB"/>
        </w:rPr>
      </w:pPr>
      <w:r>
        <w:rPr>
          <w:rStyle w:val="FootnoteReference"/>
        </w:rPr>
        <w:footnoteRef/>
      </w:r>
      <w:r>
        <w:t xml:space="preserve"> </w:t>
      </w:r>
      <w:r w:rsidRPr="00B20FCF">
        <w:t xml:space="preserve">Project Orbis is an initiative of the </w:t>
      </w:r>
      <w:r>
        <w:t>United States Food and Drug Administration’s</w:t>
      </w:r>
      <w:r w:rsidRPr="00B20FCF">
        <w:t xml:space="preserve"> Oncology Center of Excellence that provides a framework for the collaborative review of promising new cancer treatments among international regulatory partners. It aims to give patients faster access to promising cancer treatments across the globe.</w:t>
      </w:r>
      <w:r>
        <w:t xml:space="preserve"> Further information is available on the TGA website at </w:t>
      </w:r>
      <w:r w:rsidRPr="00B20FCF">
        <w:t>https://www.tga.gov.au/project-orbis</w:t>
      </w:r>
    </w:p>
  </w:footnote>
  <w:footnote w:id="4">
    <w:p w14:paraId="37979EE9" w14:textId="6F846B7A" w:rsidR="008254CB" w:rsidRDefault="008254CB" w:rsidP="00D963A6">
      <w:pPr>
        <w:pStyle w:val="FootnoteText"/>
      </w:pPr>
      <w:r>
        <w:rPr>
          <w:rStyle w:val="FootnoteReference"/>
        </w:rPr>
        <w:footnoteRef/>
      </w:r>
      <w:r>
        <w:t xml:space="preserve"> Provisional determination ensures that access to the Provisional approval pathway is only available to medicines that meet the eligibility criteria. Determination provides a consistent and transparent process for making this assessment.</w:t>
      </w:r>
    </w:p>
    <w:p w14:paraId="088D43DE" w14:textId="2B4B8109" w:rsidR="008254CB" w:rsidRDefault="008254CB" w:rsidP="00D963A6">
      <w:pPr>
        <w:pStyle w:val="FootnoteText"/>
      </w:pPr>
      <w:r>
        <w:t xml:space="preserve">The Provisional approval pathway allows for provisional registration of medicines on the basis of preliminary clinical data where the benefit of early availability of the medicine outweighs the risk inherent in the fact that additional data are still required. However, the TGA requires comprehensive non-clinical data on safety, </w:t>
      </w:r>
      <w:proofErr w:type="gramStart"/>
      <w:r>
        <w:t>quality</w:t>
      </w:r>
      <w:proofErr w:type="gramEnd"/>
      <w:r>
        <w:t xml:space="preserve"> and compliance with Good Manufacturing Practice. These requirements are the same as in the standard registration process for prescription medicines.</w:t>
      </w:r>
    </w:p>
  </w:footnote>
  <w:footnote w:id="5">
    <w:p w14:paraId="54760409" w14:textId="65E093E4" w:rsidR="008254CB" w:rsidRDefault="008254CB">
      <w:pPr>
        <w:pStyle w:val="FootnoteText"/>
      </w:pPr>
      <w:r>
        <w:rPr>
          <w:rStyle w:val="FootnoteReference"/>
        </w:rPr>
        <w:footnoteRef/>
      </w:r>
      <w:r>
        <w:t xml:space="preserve"> An </w:t>
      </w:r>
      <w:r>
        <w:rPr>
          <w:lang w:val="en-GB"/>
        </w:rPr>
        <w:t>orphan drug is a therapeutic good developed to treat, prevent or diagnose a rare medical condition, that due to low prevalence and/or financial unviability, it would not be financially viable for a sponsor to market that good in Australia. A sponsor may apply for orphan drug designation preceding the main evaluation submission, and should the application meet the specified criteria and designation be granted, the TGA will waive the normal application and evaluation fees, thereby facilitating bring the therapeutic good to the Australian market.</w:t>
      </w:r>
    </w:p>
  </w:footnote>
  <w:footnote w:id="6">
    <w:p w14:paraId="379705E0" w14:textId="5D0694C0" w:rsidR="008254CB" w:rsidRDefault="008254CB">
      <w:pPr>
        <w:pStyle w:val="FootnoteText"/>
      </w:pPr>
      <w:r>
        <w:rPr>
          <w:rStyle w:val="FootnoteReference"/>
        </w:rPr>
        <w:footnoteRef/>
      </w:r>
      <w:r>
        <w:t xml:space="preserve"> AusPAR for previous submissions of </w:t>
      </w:r>
      <w:proofErr w:type="spellStart"/>
      <w:r>
        <w:t>Venclexta</w:t>
      </w:r>
      <w:proofErr w:type="spellEnd"/>
      <w:r>
        <w:t xml:space="preserve">, </w:t>
      </w:r>
      <w:r w:rsidRPr="00B74FCB">
        <w:t>PM-2018-05208-1-6 and PM-2019-04393-1-6</w:t>
      </w:r>
      <w:r>
        <w:t xml:space="preserve">. Available at </w:t>
      </w:r>
      <w:r w:rsidRPr="00B74FCB">
        <w:t>https://www.tga.gov.au</w:t>
      </w:r>
    </w:p>
  </w:footnote>
  <w:footnote w:id="7">
    <w:p w14:paraId="57B309EF" w14:textId="77777777" w:rsidR="008254CB" w:rsidRDefault="008254CB" w:rsidP="00252AA1">
      <w:pPr>
        <w:pStyle w:val="FootnoteText"/>
      </w:pPr>
      <w:r>
        <w:rPr>
          <w:rStyle w:val="FootnoteReference"/>
        </w:rPr>
        <w:footnoteRef/>
      </w:r>
      <w:r>
        <w:t xml:space="preserve"> ECOG Performance Status: The Eastern Cooperative Oncology Group (ECOG) has developed criteria used by doctors and researchers to assess how a patient's disease is progressing, assess how the disease affects the daily living abilities of the patient, and determine appropriate treatment and prognosis. The following are used: </w:t>
      </w:r>
    </w:p>
    <w:p w14:paraId="0A90EC98" w14:textId="77777777" w:rsidR="008254CB" w:rsidRDefault="008254CB" w:rsidP="00252AA1">
      <w:pPr>
        <w:pStyle w:val="FootnoteText"/>
      </w:pPr>
      <w:r>
        <w:t>0 - Fully active, able to carry on all pre-disease performance without restriction</w:t>
      </w:r>
    </w:p>
    <w:p w14:paraId="74D143BB" w14:textId="77777777" w:rsidR="008254CB" w:rsidRDefault="008254CB" w:rsidP="00252AA1">
      <w:pPr>
        <w:pStyle w:val="FootnoteText"/>
      </w:pPr>
      <w:r>
        <w:t xml:space="preserve">1- Restricted in physically strenuous activity but ambulatory and able to carry out work of a light or sedentary nature, for example, light </w:t>
      </w:r>
      <w:proofErr w:type="gramStart"/>
      <w:r>
        <w:t>house work</w:t>
      </w:r>
      <w:proofErr w:type="gramEnd"/>
      <w:r>
        <w:t>, office work</w:t>
      </w:r>
    </w:p>
    <w:p w14:paraId="1B2045D6" w14:textId="77777777" w:rsidR="008254CB" w:rsidRDefault="008254CB" w:rsidP="00252AA1">
      <w:pPr>
        <w:pStyle w:val="FootnoteText"/>
      </w:pPr>
      <w:r>
        <w:t>2 - Ambulatory and capable of all selfcare but unable to carry out any work activities. Up and about more than 50% of waking hours</w:t>
      </w:r>
    </w:p>
    <w:p w14:paraId="4023E19B" w14:textId="77777777" w:rsidR="008254CB" w:rsidRDefault="008254CB" w:rsidP="00252AA1">
      <w:pPr>
        <w:pStyle w:val="FootnoteText"/>
      </w:pPr>
      <w:r>
        <w:t>3 - Capable of only limited selfcare, confined to bed or chair more than 50% of waking hours</w:t>
      </w:r>
    </w:p>
    <w:p w14:paraId="3B92E05C" w14:textId="77777777" w:rsidR="008254CB" w:rsidRDefault="008254CB" w:rsidP="00252AA1">
      <w:pPr>
        <w:pStyle w:val="FootnoteText"/>
      </w:pPr>
      <w:r>
        <w:t>4 - Completely disabled. Cannot carry on any selfcare. Totally confined to bed or chair</w:t>
      </w:r>
    </w:p>
    <w:p w14:paraId="30320965" w14:textId="0CB5F63A" w:rsidR="008254CB" w:rsidRDefault="008254CB" w:rsidP="00252AA1">
      <w:pPr>
        <w:pStyle w:val="FootnoteText"/>
      </w:pPr>
      <w:r>
        <w:t>5 – Dead</w:t>
      </w:r>
    </w:p>
  </w:footnote>
  <w:footnote w:id="8">
    <w:p w14:paraId="12A53169" w14:textId="77777777" w:rsidR="008254CB" w:rsidRDefault="008254CB" w:rsidP="00984C7E">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6665380C" w14:textId="77777777" w:rsidR="008254CB" w:rsidRDefault="008254CB" w:rsidP="00984C7E">
      <w:pPr>
        <w:pStyle w:val="FootnoteText"/>
      </w:pPr>
      <w:r w:rsidRPr="007D53B6">
        <w:rPr>
          <w:i/>
        </w:rPr>
        <w:t>Routine pharmacovigilance</w:t>
      </w:r>
      <w:r>
        <w:t xml:space="preserve"> practices involve the following activities:</w:t>
      </w:r>
    </w:p>
    <w:p w14:paraId="54241952" w14:textId="77777777" w:rsidR="008254CB" w:rsidRDefault="008254CB" w:rsidP="00984C7E">
      <w:pPr>
        <w:pStyle w:val="FootnoteText"/>
        <w:numPr>
          <w:ilvl w:val="0"/>
          <w:numId w:val="32"/>
        </w:numPr>
        <w:ind w:left="284" w:hanging="284"/>
      </w:pPr>
      <w:r>
        <w:t xml:space="preserve">All suspected adverse reactions that are reported to the personnel of the company are collected and collated in an accessible </w:t>
      </w:r>
      <w:proofErr w:type="gramStart"/>
      <w:r>
        <w:t>manner;</w:t>
      </w:r>
      <w:proofErr w:type="gramEnd"/>
    </w:p>
    <w:p w14:paraId="07EC4D63" w14:textId="77777777" w:rsidR="008254CB" w:rsidRDefault="008254CB" w:rsidP="00984C7E">
      <w:pPr>
        <w:pStyle w:val="FootnoteText"/>
        <w:numPr>
          <w:ilvl w:val="0"/>
          <w:numId w:val="32"/>
        </w:numPr>
        <w:ind w:left="284" w:hanging="284"/>
      </w:pPr>
      <w:r>
        <w:t xml:space="preserve">Reporting to regulatory </w:t>
      </w:r>
      <w:proofErr w:type="gramStart"/>
      <w:r>
        <w:t>authorities;</w:t>
      </w:r>
      <w:proofErr w:type="gramEnd"/>
    </w:p>
    <w:p w14:paraId="0F618657" w14:textId="77777777" w:rsidR="008254CB" w:rsidRDefault="008254CB" w:rsidP="00984C7E">
      <w:pPr>
        <w:pStyle w:val="FootnoteText"/>
        <w:numPr>
          <w:ilvl w:val="0"/>
          <w:numId w:val="32"/>
        </w:numPr>
        <w:ind w:left="284" w:hanging="284"/>
      </w:pPr>
      <w:r>
        <w:t xml:space="preserve">Continuous monitoring of the safety profiles of approved products including signal detection and updating of </w:t>
      </w:r>
      <w:proofErr w:type="gramStart"/>
      <w:r>
        <w:t>labelling;</w:t>
      </w:r>
      <w:proofErr w:type="gramEnd"/>
    </w:p>
    <w:p w14:paraId="2B6B7400" w14:textId="77777777" w:rsidR="008254CB" w:rsidRDefault="008254CB" w:rsidP="00984C7E">
      <w:pPr>
        <w:pStyle w:val="FootnoteText"/>
        <w:numPr>
          <w:ilvl w:val="0"/>
          <w:numId w:val="32"/>
        </w:numPr>
        <w:ind w:left="284" w:hanging="284"/>
      </w:pPr>
      <w:r>
        <w:t xml:space="preserve">Submission of </w:t>
      </w:r>
      <w:proofErr w:type="gramStart"/>
      <w:r>
        <w:t>PSURs;</w:t>
      </w:r>
      <w:proofErr w:type="gramEnd"/>
    </w:p>
    <w:p w14:paraId="544DE6E9" w14:textId="77777777" w:rsidR="008254CB" w:rsidRDefault="008254CB" w:rsidP="00984C7E">
      <w:pPr>
        <w:pStyle w:val="FootnoteText"/>
        <w:numPr>
          <w:ilvl w:val="0"/>
          <w:numId w:val="32"/>
        </w:numPr>
        <w:ind w:left="284" w:hanging="284"/>
      </w:pPr>
      <w:r>
        <w:t>Meeting other local regulatory agency requirements.</w:t>
      </w:r>
    </w:p>
  </w:footnote>
  <w:footnote w:id="9">
    <w:p w14:paraId="21188AD7" w14:textId="77777777" w:rsidR="008254CB" w:rsidRPr="00456765" w:rsidRDefault="008254CB" w:rsidP="00FB369D">
      <w:pPr>
        <w:pStyle w:val="FootnoteText"/>
        <w:rPr>
          <w:lang w:val="en-US"/>
        </w:rPr>
      </w:pPr>
      <w:r>
        <w:rPr>
          <w:rStyle w:val="FootnoteReference"/>
        </w:rPr>
        <w:footnoteRef/>
      </w:r>
      <w:r>
        <w:t xml:space="preserve"> </w:t>
      </w:r>
      <w:r w:rsidRPr="00FB369D">
        <w:t xml:space="preserve">The ACM provides independent medical and scientific advice to the Minister for Health and the TGA on issues relating to the safety, quality and efficacy of medicines supplied in Australia including issues relating to </w:t>
      </w:r>
      <w:proofErr w:type="gramStart"/>
      <w:r w:rsidRPr="00FB369D">
        <w:t>pre market</w:t>
      </w:r>
      <w:proofErr w:type="gramEnd"/>
      <w:r w:rsidRPr="00FB369D">
        <w:t xml:space="preserve"> and post-market functions for medicines. Further information can be found here: </w:t>
      </w:r>
      <w:hyperlink r:id="rId1" w:history="1">
        <w:r w:rsidRPr="0004151A">
          <w:rPr>
            <w:rStyle w:val="Hyperlink"/>
          </w:rPr>
          <w:t>https://www.tga.gov.au/committee/advisory-committee-medicines-acm</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E9CE1" w14:textId="77777777" w:rsidR="008254CB" w:rsidRDefault="008254CB"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FCB5C" w14:textId="77777777" w:rsidR="008254CB" w:rsidRDefault="008254CB">
    <w:pPr>
      <w:rPr>
        <w:noProof/>
        <w:lang w:eastAsia="en-AU"/>
      </w:rPr>
    </w:pPr>
    <w:r w:rsidRPr="00347824">
      <w:rPr>
        <w:noProof/>
        <w:lang w:val="en-GB" w:eastAsia="en-GB"/>
      </w:rPr>
      <w:drawing>
        <wp:anchor distT="0" distB="0" distL="114300" distR="114300" simplePos="0" relativeHeight="251659264" behindDoc="1" locked="0" layoutInCell="1" allowOverlap="1" wp14:anchorId="359B03EF" wp14:editId="16F2AFD5">
          <wp:simplePos x="0" y="0"/>
          <wp:positionH relativeFrom="column">
            <wp:posOffset>-1089660</wp:posOffset>
          </wp:positionH>
          <wp:positionV relativeFrom="paragraph">
            <wp:posOffset>-585470</wp:posOffset>
          </wp:positionV>
          <wp:extent cx="7572375" cy="10706100"/>
          <wp:effectExtent l="19050" t="0" r="0" b="0"/>
          <wp:wrapNone/>
          <wp:docPr id="1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E19426A" w14:textId="77777777" w:rsidR="008254CB" w:rsidRDefault="008254CB"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75A76" w14:textId="77777777" w:rsidR="008254CB" w:rsidRDefault="008254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058A3" w14:textId="77777777" w:rsidR="008254CB" w:rsidRDefault="008254CB">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361F7" w14:textId="77777777" w:rsidR="008254CB" w:rsidRDefault="008254C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E4CEB" w14:textId="77777777" w:rsidR="008254CB" w:rsidRDefault="008254CB" w:rsidP="006E08B3">
    <w:r>
      <w:t>Therapeutic Goods Administration</w:t>
    </w:r>
  </w:p>
  <w:p w14:paraId="04E98A73" w14:textId="77777777" w:rsidR="008254CB" w:rsidRDefault="008254CB"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32CA3E2C"/>
    <w:multiLevelType w:val="hybridMultilevel"/>
    <w:tmpl w:val="BF629A7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914314"/>
    <w:multiLevelType w:val="hybridMultilevel"/>
    <w:tmpl w:val="A8762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61E7868"/>
    <w:multiLevelType w:val="hybridMultilevel"/>
    <w:tmpl w:val="1A4078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A1052F7"/>
    <w:multiLevelType w:val="hybridMultilevel"/>
    <w:tmpl w:val="06EAB3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5"/>
  </w:num>
  <w:num w:numId="29">
    <w:abstractNumId w:val="6"/>
  </w:num>
  <w:num w:numId="30">
    <w:abstractNumId w:val="9"/>
  </w:num>
  <w:num w:numId="31">
    <w:abstractNumId w:val="4"/>
  </w:num>
  <w:num w:numId="32">
    <w:abstractNumId w:val="12"/>
  </w:num>
  <w:num w:numId="33">
    <w:abstractNumId w:val="10"/>
  </w:num>
  <w:num w:numId="34">
    <w:abstractNumId w:val="13"/>
  </w:num>
  <w:num w:numId="35">
    <w:abstractNumId w:val="14"/>
  </w:num>
  <w:num w:numId="36">
    <w:abstractNumId w:val="8"/>
  </w:num>
  <w:num w:numId="37">
    <w:abstractNumId w:val="10"/>
  </w:num>
  <w:num w:numId="38">
    <w:abstractNumId w:val="13"/>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ustomBullet" w:val="CustomType-Bullet|StyleName-List Bullet|SchemaID-1|Code-WW|Suffix-lb|NumberStyle-23|IndentValue-0|ParaStyleName--49|IsSuperscripted-False|BulletCharacter-8226|FontName-|FontSize-16|;CustomType-Bullet|StyleName-List Bullet 2|SchemaID-1|Code-WW|Suffix-lb2|NumberStyle-23|IndentValue-0|ParaStyleName--55|IsSuperscripted-False|BulletCharacter-45|FontName-|FontSize-|;CustomType-Bullet|StyleName-List Bullet 3|SchemaID-1|Code-WW|Suffix-lb3|NumberStyle-23|IndentValue-0|ParaStyleName--56|IsSuperscripted-False|BulletCharacter-9702|FontName-|FontSize-|;"/>
    <w:docVar w:name="CustomListTemplate" w:val="ISIWriter"/>
    <w:docVar w:name="CustomNumber" w:val="CustomType-Number|StyleName-Appendix|SchemaID-1|Code-WW|Suffix-at|NumberStyle-0|IndentValue-0|ParaStyleName-Appendix|PictureString-1, 2, 3|CustomFormat-Appendix %1|Separator-0|Superscript-False|NumberPosition-Left|SingleNumbered-1|;CustomType-Number|StyleName-List Letter|SchemaID-1|Code-WW|Suffix-ll|NumberStyle-4|IndentValue-0|ParaStyleName-List Letter|PictureString-a, b, c|CustomFormat-%1.|Separator-0|Superscript-False|NumberPosition-Left|SingleNumbered-0|;CustomType-Number|StyleName-List Letter 2|SchemaID-1|Code-WW|Suffix-ll2|NumberStyle-4|IndentValue-0|ParaStyleName-List Letter 2|PictureString-a, b, c|CustomFormat-%1.|Separator-0|Superscript-False|NumberPosition-Left|SingleNumbered-0|;CustomType-Number|StyleName-List Letter 3|SchemaID-1|Code-WW|Suffix-ll3|NumberStyle-4|IndentValue-0|ParaStyleName-List Letter 3|PictureString-a, b, c|CustomFormat-%1.|Separator-0|Superscript-False|NumberPosition-Left|SingleNumbered-0|;CustomType-Number|StyleName-List Number|SchemaID-1|Code-WW|Suffix-ln|NumberStyle-0|IndentValue-0|ParaStyleName--50|PictureString-1, 2, 3|CustomFormat-%1.|Separator-0|Superscript-False|NumberPosition-Left|SingleNumbered-0|;CustomType-Number|StyleName-List Number 2|SchemaID-1|Code-WW|Suffix-ln2|NumberStyle-0|IndentValue-0|ParaStyleName--59|PictureString-1, 2, 3|CustomFormat-%1.|Separator-0|Superscript-False|NumberPosition-Left|SingleNumbered-0|;CustomType-Number|StyleName-List Number 3|SchemaID-1|Code-WW|Suffix-ln3|NumberStyle-0|IndentValue-0|ParaStyleName--60|PictureString-1, 2, 3|CustomFormat-%1.|Separator-0|Superscript-False|NumberPosition-Left|SingleNumbered-0|;CustomType-Number|StyleName-References|SchemaID-1|Code-WW|Suffix-re|NumberStyle-0|IndentValue-0|ParaStyleName-References|PictureString-1, 2, 3|CustomFormat-%1.|Separator-0|Superscript-False|NumberPosition-Left|SingleNumbered-0|;CustomType-Number|StyleName-Table Footnote|SchemaID-1|Code-WW|Suffix-tf|NumberStyle-0|IndentValue-0|ParaStyleName-Table Footnote|PictureString-1, 2, 3|CustomFormat-%1|Separator-0|Superscript-True|NumberPosition-Left|SingleNumbered-0|;CustomType-Number|StyleName-Table Footnote Letter|SchemaID-1|Code-WW|Suffix-tfl|NumberStyle-4|IndentValue-0|ParaStyleName-Table Footnote Letter|PictureString-a, b, c|CustomFormat-%1|Separator-0|Superscript-True|NumberPosition-Left|SingleNumbered-0|;"/>
    <w:docVar w:name="CustomOutline" w:val="CustomType-Outline|StyleName-Heading 1|SchemaID-1|Code-WW|Suffix-H|NumberStyle-0|IndentValue-0|ParaStyleName--2|LinkLevel-1|PictureString-1, 2, 3|CustomFormat-%1|FontName-|IsLegal-0|Separator-0|NumberPosition-Left|;CustomType-Outline|StyleName-Heading 2|SchemaID-1|Code-WW|Suffix-H|NumberStyle-0|IndentValue-0|ParaStyleName--3|LinkLevel-2|PictureString-1, 2, 3|CustomFormat-%1.%2|FontName-|IsLegal-0|Separator-0|NumberPosition-Left|;CustomType-Outline|StyleName-Heading 3|SchemaID-1|Code-WW|Suffix-H|NumberStyle-0|IndentValue-0|ParaStyleName--4|LinkLevel-3|PictureString-1, 2, 3|CustomFormat-%1.%2.%3|FontName-|IsLegal-0|Separator-0|NumberPosition-Left|;CustomType-Outline|StyleName-Heading 4|SchemaID-1|Code-WW|Suffix-H|NumberStyle-0|IndentValue-0|ParaStyleName--5|LinkLevel-4|PictureString-1, 2, 3|CustomFormat-%1.%2.%3.%4|FontName-|IsLegal-0|Separator-0|NumberPosition-Left|;CustomType-Outline|StyleName-Heading 5|SchemaID-1|Code-WW|Suffix-H|NumberStyle-0|IndentValue-0|ParaStyleName--6|LinkLevel-5|PictureString-1, 2, 3|CustomFormat-%1.%2.%3.%4.%5|FontName-|IsLegal-0|Separator-0|NumberPosition-Left|;CustomType-Outline|StyleName-Heading 6|SchemaID-1|Code-WW|Suffix-H|NumberStyle-0|IndentValue-0|ParaStyleName--7|LinkLevel-6|PictureString-1, 2, 3|CustomFormat-%1.%2.%3.%4.%5.%6|FontName-|IsLegal-0|Separator-0|NumberPosition-Left|;CustomType-Outline|StyleName-Heading 7|SchemaID-1|Code-WW|Suffix-H|NumberStyle-0|IndentValue-0|ParaStyleName--8|LinkLevel-7|PictureString-1, 2, 3|CustomFormat-%1.%2.%3.%4.%5.%6.%7|FontName-|IsLegal-0|Separator-0|NumberPosition-Left|;CustomType-Outline|StyleName-Heading 8|SchemaID-1|Code-WW|Suffix-H|NumberStyle-0|IndentValue-0|ParaStyleName--9|LinkLevel-8|PictureString-1, 2, 3|CustomFormat-%1.%2.%3.%4.%5.%6.%7.%8|FontName-|IsLegal-0|Separator-0|NumberPosition-Left|;CustomType-Outline|StyleName-Heading 9|SchemaID-1|Code-WW|Suffix-H|NumberStyle-0|IndentValue-0|ParaStyleName--10|LinkLevel-9|PictureString-1, 2, 3|CustomFormat-%1.%2.%3.%4.%5.%6.%7.%8.%9|FontName-|IsLegal-0|Separator-0|NumberPosition-Left|;"/>
    <w:docVar w:name="IsCustomized" w:val="NO"/>
  </w:docVars>
  <w:rsids>
    <w:rsidRoot w:val="00F321E4"/>
    <w:rsid w:val="00002031"/>
    <w:rsid w:val="00004734"/>
    <w:rsid w:val="00006B22"/>
    <w:rsid w:val="00006FAB"/>
    <w:rsid w:val="000108F8"/>
    <w:rsid w:val="0001276A"/>
    <w:rsid w:val="000246AE"/>
    <w:rsid w:val="00025C67"/>
    <w:rsid w:val="00036851"/>
    <w:rsid w:val="00044772"/>
    <w:rsid w:val="0004541C"/>
    <w:rsid w:val="00051B36"/>
    <w:rsid w:val="0005559E"/>
    <w:rsid w:val="000604D6"/>
    <w:rsid w:val="00062EB6"/>
    <w:rsid w:val="000728CE"/>
    <w:rsid w:val="000734D8"/>
    <w:rsid w:val="00077775"/>
    <w:rsid w:val="00090471"/>
    <w:rsid w:val="00096AA7"/>
    <w:rsid w:val="000A3AED"/>
    <w:rsid w:val="000A6902"/>
    <w:rsid w:val="000B3532"/>
    <w:rsid w:val="000B3A75"/>
    <w:rsid w:val="000B5871"/>
    <w:rsid w:val="000C00C2"/>
    <w:rsid w:val="000C690F"/>
    <w:rsid w:val="000D1295"/>
    <w:rsid w:val="000D391B"/>
    <w:rsid w:val="000D3D6D"/>
    <w:rsid w:val="000D4FC7"/>
    <w:rsid w:val="000D6854"/>
    <w:rsid w:val="000E01D8"/>
    <w:rsid w:val="000E22E5"/>
    <w:rsid w:val="000E51FC"/>
    <w:rsid w:val="000E6196"/>
    <w:rsid w:val="000E6442"/>
    <w:rsid w:val="000F1970"/>
    <w:rsid w:val="000F4869"/>
    <w:rsid w:val="000F5B42"/>
    <w:rsid w:val="000F6E6F"/>
    <w:rsid w:val="0010601F"/>
    <w:rsid w:val="00106087"/>
    <w:rsid w:val="0010788A"/>
    <w:rsid w:val="00107A31"/>
    <w:rsid w:val="00110EA5"/>
    <w:rsid w:val="00112F56"/>
    <w:rsid w:val="00122C2E"/>
    <w:rsid w:val="001232DB"/>
    <w:rsid w:val="00124ACD"/>
    <w:rsid w:val="00125318"/>
    <w:rsid w:val="001305A2"/>
    <w:rsid w:val="00133238"/>
    <w:rsid w:val="00133A1B"/>
    <w:rsid w:val="0014197B"/>
    <w:rsid w:val="001447CD"/>
    <w:rsid w:val="001516B1"/>
    <w:rsid w:val="00154EBB"/>
    <w:rsid w:val="00156316"/>
    <w:rsid w:val="00161181"/>
    <w:rsid w:val="00162D14"/>
    <w:rsid w:val="00163780"/>
    <w:rsid w:val="001644B2"/>
    <w:rsid w:val="00165389"/>
    <w:rsid w:val="0017693F"/>
    <w:rsid w:val="0018110E"/>
    <w:rsid w:val="00181684"/>
    <w:rsid w:val="001827E5"/>
    <w:rsid w:val="001843C6"/>
    <w:rsid w:val="001850E0"/>
    <w:rsid w:val="00192FBF"/>
    <w:rsid w:val="001A03AF"/>
    <w:rsid w:val="001A2158"/>
    <w:rsid w:val="001A525F"/>
    <w:rsid w:val="001B09F9"/>
    <w:rsid w:val="001B5C90"/>
    <w:rsid w:val="001B6448"/>
    <w:rsid w:val="001C32CD"/>
    <w:rsid w:val="001D2984"/>
    <w:rsid w:val="001E07CF"/>
    <w:rsid w:val="001E59F1"/>
    <w:rsid w:val="001F0386"/>
    <w:rsid w:val="001F2CEE"/>
    <w:rsid w:val="001F49EB"/>
    <w:rsid w:val="001F6CBA"/>
    <w:rsid w:val="00201D4E"/>
    <w:rsid w:val="002076C9"/>
    <w:rsid w:val="00211D51"/>
    <w:rsid w:val="00220B8A"/>
    <w:rsid w:val="002257F3"/>
    <w:rsid w:val="00233456"/>
    <w:rsid w:val="002339A5"/>
    <w:rsid w:val="00250271"/>
    <w:rsid w:val="00252AA1"/>
    <w:rsid w:val="002557F5"/>
    <w:rsid w:val="00257848"/>
    <w:rsid w:val="002578E8"/>
    <w:rsid w:val="00264BBA"/>
    <w:rsid w:val="0027084A"/>
    <w:rsid w:val="00280265"/>
    <w:rsid w:val="00286434"/>
    <w:rsid w:val="00286C59"/>
    <w:rsid w:val="00291957"/>
    <w:rsid w:val="002942D1"/>
    <w:rsid w:val="0029501A"/>
    <w:rsid w:val="0029677C"/>
    <w:rsid w:val="002A3721"/>
    <w:rsid w:val="002A4E04"/>
    <w:rsid w:val="002A66C5"/>
    <w:rsid w:val="002B1638"/>
    <w:rsid w:val="002B3624"/>
    <w:rsid w:val="002D0952"/>
    <w:rsid w:val="002D4B58"/>
    <w:rsid w:val="002E40B3"/>
    <w:rsid w:val="002E4C9A"/>
    <w:rsid w:val="002F11F8"/>
    <w:rsid w:val="002F3F56"/>
    <w:rsid w:val="002F44B5"/>
    <w:rsid w:val="002F5122"/>
    <w:rsid w:val="00306CC0"/>
    <w:rsid w:val="00311AC0"/>
    <w:rsid w:val="0031624F"/>
    <w:rsid w:val="003176FC"/>
    <w:rsid w:val="0032396E"/>
    <w:rsid w:val="00324E45"/>
    <w:rsid w:val="0032583B"/>
    <w:rsid w:val="00327883"/>
    <w:rsid w:val="003347C7"/>
    <w:rsid w:val="00335504"/>
    <w:rsid w:val="00340C18"/>
    <w:rsid w:val="003442FD"/>
    <w:rsid w:val="00347750"/>
    <w:rsid w:val="00347824"/>
    <w:rsid w:val="00350567"/>
    <w:rsid w:val="003521E8"/>
    <w:rsid w:val="00370CE3"/>
    <w:rsid w:val="003728F3"/>
    <w:rsid w:val="003735BC"/>
    <w:rsid w:val="0037496E"/>
    <w:rsid w:val="00382A16"/>
    <w:rsid w:val="00383221"/>
    <w:rsid w:val="00386150"/>
    <w:rsid w:val="003874CE"/>
    <w:rsid w:val="00390900"/>
    <w:rsid w:val="003A348E"/>
    <w:rsid w:val="003A398B"/>
    <w:rsid w:val="003A7F6C"/>
    <w:rsid w:val="003B4D60"/>
    <w:rsid w:val="003B7E39"/>
    <w:rsid w:val="003C58DC"/>
    <w:rsid w:val="003C621A"/>
    <w:rsid w:val="003D1E62"/>
    <w:rsid w:val="003D3B92"/>
    <w:rsid w:val="003D566A"/>
    <w:rsid w:val="003E0B99"/>
    <w:rsid w:val="003E2486"/>
    <w:rsid w:val="003E3208"/>
    <w:rsid w:val="003F0B04"/>
    <w:rsid w:val="003F36AA"/>
    <w:rsid w:val="0040134E"/>
    <w:rsid w:val="00402974"/>
    <w:rsid w:val="00427622"/>
    <w:rsid w:val="004334C7"/>
    <w:rsid w:val="00435337"/>
    <w:rsid w:val="00440A2D"/>
    <w:rsid w:val="00441029"/>
    <w:rsid w:val="00441C3F"/>
    <w:rsid w:val="00444D1A"/>
    <w:rsid w:val="00446C9B"/>
    <w:rsid w:val="0045186A"/>
    <w:rsid w:val="004564A7"/>
    <w:rsid w:val="00456765"/>
    <w:rsid w:val="00460036"/>
    <w:rsid w:val="004617BF"/>
    <w:rsid w:val="00463658"/>
    <w:rsid w:val="004637A0"/>
    <w:rsid w:val="004722CC"/>
    <w:rsid w:val="00490483"/>
    <w:rsid w:val="004936E4"/>
    <w:rsid w:val="00494E60"/>
    <w:rsid w:val="00497487"/>
    <w:rsid w:val="004A2771"/>
    <w:rsid w:val="004A6189"/>
    <w:rsid w:val="004A7390"/>
    <w:rsid w:val="004B7B76"/>
    <w:rsid w:val="004C239D"/>
    <w:rsid w:val="004C2DCA"/>
    <w:rsid w:val="004C4FBE"/>
    <w:rsid w:val="004C61D2"/>
    <w:rsid w:val="004E639E"/>
    <w:rsid w:val="004F0C4A"/>
    <w:rsid w:val="004F0F38"/>
    <w:rsid w:val="004F47D6"/>
    <w:rsid w:val="00500337"/>
    <w:rsid w:val="00501921"/>
    <w:rsid w:val="005252B2"/>
    <w:rsid w:val="00530354"/>
    <w:rsid w:val="0053625B"/>
    <w:rsid w:val="00537A80"/>
    <w:rsid w:val="005434C6"/>
    <w:rsid w:val="00543B39"/>
    <w:rsid w:val="00546154"/>
    <w:rsid w:val="00550096"/>
    <w:rsid w:val="00555280"/>
    <w:rsid w:val="00557FF9"/>
    <w:rsid w:val="00562327"/>
    <w:rsid w:val="005711D5"/>
    <w:rsid w:val="00574381"/>
    <w:rsid w:val="00576378"/>
    <w:rsid w:val="00577130"/>
    <w:rsid w:val="00577945"/>
    <w:rsid w:val="00577E38"/>
    <w:rsid w:val="00585322"/>
    <w:rsid w:val="005857C6"/>
    <w:rsid w:val="00592F6E"/>
    <w:rsid w:val="00593AD1"/>
    <w:rsid w:val="00594576"/>
    <w:rsid w:val="005A68B6"/>
    <w:rsid w:val="005C5570"/>
    <w:rsid w:val="005C5B66"/>
    <w:rsid w:val="005C79A4"/>
    <w:rsid w:val="005D5442"/>
    <w:rsid w:val="00603F32"/>
    <w:rsid w:val="00605AD4"/>
    <w:rsid w:val="00607571"/>
    <w:rsid w:val="006136D7"/>
    <w:rsid w:val="00625A6E"/>
    <w:rsid w:val="00632398"/>
    <w:rsid w:val="00640FC3"/>
    <w:rsid w:val="00642020"/>
    <w:rsid w:val="006430EE"/>
    <w:rsid w:val="0065337B"/>
    <w:rsid w:val="0065419D"/>
    <w:rsid w:val="006603BC"/>
    <w:rsid w:val="006604D8"/>
    <w:rsid w:val="00664A5B"/>
    <w:rsid w:val="0066735C"/>
    <w:rsid w:val="006763D2"/>
    <w:rsid w:val="00680C08"/>
    <w:rsid w:val="006916A0"/>
    <w:rsid w:val="006931B1"/>
    <w:rsid w:val="006A15C0"/>
    <w:rsid w:val="006A58A8"/>
    <w:rsid w:val="006C3E2A"/>
    <w:rsid w:val="006C642F"/>
    <w:rsid w:val="006D03E5"/>
    <w:rsid w:val="006D5D3E"/>
    <w:rsid w:val="006D65DF"/>
    <w:rsid w:val="006E08B3"/>
    <w:rsid w:val="006F17AC"/>
    <w:rsid w:val="006F25B8"/>
    <w:rsid w:val="006F446A"/>
    <w:rsid w:val="006F572E"/>
    <w:rsid w:val="007046D6"/>
    <w:rsid w:val="00705DB0"/>
    <w:rsid w:val="00706A47"/>
    <w:rsid w:val="00714FDC"/>
    <w:rsid w:val="00722B57"/>
    <w:rsid w:val="00730F8A"/>
    <w:rsid w:val="00735A8C"/>
    <w:rsid w:val="0074253D"/>
    <w:rsid w:val="00744121"/>
    <w:rsid w:val="0074429B"/>
    <w:rsid w:val="00754DD4"/>
    <w:rsid w:val="007615BC"/>
    <w:rsid w:val="00762F05"/>
    <w:rsid w:val="007652FF"/>
    <w:rsid w:val="00770CAC"/>
    <w:rsid w:val="00770EF1"/>
    <w:rsid w:val="00773EF7"/>
    <w:rsid w:val="00774E1D"/>
    <w:rsid w:val="007765D8"/>
    <w:rsid w:val="0077675A"/>
    <w:rsid w:val="00777FB4"/>
    <w:rsid w:val="00780355"/>
    <w:rsid w:val="007819FD"/>
    <w:rsid w:val="00785717"/>
    <w:rsid w:val="00785721"/>
    <w:rsid w:val="00793A59"/>
    <w:rsid w:val="007A46F5"/>
    <w:rsid w:val="007A6505"/>
    <w:rsid w:val="007B6132"/>
    <w:rsid w:val="007B6E9F"/>
    <w:rsid w:val="007C1216"/>
    <w:rsid w:val="007C1AF7"/>
    <w:rsid w:val="007C6B9B"/>
    <w:rsid w:val="007D53B6"/>
    <w:rsid w:val="007E2134"/>
    <w:rsid w:val="00805D27"/>
    <w:rsid w:val="00806DCB"/>
    <w:rsid w:val="00821776"/>
    <w:rsid w:val="0082216C"/>
    <w:rsid w:val="008254CB"/>
    <w:rsid w:val="0083121B"/>
    <w:rsid w:val="008321F5"/>
    <w:rsid w:val="00832369"/>
    <w:rsid w:val="00834660"/>
    <w:rsid w:val="00836BC2"/>
    <w:rsid w:val="0085156D"/>
    <w:rsid w:val="00852B28"/>
    <w:rsid w:val="0085641B"/>
    <w:rsid w:val="00857136"/>
    <w:rsid w:val="008622C0"/>
    <w:rsid w:val="00875A6B"/>
    <w:rsid w:val="00885B11"/>
    <w:rsid w:val="00886D15"/>
    <w:rsid w:val="00887DD8"/>
    <w:rsid w:val="00891BA9"/>
    <w:rsid w:val="00896018"/>
    <w:rsid w:val="008960DD"/>
    <w:rsid w:val="0089635C"/>
    <w:rsid w:val="008A040F"/>
    <w:rsid w:val="008A2B9D"/>
    <w:rsid w:val="008A3D9F"/>
    <w:rsid w:val="008A4DE7"/>
    <w:rsid w:val="008A5E0B"/>
    <w:rsid w:val="008A6D59"/>
    <w:rsid w:val="008B026D"/>
    <w:rsid w:val="008B0AD3"/>
    <w:rsid w:val="008B4B03"/>
    <w:rsid w:val="008B596F"/>
    <w:rsid w:val="008C159F"/>
    <w:rsid w:val="008C1623"/>
    <w:rsid w:val="008C1850"/>
    <w:rsid w:val="008C51A9"/>
    <w:rsid w:val="008D42AC"/>
    <w:rsid w:val="008E7846"/>
    <w:rsid w:val="008F02E5"/>
    <w:rsid w:val="008F1CCC"/>
    <w:rsid w:val="008F2967"/>
    <w:rsid w:val="008F6943"/>
    <w:rsid w:val="00902A21"/>
    <w:rsid w:val="0091523F"/>
    <w:rsid w:val="00920330"/>
    <w:rsid w:val="009219D7"/>
    <w:rsid w:val="00922D53"/>
    <w:rsid w:val="00923B70"/>
    <w:rsid w:val="00924482"/>
    <w:rsid w:val="00930237"/>
    <w:rsid w:val="00930ECC"/>
    <w:rsid w:val="00937C17"/>
    <w:rsid w:val="00940A89"/>
    <w:rsid w:val="00941F77"/>
    <w:rsid w:val="00946EA5"/>
    <w:rsid w:val="00960520"/>
    <w:rsid w:val="00963C08"/>
    <w:rsid w:val="009752A5"/>
    <w:rsid w:val="00984C7E"/>
    <w:rsid w:val="0098585A"/>
    <w:rsid w:val="00987C01"/>
    <w:rsid w:val="009900FB"/>
    <w:rsid w:val="009951B9"/>
    <w:rsid w:val="00995868"/>
    <w:rsid w:val="00996C72"/>
    <w:rsid w:val="009A37AA"/>
    <w:rsid w:val="009A4CED"/>
    <w:rsid w:val="009A690D"/>
    <w:rsid w:val="009B1D12"/>
    <w:rsid w:val="009B416B"/>
    <w:rsid w:val="009C4BD5"/>
    <w:rsid w:val="009D7B77"/>
    <w:rsid w:val="009E0BB0"/>
    <w:rsid w:val="009E3FBB"/>
    <w:rsid w:val="009F7353"/>
    <w:rsid w:val="00A04F85"/>
    <w:rsid w:val="00A05FA4"/>
    <w:rsid w:val="00A102E4"/>
    <w:rsid w:val="00A1219C"/>
    <w:rsid w:val="00A12C42"/>
    <w:rsid w:val="00A14DF7"/>
    <w:rsid w:val="00A229AC"/>
    <w:rsid w:val="00A22D57"/>
    <w:rsid w:val="00A242AB"/>
    <w:rsid w:val="00A3246D"/>
    <w:rsid w:val="00A36FA7"/>
    <w:rsid w:val="00A44DDB"/>
    <w:rsid w:val="00A475B7"/>
    <w:rsid w:val="00A47AF7"/>
    <w:rsid w:val="00A47C3E"/>
    <w:rsid w:val="00A50226"/>
    <w:rsid w:val="00A60BAD"/>
    <w:rsid w:val="00A63854"/>
    <w:rsid w:val="00A6485F"/>
    <w:rsid w:val="00A66A20"/>
    <w:rsid w:val="00A67BD5"/>
    <w:rsid w:val="00A77F87"/>
    <w:rsid w:val="00A80B5B"/>
    <w:rsid w:val="00A84E36"/>
    <w:rsid w:val="00A964D1"/>
    <w:rsid w:val="00AA041D"/>
    <w:rsid w:val="00AA0ED0"/>
    <w:rsid w:val="00AB28CF"/>
    <w:rsid w:val="00AC2B40"/>
    <w:rsid w:val="00AC2BB2"/>
    <w:rsid w:val="00AC2C3C"/>
    <w:rsid w:val="00AC512D"/>
    <w:rsid w:val="00AD0083"/>
    <w:rsid w:val="00AD3935"/>
    <w:rsid w:val="00AE65EB"/>
    <w:rsid w:val="00AE67A7"/>
    <w:rsid w:val="00AF1D94"/>
    <w:rsid w:val="00AF60C5"/>
    <w:rsid w:val="00B009C6"/>
    <w:rsid w:val="00B01548"/>
    <w:rsid w:val="00B130C5"/>
    <w:rsid w:val="00B13EBD"/>
    <w:rsid w:val="00B21B0B"/>
    <w:rsid w:val="00B21D29"/>
    <w:rsid w:val="00B25034"/>
    <w:rsid w:val="00B25115"/>
    <w:rsid w:val="00B26A11"/>
    <w:rsid w:val="00B33588"/>
    <w:rsid w:val="00B33863"/>
    <w:rsid w:val="00B34CB3"/>
    <w:rsid w:val="00B37D17"/>
    <w:rsid w:val="00B4175E"/>
    <w:rsid w:val="00B41C85"/>
    <w:rsid w:val="00B452CE"/>
    <w:rsid w:val="00B54C25"/>
    <w:rsid w:val="00B60462"/>
    <w:rsid w:val="00B74FCB"/>
    <w:rsid w:val="00B76B91"/>
    <w:rsid w:val="00B77EB1"/>
    <w:rsid w:val="00B811C6"/>
    <w:rsid w:val="00B855B0"/>
    <w:rsid w:val="00B862D7"/>
    <w:rsid w:val="00B92E08"/>
    <w:rsid w:val="00B96CB1"/>
    <w:rsid w:val="00BA36B0"/>
    <w:rsid w:val="00BA6D19"/>
    <w:rsid w:val="00BC1EC4"/>
    <w:rsid w:val="00BC622A"/>
    <w:rsid w:val="00BD1F85"/>
    <w:rsid w:val="00BE0A78"/>
    <w:rsid w:val="00BE6064"/>
    <w:rsid w:val="00BE79F0"/>
    <w:rsid w:val="00BF046D"/>
    <w:rsid w:val="00BF1190"/>
    <w:rsid w:val="00BF3774"/>
    <w:rsid w:val="00BF5D04"/>
    <w:rsid w:val="00C009AA"/>
    <w:rsid w:val="00C1164D"/>
    <w:rsid w:val="00C1248D"/>
    <w:rsid w:val="00C16861"/>
    <w:rsid w:val="00C20E0F"/>
    <w:rsid w:val="00C27025"/>
    <w:rsid w:val="00C346AB"/>
    <w:rsid w:val="00C404A6"/>
    <w:rsid w:val="00C40A36"/>
    <w:rsid w:val="00C41701"/>
    <w:rsid w:val="00C44419"/>
    <w:rsid w:val="00C45E7B"/>
    <w:rsid w:val="00C471B1"/>
    <w:rsid w:val="00C525A2"/>
    <w:rsid w:val="00C52E24"/>
    <w:rsid w:val="00C6316B"/>
    <w:rsid w:val="00C634A9"/>
    <w:rsid w:val="00C64586"/>
    <w:rsid w:val="00C705E2"/>
    <w:rsid w:val="00C70A36"/>
    <w:rsid w:val="00C70D53"/>
    <w:rsid w:val="00C73D0B"/>
    <w:rsid w:val="00C74F5C"/>
    <w:rsid w:val="00C75526"/>
    <w:rsid w:val="00C7639C"/>
    <w:rsid w:val="00C772FF"/>
    <w:rsid w:val="00C80137"/>
    <w:rsid w:val="00C801AF"/>
    <w:rsid w:val="00C80256"/>
    <w:rsid w:val="00C91570"/>
    <w:rsid w:val="00C94CD4"/>
    <w:rsid w:val="00C95519"/>
    <w:rsid w:val="00C9747E"/>
    <w:rsid w:val="00CB6BC0"/>
    <w:rsid w:val="00CC1B7C"/>
    <w:rsid w:val="00CC727F"/>
    <w:rsid w:val="00CF15C3"/>
    <w:rsid w:val="00CF2B6F"/>
    <w:rsid w:val="00CF2F3E"/>
    <w:rsid w:val="00CF58B6"/>
    <w:rsid w:val="00CF5DAD"/>
    <w:rsid w:val="00D0062D"/>
    <w:rsid w:val="00D017ED"/>
    <w:rsid w:val="00D040D3"/>
    <w:rsid w:val="00D04C65"/>
    <w:rsid w:val="00D12DA4"/>
    <w:rsid w:val="00D153D8"/>
    <w:rsid w:val="00D1635F"/>
    <w:rsid w:val="00D201D2"/>
    <w:rsid w:val="00D21B81"/>
    <w:rsid w:val="00D224FE"/>
    <w:rsid w:val="00D23139"/>
    <w:rsid w:val="00D300B8"/>
    <w:rsid w:val="00D425BB"/>
    <w:rsid w:val="00D453FA"/>
    <w:rsid w:val="00D5557B"/>
    <w:rsid w:val="00D6493E"/>
    <w:rsid w:val="00D7195D"/>
    <w:rsid w:val="00D7301E"/>
    <w:rsid w:val="00D81EBC"/>
    <w:rsid w:val="00D83AE1"/>
    <w:rsid w:val="00D855D4"/>
    <w:rsid w:val="00D8772C"/>
    <w:rsid w:val="00D902C9"/>
    <w:rsid w:val="00D913F1"/>
    <w:rsid w:val="00D93466"/>
    <w:rsid w:val="00D963A6"/>
    <w:rsid w:val="00DA0D04"/>
    <w:rsid w:val="00DA1124"/>
    <w:rsid w:val="00DA64CB"/>
    <w:rsid w:val="00DB06B8"/>
    <w:rsid w:val="00DB5B9F"/>
    <w:rsid w:val="00DB5DB7"/>
    <w:rsid w:val="00DB6124"/>
    <w:rsid w:val="00DB750B"/>
    <w:rsid w:val="00DB75B7"/>
    <w:rsid w:val="00DC0A2F"/>
    <w:rsid w:val="00DC1948"/>
    <w:rsid w:val="00DC54FD"/>
    <w:rsid w:val="00DC5D42"/>
    <w:rsid w:val="00DC6E02"/>
    <w:rsid w:val="00DD28CD"/>
    <w:rsid w:val="00DE02AE"/>
    <w:rsid w:val="00DE39D1"/>
    <w:rsid w:val="00DF1D7F"/>
    <w:rsid w:val="00DF4BE4"/>
    <w:rsid w:val="00E02382"/>
    <w:rsid w:val="00E02FB4"/>
    <w:rsid w:val="00E068E2"/>
    <w:rsid w:val="00E13FC7"/>
    <w:rsid w:val="00E2010F"/>
    <w:rsid w:val="00E20571"/>
    <w:rsid w:val="00E235F7"/>
    <w:rsid w:val="00E23659"/>
    <w:rsid w:val="00E239D4"/>
    <w:rsid w:val="00E26130"/>
    <w:rsid w:val="00E33D42"/>
    <w:rsid w:val="00E362AD"/>
    <w:rsid w:val="00E37D35"/>
    <w:rsid w:val="00E40B22"/>
    <w:rsid w:val="00E44ED1"/>
    <w:rsid w:val="00E45619"/>
    <w:rsid w:val="00E4588F"/>
    <w:rsid w:val="00E46DA3"/>
    <w:rsid w:val="00E51BB1"/>
    <w:rsid w:val="00E55CB0"/>
    <w:rsid w:val="00E624A5"/>
    <w:rsid w:val="00E64BA4"/>
    <w:rsid w:val="00E7344E"/>
    <w:rsid w:val="00E74012"/>
    <w:rsid w:val="00E75CAD"/>
    <w:rsid w:val="00E82665"/>
    <w:rsid w:val="00EB0798"/>
    <w:rsid w:val="00EB40AD"/>
    <w:rsid w:val="00EB586E"/>
    <w:rsid w:val="00EB5FC8"/>
    <w:rsid w:val="00EB7AA3"/>
    <w:rsid w:val="00EC3338"/>
    <w:rsid w:val="00EC463D"/>
    <w:rsid w:val="00EC7A85"/>
    <w:rsid w:val="00ED07FB"/>
    <w:rsid w:val="00ED2922"/>
    <w:rsid w:val="00ED3312"/>
    <w:rsid w:val="00ED3CAD"/>
    <w:rsid w:val="00ED5A41"/>
    <w:rsid w:val="00EE1DE8"/>
    <w:rsid w:val="00EE27C2"/>
    <w:rsid w:val="00EF4BAD"/>
    <w:rsid w:val="00EF59DC"/>
    <w:rsid w:val="00F033EC"/>
    <w:rsid w:val="00F04F68"/>
    <w:rsid w:val="00F12670"/>
    <w:rsid w:val="00F13010"/>
    <w:rsid w:val="00F14B27"/>
    <w:rsid w:val="00F3148D"/>
    <w:rsid w:val="00F321E4"/>
    <w:rsid w:val="00F325C5"/>
    <w:rsid w:val="00F32FE0"/>
    <w:rsid w:val="00F35298"/>
    <w:rsid w:val="00F47333"/>
    <w:rsid w:val="00F47E37"/>
    <w:rsid w:val="00F53C07"/>
    <w:rsid w:val="00F54723"/>
    <w:rsid w:val="00F54B65"/>
    <w:rsid w:val="00F63DBF"/>
    <w:rsid w:val="00F640B6"/>
    <w:rsid w:val="00F66DF2"/>
    <w:rsid w:val="00F704F3"/>
    <w:rsid w:val="00F73C61"/>
    <w:rsid w:val="00F80E40"/>
    <w:rsid w:val="00F848D9"/>
    <w:rsid w:val="00F85B10"/>
    <w:rsid w:val="00F8785F"/>
    <w:rsid w:val="00F87BDF"/>
    <w:rsid w:val="00F97336"/>
    <w:rsid w:val="00FA5069"/>
    <w:rsid w:val="00FA5B82"/>
    <w:rsid w:val="00FA639E"/>
    <w:rsid w:val="00FB369D"/>
    <w:rsid w:val="00FC1FCA"/>
    <w:rsid w:val="00FC25E4"/>
    <w:rsid w:val="00FC4B32"/>
    <w:rsid w:val="00FC4EF7"/>
    <w:rsid w:val="00FC6981"/>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A52787"/>
  <w15:docId w15:val="{71B9A206-A4BF-4B28-98BC-BBFD2EFB1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tabs>
        <w:tab w:val="left" w:pos="1440"/>
      </w:tabs>
      <w:spacing w:line="220" w:lineRule="atLeast"/>
      <w:ind w:left="1440" w:hanging="1440"/>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tabs>
        <w:tab w:val="left" w:pos="1440"/>
      </w:tabs>
      <w:ind w:left="1440" w:hanging="1440"/>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FB369D"/>
    <w:rPr>
      <w:color w:val="605E5C"/>
      <w:shd w:val="clear" w:color="auto" w:fill="E1DFDD"/>
    </w:rPr>
  </w:style>
  <w:style w:type="paragraph" w:customStyle="1" w:styleId="Default">
    <w:name w:val="Default"/>
    <w:rsid w:val="00F85B1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link w:val="ListParagraphChar"/>
    <w:uiPriority w:val="1"/>
    <w:qFormat/>
    <w:rsid w:val="00D963A6"/>
    <w:pPr>
      <w:adjustRightInd w:val="0"/>
      <w:snapToGrid w:val="0"/>
      <w:spacing w:before="180" w:after="180"/>
      <w:ind w:left="720"/>
      <w:contextualSpacing/>
    </w:pPr>
    <w:rPr>
      <w:rFonts w:eastAsia="MS Mincho"/>
      <w:szCs w:val="20"/>
      <w:lang w:eastAsia="ja-JP"/>
    </w:rPr>
  </w:style>
  <w:style w:type="character" w:customStyle="1" w:styleId="ListParagraphChar">
    <w:name w:val="List Paragraph Char"/>
    <w:basedOn w:val="DefaultParagraphFont"/>
    <w:link w:val="ListParagraph"/>
    <w:uiPriority w:val="1"/>
    <w:rsid w:val="00D963A6"/>
    <w:rPr>
      <w:rFonts w:ascii="Cambria" w:eastAsia="MS Mincho" w:hAnsi="Cambria" w:cs="Times New Roman"/>
      <w:szCs w:val="20"/>
      <w:lang w:eastAsia="ja-JP"/>
    </w:rPr>
  </w:style>
  <w:style w:type="table" w:customStyle="1" w:styleId="TableTGAblue1">
    <w:name w:val="Table TGA blue1"/>
    <w:basedOn w:val="TableNormal"/>
    <w:uiPriority w:val="99"/>
    <w:qFormat/>
    <w:rsid w:val="00D963A6"/>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2">
    <w:name w:val="Table TGA 2"/>
    <w:basedOn w:val="TableNormal"/>
    <w:uiPriority w:val="99"/>
    <w:rsid w:val="00D963A6"/>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Paragraph">
    <w:name w:val="Table Paragraph"/>
    <w:basedOn w:val="Normal"/>
    <w:uiPriority w:val="1"/>
    <w:qFormat/>
    <w:rsid w:val="00D963A6"/>
    <w:pPr>
      <w:autoSpaceDE w:val="0"/>
      <w:autoSpaceDN w:val="0"/>
      <w:adjustRightInd w:val="0"/>
      <w:spacing w:before="0" w:after="0" w:line="225" w:lineRule="exact"/>
      <w:ind w:left="287"/>
    </w:pPr>
    <w:rPr>
      <w:rFonts w:ascii="Calibri" w:eastAsiaTheme="minorHAnsi" w:hAnsi="Calibri" w:cs="Calibri"/>
      <w:sz w:val="24"/>
      <w:szCs w:val="24"/>
    </w:rPr>
  </w:style>
  <w:style w:type="paragraph" w:styleId="BodyText">
    <w:name w:val="Body Text"/>
    <w:basedOn w:val="Normal"/>
    <w:link w:val="BodyTextChar"/>
    <w:uiPriority w:val="99"/>
    <w:unhideWhenUsed/>
    <w:rsid w:val="000D6854"/>
  </w:style>
  <w:style w:type="character" w:customStyle="1" w:styleId="BodyTextChar">
    <w:name w:val="Body Text Char"/>
    <w:basedOn w:val="DefaultParagraphFont"/>
    <w:link w:val="BodyText"/>
    <w:uiPriority w:val="99"/>
    <w:rsid w:val="000D6854"/>
    <w:rPr>
      <w:rFonts w:ascii="Cambria" w:eastAsia="Cambria" w:hAnsi="Cambria" w:cs="Times New Roman"/>
    </w:rPr>
  </w:style>
  <w:style w:type="character" w:customStyle="1" w:styleId="TabletextChar">
    <w:name w:val="Table text Char"/>
    <w:basedOn w:val="DefaultParagraphFont"/>
    <w:link w:val="Tabletext"/>
    <w:rsid w:val="00984C7E"/>
    <w:rPr>
      <w:rFonts w:ascii="Cambria" w:eastAsia="Cambria" w:hAnsi="Cambria" w:cs="Times New Roman"/>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59280">
      <w:bodyDiv w:val="1"/>
      <w:marLeft w:val="0"/>
      <w:marRight w:val="0"/>
      <w:marTop w:val="0"/>
      <w:marBottom w:val="0"/>
      <w:divBdr>
        <w:top w:val="none" w:sz="0" w:space="0" w:color="auto"/>
        <w:left w:val="none" w:sz="0" w:space="0" w:color="auto"/>
        <w:bottom w:val="none" w:sz="0" w:space="0" w:color="auto"/>
        <w:right w:val="none" w:sz="0" w:space="0" w:color="auto"/>
      </w:divBdr>
    </w:div>
    <w:div w:id="30107411">
      <w:bodyDiv w:val="1"/>
      <w:marLeft w:val="0"/>
      <w:marRight w:val="0"/>
      <w:marTop w:val="0"/>
      <w:marBottom w:val="0"/>
      <w:divBdr>
        <w:top w:val="none" w:sz="0" w:space="0" w:color="auto"/>
        <w:left w:val="none" w:sz="0" w:space="0" w:color="auto"/>
        <w:bottom w:val="none" w:sz="0" w:space="0" w:color="auto"/>
        <w:right w:val="none" w:sz="0" w:space="0" w:color="auto"/>
      </w:divBdr>
    </w:div>
    <w:div w:id="108013420">
      <w:bodyDiv w:val="1"/>
      <w:marLeft w:val="0"/>
      <w:marRight w:val="0"/>
      <w:marTop w:val="0"/>
      <w:marBottom w:val="0"/>
      <w:divBdr>
        <w:top w:val="none" w:sz="0" w:space="0" w:color="auto"/>
        <w:left w:val="none" w:sz="0" w:space="0" w:color="auto"/>
        <w:bottom w:val="none" w:sz="0" w:space="0" w:color="auto"/>
        <w:right w:val="none" w:sz="0" w:space="0" w:color="auto"/>
      </w:divBdr>
    </w:div>
    <w:div w:id="294025509">
      <w:bodyDiv w:val="1"/>
      <w:marLeft w:val="0"/>
      <w:marRight w:val="0"/>
      <w:marTop w:val="0"/>
      <w:marBottom w:val="0"/>
      <w:divBdr>
        <w:top w:val="none" w:sz="0" w:space="0" w:color="auto"/>
        <w:left w:val="none" w:sz="0" w:space="0" w:color="auto"/>
        <w:bottom w:val="none" w:sz="0" w:space="0" w:color="auto"/>
        <w:right w:val="none" w:sz="0" w:space="0" w:color="auto"/>
      </w:divBdr>
    </w:div>
    <w:div w:id="316038628">
      <w:bodyDiv w:val="1"/>
      <w:marLeft w:val="0"/>
      <w:marRight w:val="0"/>
      <w:marTop w:val="0"/>
      <w:marBottom w:val="0"/>
      <w:divBdr>
        <w:top w:val="none" w:sz="0" w:space="0" w:color="auto"/>
        <w:left w:val="none" w:sz="0" w:space="0" w:color="auto"/>
        <w:bottom w:val="none" w:sz="0" w:space="0" w:color="auto"/>
        <w:right w:val="none" w:sz="0" w:space="0" w:color="auto"/>
      </w:divBdr>
    </w:div>
    <w:div w:id="395279228">
      <w:bodyDiv w:val="1"/>
      <w:marLeft w:val="0"/>
      <w:marRight w:val="0"/>
      <w:marTop w:val="0"/>
      <w:marBottom w:val="0"/>
      <w:divBdr>
        <w:top w:val="none" w:sz="0" w:space="0" w:color="auto"/>
        <w:left w:val="none" w:sz="0" w:space="0" w:color="auto"/>
        <w:bottom w:val="none" w:sz="0" w:space="0" w:color="auto"/>
        <w:right w:val="none" w:sz="0" w:space="0" w:color="auto"/>
      </w:divBdr>
    </w:div>
    <w:div w:id="510218477">
      <w:bodyDiv w:val="1"/>
      <w:marLeft w:val="0"/>
      <w:marRight w:val="0"/>
      <w:marTop w:val="0"/>
      <w:marBottom w:val="0"/>
      <w:divBdr>
        <w:top w:val="none" w:sz="0" w:space="0" w:color="auto"/>
        <w:left w:val="none" w:sz="0" w:space="0" w:color="auto"/>
        <w:bottom w:val="none" w:sz="0" w:space="0" w:color="auto"/>
        <w:right w:val="none" w:sz="0" w:space="0" w:color="auto"/>
      </w:divBdr>
    </w:div>
    <w:div w:id="712072255">
      <w:bodyDiv w:val="1"/>
      <w:marLeft w:val="0"/>
      <w:marRight w:val="0"/>
      <w:marTop w:val="0"/>
      <w:marBottom w:val="0"/>
      <w:divBdr>
        <w:top w:val="none" w:sz="0" w:space="0" w:color="auto"/>
        <w:left w:val="none" w:sz="0" w:space="0" w:color="auto"/>
        <w:bottom w:val="none" w:sz="0" w:space="0" w:color="auto"/>
        <w:right w:val="none" w:sz="0" w:space="0" w:color="auto"/>
      </w:divBdr>
    </w:div>
    <w:div w:id="733242823">
      <w:bodyDiv w:val="1"/>
      <w:marLeft w:val="0"/>
      <w:marRight w:val="0"/>
      <w:marTop w:val="0"/>
      <w:marBottom w:val="0"/>
      <w:divBdr>
        <w:top w:val="none" w:sz="0" w:space="0" w:color="auto"/>
        <w:left w:val="none" w:sz="0" w:space="0" w:color="auto"/>
        <w:bottom w:val="none" w:sz="0" w:space="0" w:color="auto"/>
        <w:right w:val="none" w:sz="0" w:space="0" w:color="auto"/>
      </w:divBdr>
    </w:div>
    <w:div w:id="1063059696">
      <w:bodyDiv w:val="1"/>
      <w:marLeft w:val="0"/>
      <w:marRight w:val="0"/>
      <w:marTop w:val="0"/>
      <w:marBottom w:val="0"/>
      <w:divBdr>
        <w:top w:val="none" w:sz="0" w:space="0" w:color="auto"/>
        <w:left w:val="none" w:sz="0" w:space="0" w:color="auto"/>
        <w:bottom w:val="none" w:sz="0" w:space="0" w:color="auto"/>
        <w:right w:val="none" w:sz="0" w:space="0" w:color="auto"/>
      </w:divBdr>
    </w:div>
    <w:div w:id="1161702232">
      <w:bodyDiv w:val="1"/>
      <w:marLeft w:val="0"/>
      <w:marRight w:val="0"/>
      <w:marTop w:val="0"/>
      <w:marBottom w:val="0"/>
      <w:divBdr>
        <w:top w:val="none" w:sz="0" w:space="0" w:color="auto"/>
        <w:left w:val="none" w:sz="0" w:space="0" w:color="auto"/>
        <w:bottom w:val="none" w:sz="0" w:space="0" w:color="auto"/>
        <w:right w:val="none" w:sz="0" w:space="0" w:color="auto"/>
      </w:divBdr>
    </w:div>
    <w:div w:id="1203397599">
      <w:bodyDiv w:val="1"/>
      <w:marLeft w:val="0"/>
      <w:marRight w:val="0"/>
      <w:marTop w:val="0"/>
      <w:marBottom w:val="0"/>
      <w:divBdr>
        <w:top w:val="none" w:sz="0" w:space="0" w:color="auto"/>
        <w:left w:val="none" w:sz="0" w:space="0" w:color="auto"/>
        <w:bottom w:val="none" w:sz="0" w:space="0" w:color="auto"/>
        <w:right w:val="none" w:sz="0" w:space="0" w:color="auto"/>
      </w:divBdr>
    </w:div>
    <w:div w:id="1229654033">
      <w:bodyDiv w:val="1"/>
      <w:marLeft w:val="0"/>
      <w:marRight w:val="0"/>
      <w:marTop w:val="0"/>
      <w:marBottom w:val="0"/>
      <w:divBdr>
        <w:top w:val="none" w:sz="0" w:space="0" w:color="auto"/>
        <w:left w:val="none" w:sz="0" w:space="0" w:color="auto"/>
        <w:bottom w:val="none" w:sz="0" w:space="0" w:color="auto"/>
        <w:right w:val="none" w:sz="0" w:space="0" w:color="auto"/>
      </w:divBdr>
    </w:div>
    <w:div w:id="1245987926">
      <w:bodyDiv w:val="1"/>
      <w:marLeft w:val="0"/>
      <w:marRight w:val="0"/>
      <w:marTop w:val="0"/>
      <w:marBottom w:val="0"/>
      <w:divBdr>
        <w:top w:val="none" w:sz="0" w:space="0" w:color="auto"/>
        <w:left w:val="none" w:sz="0" w:space="0" w:color="auto"/>
        <w:bottom w:val="none" w:sz="0" w:space="0" w:color="auto"/>
        <w:right w:val="none" w:sz="0" w:space="0" w:color="auto"/>
      </w:divBdr>
    </w:div>
    <w:div w:id="1390417200">
      <w:bodyDiv w:val="1"/>
      <w:marLeft w:val="0"/>
      <w:marRight w:val="0"/>
      <w:marTop w:val="0"/>
      <w:marBottom w:val="0"/>
      <w:divBdr>
        <w:top w:val="none" w:sz="0" w:space="0" w:color="auto"/>
        <w:left w:val="none" w:sz="0" w:space="0" w:color="auto"/>
        <w:bottom w:val="none" w:sz="0" w:space="0" w:color="auto"/>
        <w:right w:val="none" w:sz="0" w:space="0" w:color="auto"/>
      </w:divBdr>
    </w:div>
    <w:div w:id="1624072715">
      <w:bodyDiv w:val="1"/>
      <w:marLeft w:val="0"/>
      <w:marRight w:val="0"/>
      <w:marTop w:val="0"/>
      <w:marBottom w:val="0"/>
      <w:divBdr>
        <w:top w:val="none" w:sz="0" w:space="0" w:color="auto"/>
        <w:left w:val="none" w:sz="0" w:space="0" w:color="auto"/>
        <w:bottom w:val="none" w:sz="0" w:space="0" w:color="auto"/>
        <w:right w:val="none" w:sz="0" w:space="0" w:color="auto"/>
      </w:divBdr>
    </w:div>
    <w:div w:id="1759909400">
      <w:bodyDiv w:val="1"/>
      <w:marLeft w:val="0"/>
      <w:marRight w:val="0"/>
      <w:marTop w:val="0"/>
      <w:marBottom w:val="0"/>
      <w:divBdr>
        <w:top w:val="none" w:sz="0" w:space="0" w:color="auto"/>
        <w:left w:val="none" w:sz="0" w:space="0" w:color="auto"/>
        <w:bottom w:val="none" w:sz="0" w:space="0" w:color="auto"/>
        <w:right w:val="none" w:sz="0" w:space="0" w:color="auto"/>
      </w:divBdr>
    </w:div>
    <w:div w:id="1902060684">
      <w:bodyDiv w:val="1"/>
      <w:marLeft w:val="0"/>
      <w:marRight w:val="0"/>
      <w:marTop w:val="0"/>
      <w:marBottom w:val="0"/>
      <w:divBdr>
        <w:top w:val="none" w:sz="0" w:space="0" w:color="auto"/>
        <w:left w:val="none" w:sz="0" w:space="0" w:color="auto"/>
        <w:bottom w:val="none" w:sz="0" w:space="0" w:color="auto"/>
        <w:right w:val="none" w:sz="0" w:space="0" w:color="auto"/>
      </w:divBdr>
    </w:div>
    <w:div w:id="199671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hyperlink" Target="https://www.tga.gov.au/product-information-pi" TargetMode="External"/><Relationship Id="rId18" Type="http://schemas.openxmlformats.org/officeDocument/2006/relationships/image" Target="media/image6.emf"/><Relationship Id="rId26" Type="http://schemas.openxmlformats.org/officeDocument/2006/relationships/hyperlink" Target="https://www.tga.gov.au/product-information-pi"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hyperlink" Target="https://www.tga.gov.au" TargetMode="Externa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header" Target="header3.xml"/><Relationship Id="rId30" Type="http://schemas.openxmlformats.org/officeDocument/2006/relationships/hyperlink" Target="mailto:info@tga.gov.au"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committee/advisory-committee-medicines-ac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13892\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UpT201</b:Tag>
    <b:SourceType>DocumentFromInternetSite</b:SourceType>
    <b:Guid>{303359F3-C11D-49E1-8A48-DED00AE376D4}</b:Guid>
    <b:Author>
      <b:Author>
        <b:NameList>
          <b:Person>
            <b:Last>UpToDate</b:Last>
          </b:Person>
        </b:NameList>
      </b:Author>
    </b:Author>
    <b:Title>Overview of acute myeloid leukaemia in adults</b:Title>
    <b:Year>2020</b:Year>
    <b:Month>January</b:Month>
    <b:Day>29</b:Day>
    <b:YearAccessed>2020</b:YearAccessed>
    <b:MonthAccessed>September</b:MonthAccessed>
    <b:DayAccessed>23</b:DayAccessed>
    <b:URL>https://www.uptodate.com/contents/overview-of-acute-myeloid-leukemia-in-adults?search=AML%20adult&amp;source=search_result&amp;selectedTitle=1~150&amp;usage_type=default&amp;display_rank=1</b:URL>
    <b:RefOrder>1</b:RefOrder>
  </b:Source>
</b:Sources>
</file>

<file path=customXml/itemProps1.xml><?xml version="1.0" encoding="utf-8"?>
<ds:datastoreItem xmlns:ds="http://schemas.openxmlformats.org/officeDocument/2006/customXml" ds:itemID="{75FEF989-896D-43A6-B392-05CFBAF01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27</TotalTime>
  <Pages>42</Pages>
  <Words>11670</Words>
  <Characters>66521</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Company>
  <LinksUpToDate>false</LinksUpToDate>
  <CharactersWithSpaces>78035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Venetoclax</dc:title>
  <dc:subject>prescription medicine regulation</dc:subject>
  <dc:creator>Therapeutic Goods Administration</dc:creator>
  <cp:keywords/>
  <cp:lastModifiedBy>KOLARIK-OREILLY, Kristy</cp:lastModifiedBy>
  <cp:revision>7</cp:revision>
  <cp:lastPrinted>2019-08-14T04:30:00Z</cp:lastPrinted>
  <dcterms:created xsi:type="dcterms:W3CDTF">2022-04-19T23:44:00Z</dcterms:created>
  <dcterms:modified xsi:type="dcterms:W3CDTF">2022-04-26T05:37:00Z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odule">
    <vt:lpwstr>3aec1aaf-cc31-41b3-b7ac-83e3def74dd5</vt:lpwstr>
  </property>
</Properties>
</file>