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76" w:rsidRDefault="00EF6A76" w:rsidP="00CC23B5">
      <w:pPr>
        <w:spacing w:after="0"/>
        <w:jc w:val="center"/>
        <w:rPr>
          <w:rFonts w:ascii="Arial" w:hAnsi="Arial" w:cs="Arial"/>
          <w:b/>
          <w:sz w:val="24"/>
          <w:szCs w:val="24"/>
        </w:rPr>
      </w:pPr>
      <w:bookmarkStart w:id="0" w:name="_GoBack"/>
      <w:bookmarkEnd w:id="0"/>
      <w:r w:rsidRPr="00CC23B5">
        <w:rPr>
          <w:rFonts w:ascii="Arial" w:hAnsi="Arial" w:cs="Arial"/>
          <w:b/>
          <w:sz w:val="24"/>
          <w:szCs w:val="24"/>
        </w:rPr>
        <w:t>PRODUCT INFORMATION</w:t>
      </w:r>
    </w:p>
    <w:p w:rsidR="00EF6A76" w:rsidRDefault="00EF6A76" w:rsidP="00CC23B5">
      <w:pPr>
        <w:spacing w:after="0"/>
        <w:jc w:val="center"/>
        <w:rPr>
          <w:rFonts w:ascii="Arial" w:hAnsi="Arial" w:cs="Arial"/>
          <w:b/>
          <w:sz w:val="24"/>
          <w:szCs w:val="24"/>
        </w:rPr>
      </w:pPr>
    </w:p>
    <w:p w:rsidR="00EF6A76" w:rsidRDefault="00EF6A76" w:rsidP="00CC23B5">
      <w:pPr>
        <w:spacing w:after="0"/>
        <w:jc w:val="center"/>
        <w:rPr>
          <w:rFonts w:ascii="Arial" w:hAnsi="Arial" w:cs="Arial"/>
          <w:b/>
          <w:sz w:val="24"/>
          <w:szCs w:val="24"/>
          <w:u w:val="single"/>
        </w:rPr>
      </w:pPr>
      <w:r>
        <w:rPr>
          <w:rFonts w:ascii="Arial" w:hAnsi="Arial" w:cs="Arial"/>
          <w:b/>
          <w:sz w:val="24"/>
          <w:szCs w:val="24"/>
          <w:u w:val="single"/>
        </w:rPr>
        <w:t>NAVELBINE</w:t>
      </w:r>
      <w:r w:rsidRPr="001D591A">
        <w:rPr>
          <w:rFonts w:ascii="Arial" w:hAnsi="Arial" w:cs="Arial"/>
          <w:b/>
          <w:sz w:val="24"/>
          <w:szCs w:val="24"/>
          <w:u w:val="single"/>
          <w:vertAlign w:val="superscript"/>
        </w:rPr>
        <w:t>®</w:t>
      </w:r>
      <w:r>
        <w:rPr>
          <w:rFonts w:ascii="Arial" w:hAnsi="Arial" w:cs="Arial"/>
          <w:b/>
          <w:sz w:val="24"/>
          <w:szCs w:val="24"/>
          <w:u w:val="single"/>
        </w:rPr>
        <w:t xml:space="preserve"> ORAL</w:t>
      </w:r>
    </w:p>
    <w:p w:rsidR="00EF6A76" w:rsidRDefault="00EF6A76" w:rsidP="00CC23B5">
      <w:pPr>
        <w:spacing w:after="0"/>
        <w:jc w:val="center"/>
        <w:rPr>
          <w:rFonts w:ascii="Arial" w:hAnsi="Arial" w:cs="Arial"/>
          <w:b/>
          <w:sz w:val="24"/>
          <w:szCs w:val="24"/>
          <w:u w:val="single"/>
        </w:rPr>
      </w:pPr>
      <w:r>
        <w:rPr>
          <w:rFonts w:ascii="Arial" w:hAnsi="Arial" w:cs="Arial"/>
          <w:b/>
          <w:sz w:val="24"/>
          <w:szCs w:val="24"/>
          <w:u w:val="single"/>
        </w:rPr>
        <w:t>20, 30, 40, 80 mg Soft Capsules</w:t>
      </w:r>
    </w:p>
    <w:p w:rsidR="00EF6A76" w:rsidRDefault="00EF6A76" w:rsidP="00CC23B5">
      <w:pPr>
        <w:spacing w:after="0"/>
        <w:rPr>
          <w:rFonts w:ascii="Arial" w:hAnsi="Arial" w:cs="Arial"/>
          <w:b/>
          <w:sz w:val="24"/>
          <w:szCs w:val="24"/>
        </w:rPr>
      </w:pPr>
    </w:p>
    <w:p w:rsidR="00EF6A76" w:rsidRDefault="00EF6A76" w:rsidP="00CC23B5">
      <w:pPr>
        <w:spacing w:after="0"/>
        <w:rPr>
          <w:rFonts w:ascii="Arial" w:hAnsi="Arial" w:cs="Arial"/>
          <w:b/>
          <w:sz w:val="24"/>
          <w:szCs w:val="24"/>
        </w:rPr>
      </w:pPr>
      <w:r w:rsidRPr="00CC23B5">
        <w:rPr>
          <w:rFonts w:ascii="Arial" w:hAnsi="Arial" w:cs="Arial"/>
          <w:b/>
          <w:sz w:val="24"/>
          <w:szCs w:val="24"/>
        </w:rPr>
        <w:t xml:space="preserve">NAME OF THE </w:t>
      </w:r>
      <w:r w:rsidRPr="00032BCA">
        <w:rPr>
          <w:rFonts w:ascii="Arial" w:hAnsi="Arial" w:cs="Arial"/>
          <w:b/>
          <w:sz w:val="24"/>
          <w:szCs w:val="24"/>
        </w:rPr>
        <w:t>MEDICINE</w:t>
      </w:r>
    </w:p>
    <w:p w:rsidR="00EF6A76" w:rsidRDefault="00EF6A76" w:rsidP="00CC23B5">
      <w:pPr>
        <w:spacing w:after="0"/>
        <w:rPr>
          <w:rFonts w:ascii="Arial" w:hAnsi="Arial" w:cs="Arial"/>
          <w:b/>
          <w:sz w:val="24"/>
          <w:szCs w:val="24"/>
        </w:rPr>
      </w:pPr>
    </w:p>
    <w:p w:rsidR="00EF6A76" w:rsidRDefault="00EF6A76" w:rsidP="00CC23B5">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p>
    <w:p w:rsidR="00EF6A76" w:rsidRDefault="00EF6A76" w:rsidP="00CC23B5">
      <w:pPr>
        <w:spacing w:after="0"/>
        <w:rPr>
          <w:rFonts w:ascii="Arial" w:hAnsi="Arial" w:cs="Arial"/>
          <w:sz w:val="24"/>
          <w:szCs w:val="24"/>
        </w:rPr>
      </w:pPr>
    </w:p>
    <w:p w:rsidR="00EF6A76" w:rsidRDefault="007F4B69" w:rsidP="00CC23B5">
      <w:pPr>
        <w:spacing w:after="0"/>
        <w:rPr>
          <w:rFonts w:ascii="Arial" w:hAnsi="Arial" w:cs="Arial"/>
          <w:sz w:val="24"/>
          <w:szCs w:val="24"/>
        </w:rPr>
      </w:pPr>
      <w:r>
        <w:rPr>
          <w:rFonts w:ascii="Arial" w:hAnsi="Arial" w:cs="Arial"/>
          <w:noProof/>
          <w:sz w:val="24"/>
          <w:szCs w:val="24"/>
          <w:lang w:eastAsia="en-AU"/>
        </w:rPr>
        <w:drawing>
          <wp:inline distT="0" distB="0" distL="0" distR="0">
            <wp:extent cx="419100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0" cy="1847850"/>
                    </a:xfrm>
                    <a:prstGeom prst="rect">
                      <a:avLst/>
                    </a:prstGeom>
                    <a:noFill/>
                    <a:ln>
                      <a:noFill/>
                    </a:ln>
                  </pic:spPr>
                </pic:pic>
              </a:graphicData>
            </a:graphic>
          </wp:inline>
        </w:drawing>
      </w:r>
    </w:p>
    <w:p w:rsidR="00EF6A76" w:rsidRDefault="00EF6A76" w:rsidP="00CC23B5">
      <w:pPr>
        <w:spacing w:after="0"/>
        <w:rPr>
          <w:rFonts w:ascii="Arial" w:hAnsi="Arial" w:cs="Arial"/>
          <w:sz w:val="24"/>
          <w:szCs w:val="24"/>
        </w:rPr>
      </w:pPr>
    </w:p>
    <w:p w:rsidR="00EF6A76" w:rsidRDefault="00EF6A76" w:rsidP="00CC23B5">
      <w:pPr>
        <w:spacing w:after="0"/>
        <w:rPr>
          <w:rFonts w:ascii="Arial" w:hAnsi="Arial" w:cs="Arial"/>
          <w:sz w:val="24"/>
          <w:szCs w:val="24"/>
        </w:rPr>
      </w:pPr>
      <w:r>
        <w:rPr>
          <w:rFonts w:ascii="Arial" w:hAnsi="Arial" w:cs="Arial"/>
          <w:sz w:val="24"/>
          <w:szCs w:val="24"/>
        </w:rPr>
        <w:t>CAS number: 125317-39-7</w:t>
      </w:r>
    </w:p>
    <w:p w:rsidR="00EF6A76" w:rsidRDefault="00EF6A76" w:rsidP="00CC23B5">
      <w:pPr>
        <w:spacing w:after="0"/>
        <w:rPr>
          <w:rFonts w:ascii="Arial" w:hAnsi="Arial" w:cs="Arial"/>
          <w:sz w:val="24"/>
          <w:szCs w:val="24"/>
        </w:rPr>
      </w:pPr>
    </w:p>
    <w:p w:rsidR="00EF6A76" w:rsidRPr="0014201F" w:rsidRDefault="00EF6A76" w:rsidP="00CC23B5">
      <w:pPr>
        <w:spacing w:after="0"/>
        <w:rPr>
          <w:rFonts w:ascii="Arial" w:hAnsi="Arial" w:cs="Arial"/>
          <w:b/>
          <w:sz w:val="24"/>
          <w:szCs w:val="24"/>
        </w:rPr>
      </w:pPr>
      <w:r w:rsidRPr="0014201F">
        <w:rPr>
          <w:rFonts w:ascii="Arial" w:hAnsi="Arial" w:cs="Arial"/>
          <w:b/>
          <w:sz w:val="24"/>
          <w:szCs w:val="24"/>
        </w:rPr>
        <w:t>DESCRIPTION</w:t>
      </w:r>
    </w:p>
    <w:p w:rsidR="00EF6A76" w:rsidRDefault="00EF6A76" w:rsidP="00CC23B5">
      <w:pPr>
        <w:spacing w:after="0"/>
        <w:rPr>
          <w:rFonts w:ascii="Arial" w:hAnsi="Arial" w:cs="Arial"/>
          <w:sz w:val="24"/>
          <w:szCs w:val="24"/>
        </w:rPr>
      </w:pPr>
    </w:p>
    <w:p w:rsidR="00EF6A76" w:rsidRDefault="00EF6A76" w:rsidP="00633F45">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is a semi-synthetic </w:t>
      </w:r>
      <w:proofErr w:type="spellStart"/>
      <w:r>
        <w:rPr>
          <w:rFonts w:ascii="Arial" w:hAnsi="Arial" w:cs="Arial"/>
          <w:sz w:val="24"/>
          <w:szCs w:val="24"/>
        </w:rPr>
        <w:t>vinca</w:t>
      </w:r>
      <w:proofErr w:type="spellEnd"/>
      <w:r>
        <w:rPr>
          <w:rFonts w:ascii="Arial" w:hAnsi="Arial" w:cs="Arial"/>
          <w:sz w:val="24"/>
          <w:szCs w:val="24"/>
        </w:rPr>
        <w:t xml:space="preserve"> alkaloid with antitumor activity.  The chemical name is 3’,4’-didehydro-4’-deoxy-C’-norvincaleukoblastine [R-(R*,R*) – 2,3 </w:t>
      </w:r>
      <w:proofErr w:type="spellStart"/>
      <w:r>
        <w:rPr>
          <w:rFonts w:ascii="Arial" w:hAnsi="Arial" w:cs="Arial"/>
          <w:sz w:val="24"/>
          <w:szCs w:val="24"/>
        </w:rPr>
        <w:t>dihydroxybutanedioate</w:t>
      </w:r>
      <w:proofErr w:type="spellEnd"/>
      <w:r>
        <w:rPr>
          <w:rFonts w:ascii="Arial" w:hAnsi="Arial" w:cs="Arial"/>
          <w:sz w:val="24"/>
          <w:szCs w:val="24"/>
        </w:rPr>
        <w:t xml:space="preserve"> (1:2) (salt)].  </w:t>
      </w: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is a white to yellow or light brown amorphous powder with the molecular formula C</w:t>
      </w:r>
      <w:r>
        <w:rPr>
          <w:rFonts w:ascii="Arial" w:hAnsi="Arial" w:cs="Arial"/>
          <w:sz w:val="24"/>
          <w:szCs w:val="24"/>
          <w:vertAlign w:val="subscript"/>
        </w:rPr>
        <w:t>4</w:t>
      </w:r>
      <w:r w:rsidRPr="0074564F">
        <w:rPr>
          <w:rFonts w:ascii="Arial" w:hAnsi="Arial" w:cs="Arial"/>
          <w:sz w:val="24"/>
          <w:szCs w:val="24"/>
          <w:vertAlign w:val="subscript"/>
        </w:rPr>
        <w:t>5</w:t>
      </w:r>
      <w:r>
        <w:rPr>
          <w:rFonts w:ascii="Arial" w:hAnsi="Arial" w:cs="Arial"/>
          <w:sz w:val="24"/>
          <w:szCs w:val="24"/>
        </w:rPr>
        <w:t>H</w:t>
      </w:r>
      <w:r>
        <w:rPr>
          <w:rFonts w:ascii="Arial" w:hAnsi="Arial" w:cs="Arial"/>
          <w:sz w:val="24"/>
          <w:szCs w:val="24"/>
          <w:vertAlign w:val="subscript"/>
        </w:rPr>
        <w:t>54</w:t>
      </w:r>
      <w:r>
        <w:rPr>
          <w:rFonts w:ascii="Arial" w:hAnsi="Arial" w:cs="Arial"/>
          <w:sz w:val="24"/>
          <w:szCs w:val="24"/>
        </w:rPr>
        <w:t>N</w:t>
      </w:r>
      <w:r>
        <w:rPr>
          <w:rFonts w:ascii="Arial" w:hAnsi="Arial" w:cs="Arial"/>
          <w:sz w:val="24"/>
          <w:szCs w:val="24"/>
          <w:vertAlign w:val="subscript"/>
        </w:rPr>
        <w:t>4</w:t>
      </w:r>
      <w:r>
        <w:rPr>
          <w:rFonts w:ascii="Arial" w:hAnsi="Arial" w:cs="Arial"/>
          <w:sz w:val="24"/>
          <w:szCs w:val="24"/>
        </w:rPr>
        <w:t>O</w:t>
      </w:r>
      <w:r w:rsidRPr="00B54D98">
        <w:rPr>
          <w:rFonts w:ascii="Arial" w:hAnsi="Arial" w:cs="Arial"/>
          <w:sz w:val="24"/>
          <w:szCs w:val="24"/>
          <w:vertAlign w:val="subscript"/>
        </w:rPr>
        <w:t>8</w:t>
      </w:r>
      <w:r w:rsidR="002F1BD0">
        <w:rPr>
          <w:rFonts w:ascii="Arial" w:hAnsi="Arial" w:cs="Arial"/>
          <w:sz w:val="24"/>
          <w:szCs w:val="24"/>
          <w:vertAlign w:val="subscript"/>
        </w:rPr>
        <w:t xml:space="preserve"> </w:t>
      </w:r>
      <w:r>
        <w:rPr>
          <w:rFonts w:ascii="Arial" w:hAnsi="Arial" w:cs="Arial"/>
          <w:sz w:val="24"/>
          <w:szCs w:val="24"/>
        </w:rPr>
        <w:t>.</w:t>
      </w:r>
      <w:r w:rsidR="002F1BD0">
        <w:rPr>
          <w:rFonts w:ascii="Arial" w:hAnsi="Arial" w:cs="Arial"/>
          <w:sz w:val="24"/>
          <w:szCs w:val="24"/>
        </w:rPr>
        <w:t xml:space="preserve"> </w:t>
      </w:r>
      <w:r>
        <w:rPr>
          <w:rFonts w:ascii="Arial" w:hAnsi="Arial" w:cs="Arial"/>
          <w:sz w:val="24"/>
          <w:szCs w:val="24"/>
        </w:rPr>
        <w:t>2C</w:t>
      </w:r>
      <w:r w:rsidRPr="00B54D98">
        <w:rPr>
          <w:rFonts w:ascii="Arial" w:hAnsi="Arial" w:cs="Arial"/>
          <w:sz w:val="24"/>
          <w:szCs w:val="24"/>
          <w:vertAlign w:val="subscript"/>
        </w:rPr>
        <w:t>4</w:t>
      </w:r>
      <w:r>
        <w:rPr>
          <w:rFonts w:ascii="Arial" w:hAnsi="Arial" w:cs="Arial"/>
          <w:sz w:val="24"/>
          <w:szCs w:val="24"/>
        </w:rPr>
        <w:t>H</w:t>
      </w:r>
      <w:r w:rsidRPr="00B54D98">
        <w:rPr>
          <w:rFonts w:ascii="Arial" w:hAnsi="Arial" w:cs="Arial"/>
          <w:sz w:val="24"/>
          <w:szCs w:val="24"/>
          <w:vertAlign w:val="subscript"/>
        </w:rPr>
        <w:t>6</w:t>
      </w:r>
      <w:r>
        <w:rPr>
          <w:rFonts w:ascii="Arial" w:hAnsi="Arial" w:cs="Arial"/>
          <w:sz w:val="24"/>
          <w:szCs w:val="24"/>
        </w:rPr>
        <w:t>O</w:t>
      </w:r>
      <w:r w:rsidRPr="00B54D98">
        <w:rPr>
          <w:rFonts w:ascii="Arial" w:hAnsi="Arial" w:cs="Arial"/>
          <w:sz w:val="24"/>
          <w:szCs w:val="24"/>
          <w:vertAlign w:val="subscript"/>
        </w:rPr>
        <w:t>6</w:t>
      </w:r>
      <w:r>
        <w:rPr>
          <w:rFonts w:ascii="Arial" w:hAnsi="Arial" w:cs="Arial"/>
          <w:sz w:val="24"/>
          <w:szCs w:val="24"/>
        </w:rPr>
        <w:t xml:space="preserve"> and </w:t>
      </w:r>
      <w:r w:rsidRPr="00032BCA">
        <w:rPr>
          <w:rFonts w:ascii="Arial" w:hAnsi="Arial" w:cs="Arial"/>
          <w:sz w:val="24"/>
          <w:szCs w:val="24"/>
        </w:rPr>
        <w:t>a</w:t>
      </w:r>
      <w:r>
        <w:rPr>
          <w:rFonts w:ascii="Arial" w:hAnsi="Arial" w:cs="Arial"/>
          <w:sz w:val="24"/>
          <w:szCs w:val="24"/>
        </w:rPr>
        <w:t xml:space="preserve"> molecular weight of 1079.12.  The aqueous solubility is &gt; 1000 mg/</w:t>
      </w:r>
      <w:proofErr w:type="spellStart"/>
      <w:r>
        <w:rPr>
          <w:rFonts w:ascii="Arial" w:hAnsi="Arial" w:cs="Arial"/>
          <w:sz w:val="24"/>
          <w:szCs w:val="24"/>
        </w:rPr>
        <w:t>mL</w:t>
      </w:r>
      <w:proofErr w:type="spellEnd"/>
      <w:r>
        <w:rPr>
          <w:rFonts w:ascii="Arial" w:hAnsi="Arial" w:cs="Arial"/>
          <w:sz w:val="24"/>
          <w:szCs w:val="24"/>
        </w:rPr>
        <w:t xml:space="preserve"> in distilled water. </w:t>
      </w:r>
    </w:p>
    <w:p w:rsidR="00EF6A76" w:rsidRDefault="00EF6A76" w:rsidP="00633F45">
      <w:pPr>
        <w:spacing w:after="0"/>
        <w:rPr>
          <w:rFonts w:ascii="Arial" w:hAnsi="Arial" w:cs="Arial"/>
          <w:sz w:val="24"/>
          <w:szCs w:val="24"/>
        </w:rPr>
      </w:pPr>
    </w:p>
    <w:p w:rsidR="00EF6A76" w:rsidRDefault="00EF6A76" w:rsidP="00497FD9">
      <w:pPr>
        <w:spacing w:after="0"/>
        <w:rPr>
          <w:rFonts w:ascii="Arial" w:hAnsi="Arial" w:cs="Arial"/>
          <w:sz w:val="24"/>
          <w:szCs w:val="24"/>
        </w:rPr>
      </w:pPr>
      <w:r>
        <w:rPr>
          <w:rFonts w:ascii="Arial" w:hAnsi="Arial" w:cs="Arial"/>
          <w:sz w:val="24"/>
          <w:szCs w:val="24"/>
        </w:rPr>
        <w:t>NAVELBINE</w:t>
      </w:r>
      <w:r w:rsidRPr="00B54D98">
        <w:rPr>
          <w:rFonts w:ascii="Arial" w:hAnsi="Arial" w:cs="Arial"/>
          <w:sz w:val="24"/>
          <w:szCs w:val="24"/>
          <w:vertAlign w:val="superscript"/>
        </w:rPr>
        <w:t>®</w:t>
      </w:r>
      <w:r>
        <w:rPr>
          <w:rFonts w:ascii="Arial" w:hAnsi="Arial" w:cs="Arial"/>
          <w:sz w:val="24"/>
          <w:szCs w:val="24"/>
        </w:rPr>
        <w:t xml:space="preserve"> Oral  also contains the following </w:t>
      </w:r>
      <w:proofErr w:type="spellStart"/>
      <w:r>
        <w:rPr>
          <w:rFonts w:ascii="Arial" w:hAnsi="Arial" w:cs="Arial"/>
          <w:sz w:val="24"/>
          <w:szCs w:val="24"/>
        </w:rPr>
        <w:t>excipients</w:t>
      </w:r>
      <w:proofErr w:type="spellEnd"/>
      <w:r>
        <w:rPr>
          <w:rFonts w:ascii="Arial" w:hAnsi="Arial" w:cs="Arial"/>
          <w:sz w:val="24"/>
          <w:szCs w:val="24"/>
        </w:rPr>
        <w:t xml:space="preserve">: ethanol, water-purified, glycerol, </w:t>
      </w:r>
      <w:proofErr w:type="spellStart"/>
      <w:r>
        <w:rPr>
          <w:rFonts w:ascii="Arial" w:hAnsi="Arial" w:cs="Arial"/>
          <w:sz w:val="24"/>
          <w:szCs w:val="24"/>
        </w:rPr>
        <w:t>macrogol</w:t>
      </w:r>
      <w:proofErr w:type="spellEnd"/>
      <w:r>
        <w:rPr>
          <w:rFonts w:ascii="Arial" w:hAnsi="Arial" w:cs="Arial"/>
          <w:sz w:val="24"/>
          <w:szCs w:val="24"/>
        </w:rPr>
        <w:t xml:space="preserve"> 400, </w:t>
      </w:r>
      <w:proofErr w:type="spellStart"/>
      <w:r>
        <w:rPr>
          <w:rFonts w:ascii="Arial" w:hAnsi="Arial" w:cs="Arial"/>
          <w:sz w:val="24"/>
          <w:szCs w:val="24"/>
        </w:rPr>
        <w:t>gelatin</w:t>
      </w:r>
      <w:proofErr w:type="spellEnd"/>
      <w:r>
        <w:rPr>
          <w:rFonts w:ascii="Arial" w:hAnsi="Arial" w:cs="Arial"/>
          <w:sz w:val="24"/>
          <w:szCs w:val="24"/>
        </w:rPr>
        <w:t xml:space="preserve">, </w:t>
      </w:r>
      <w:proofErr w:type="spellStart"/>
      <w:r>
        <w:rPr>
          <w:rFonts w:ascii="Arial" w:hAnsi="Arial" w:cs="Arial"/>
          <w:sz w:val="24"/>
          <w:szCs w:val="24"/>
        </w:rPr>
        <w:t>sorbitol</w:t>
      </w:r>
      <w:proofErr w:type="spellEnd"/>
      <w:r>
        <w:rPr>
          <w:rFonts w:ascii="Arial" w:hAnsi="Arial" w:cs="Arial"/>
          <w:sz w:val="24"/>
          <w:szCs w:val="24"/>
        </w:rPr>
        <w:t xml:space="preserve">, </w:t>
      </w:r>
      <w:proofErr w:type="spellStart"/>
      <w:r>
        <w:rPr>
          <w:rFonts w:ascii="Arial" w:hAnsi="Arial" w:cs="Arial"/>
          <w:sz w:val="24"/>
          <w:szCs w:val="24"/>
        </w:rPr>
        <w:t>sorbitan</w:t>
      </w:r>
      <w:proofErr w:type="spellEnd"/>
      <w:r>
        <w:rPr>
          <w:rFonts w:ascii="Arial" w:hAnsi="Arial" w:cs="Arial"/>
          <w:sz w:val="24"/>
          <w:szCs w:val="24"/>
        </w:rPr>
        <w:t xml:space="preserve">, medium-chain triglycerides, </w:t>
      </w:r>
      <w:proofErr w:type="spellStart"/>
      <w:r>
        <w:rPr>
          <w:rFonts w:ascii="Arial" w:hAnsi="Arial" w:cs="Arial"/>
          <w:sz w:val="24"/>
          <w:szCs w:val="24"/>
        </w:rPr>
        <w:t>phosphatidyl</w:t>
      </w:r>
      <w:proofErr w:type="spellEnd"/>
      <w:r>
        <w:rPr>
          <w:rFonts w:ascii="Arial" w:hAnsi="Arial" w:cs="Arial"/>
          <w:sz w:val="24"/>
          <w:szCs w:val="24"/>
        </w:rPr>
        <w:t xml:space="preserve"> </w:t>
      </w:r>
      <w:proofErr w:type="spellStart"/>
      <w:r>
        <w:rPr>
          <w:rFonts w:ascii="Arial" w:hAnsi="Arial" w:cs="Arial"/>
          <w:sz w:val="24"/>
          <w:szCs w:val="24"/>
        </w:rPr>
        <w:t>choline</w:t>
      </w:r>
      <w:proofErr w:type="spellEnd"/>
      <w:r>
        <w:rPr>
          <w:rFonts w:ascii="Arial" w:hAnsi="Arial" w:cs="Arial"/>
          <w:sz w:val="24"/>
          <w:szCs w:val="24"/>
        </w:rPr>
        <w:t xml:space="preserve">, </w:t>
      </w:r>
      <w:proofErr w:type="spellStart"/>
      <w:r>
        <w:rPr>
          <w:rFonts w:ascii="Arial" w:hAnsi="Arial" w:cs="Arial"/>
          <w:sz w:val="24"/>
          <w:szCs w:val="24"/>
        </w:rPr>
        <w:t>glycerides</w:t>
      </w:r>
      <w:proofErr w:type="spellEnd"/>
      <w:r>
        <w:rPr>
          <w:rFonts w:ascii="Arial" w:hAnsi="Arial" w:cs="Arial"/>
          <w:sz w:val="24"/>
          <w:szCs w:val="24"/>
        </w:rPr>
        <w:t xml:space="preserve">, </w:t>
      </w:r>
      <w:proofErr w:type="spellStart"/>
      <w:r>
        <w:rPr>
          <w:rFonts w:ascii="Arial" w:hAnsi="Arial" w:cs="Arial"/>
          <w:sz w:val="24"/>
          <w:szCs w:val="24"/>
        </w:rPr>
        <w:t>hypromellose</w:t>
      </w:r>
      <w:proofErr w:type="spellEnd"/>
      <w:r>
        <w:rPr>
          <w:rFonts w:ascii="Arial" w:hAnsi="Arial" w:cs="Arial"/>
          <w:sz w:val="24"/>
          <w:szCs w:val="24"/>
        </w:rPr>
        <w:t xml:space="preserve">, propylene glycol, edible printing ink E120, titanium dioxide, iron oxide yellow CI77492 and/or iron oxide red CI77491.  </w:t>
      </w:r>
    </w:p>
    <w:p w:rsidR="00EF6A76" w:rsidRDefault="00EF6A76" w:rsidP="00497FD9">
      <w:pPr>
        <w:spacing w:after="0"/>
        <w:rPr>
          <w:rFonts w:ascii="Arial" w:hAnsi="Arial" w:cs="Arial"/>
          <w:sz w:val="24"/>
          <w:szCs w:val="24"/>
        </w:rPr>
      </w:pPr>
    </w:p>
    <w:p w:rsidR="00EF6A76" w:rsidRDefault="00EF6A76" w:rsidP="003F3B46">
      <w:pPr>
        <w:spacing w:after="0"/>
        <w:rPr>
          <w:rFonts w:ascii="Arial" w:hAnsi="Arial" w:cs="Arial"/>
          <w:sz w:val="24"/>
          <w:szCs w:val="24"/>
        </w:rPr>
      </w:pPr>
      <w:r>
        <w:rPr>
          <w:rFonts w:ascii="Arial" w:hAnsi="Arial" w:cs="Arial"/>
          <w:b/>
          <w:sz w:val="24"/>
          <w:szCs w:val="24"/>
        </w:rPr>
        <w:t>PHARMACOLOGY</w:t>
      </w:r>
    </w:p>
    <w:p w:rsidR="00EF6A76" w:rsidRDefault="00EF6A76" w:rsidP="003F3B46">
      <w:pPr>
        <w:spacing w:after="0"/>
        <w:rPr>
          <w:rFonts w:ascii="Arial" w:hAnsi="Arial" w:cs="Arial"/>
          <w:sz w:val="24"/>
          <w:szCs w:val="24"/>
        </w:rPr>
      </w:pPr>
    </w:p>
    <w:p w:rsidR="00EF6A76" w:rsidRPr="003323BD" w:rsidRDefault="00EF6A76" w:rsidP="003F3B46">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is an </w:t>
      </w:r>
      <w:proofErr w:type="spellStart"/>
      <w:r>
        <w:rPr>
          <w:rFonts w:ascii="Arial" w:hAnsi="Arial" w:cs="Arial"/>
          <w:sz w:val="24"/>
          <w:szCs w:val="24"/>
        </w:rPr>
        <w:t>antineoplastic</w:t>
      </w:r>
      <w:proofErr w:type="spellEnd"/>
      <w:r>
        <w:rPr>
          <w:rFonts w:ascii="Arial" w:hAnsi="Arial" w:cs="Arial"/>
          <w:sz w:val="24"/>
          <w:szCs w:val="24"/>
        </w:rPr>
        <w:t xml:space="preserve"> drug.  It is a semi-synthetic member of the </w:t>
      </w:r>
      <w:proofErr w:type="spellStart"/>
      <w:r>
        <w:rPr>
          <w:rFonts w:ascii="Arial" w:hAnsi="Arial" w:cs="Arial"/>
          <w:sz w:val="24"/>
          <w:szCs w:val="24"/>
        </w:rPr>
        <w:t>vinca</w:t>
      </w:r>
      <w:proofErr w:type="spellEnd"/>
      <w:r>
        <w:rPr>
          <w:rFonts w:ascii="Arial" w:hAnsi="Arial" w:cs="Arial"/>
          <w:sz w:val="24"/>
          <w:szCs w:val="24"/>
        </w:rPr>
        <w:t xml:space="preserve"> alkaloid family that interferes with microtubule assembly.  The </w:t>
      </w:r>
      <w:proofErr w:type="spellStart"/>
      <w:r>
        <w:rPr>
          <w:rFonts w:ascii="Arial" w:hAnsi="Arial" w:cs="Arial"/>
          <w:sz w:val="24"/>
          <w:szCs w:val="24"/>
        </w:rPr>
        <w:t>vinca</w:t>
      </w:r>
      <w:proofErr w:type="spellEnd"/>
      <w:r>
        <w:rPr>
          <w:rFonts w:ascii="Arial" w:hAnsi="Arial" w:cs="Arial"/>
          <w:sz w:val="24"/>
          <w:szCs w:val="24"/>
        </w:rPr>
        <w:t xml:space="preserve"> alkaloids are structurally similar compounds comprised of two </w:t>
      </w:r>
      <w:proofErr w:type="spellStart"/>
      <w:r>
        <w:rPr>
          <w:rFonts w:ascii="Arial" w:hAnsi="Arial" w:cs="Arial"/>
          <w:sz w:val="24"/>
          <w:szCs w:val="24"/>
        </w:rPr>
        <w:t>multiringed</w:t>
      </w:r>
      <w:proofErr w:type="spellEnd"/>
      <w:r>
        <w:rPr>
          <w:rFonts w:ascii="Arial" w:hAnsi="Arial" w:cs="Arial"/>
          <w:sz w:val="24"/>
          <w:szCs w:val="24"/>
        </w:rPr>
        <w:t xml:space="preserve"> units, </w:t>
      </w:r>
      <w:proofErr w:type="spellStart"/>
      <w:r>
        <w:rPr>
          <w:rFonts w:ascii="Arial" w:hAnsi="Arial" w:cs="Arial"/>
          <w:sz w:val="24"/>
          <w:szCs w:val="24"/>
        </w:rPr>
        <w:t>vindoline</w:t>
      </w:r>
      <w:proofErr w:type="spellEnd"/>
      <w:r>
        <w:rPr>
          <w:rFonts w:ascii="Arial" w:hAnsi="Arial" w:cs="Arial"/>
          <w:sz w:val="24"/>
          <w:szCs w:val="24"/>
        </w:rPr>
        <w:t xml:space="preserve"> and </w:t>
      </w:r>
      <w:proofErr w:type="spellStart"/>
      <w:r>
        <w:rPr>
          <w:rFonts w:ascii="Arial" w:hAnsi="Arial" w:cs="Arial"/>
          <w:sz w:val="24"/>
          <w:szCs w:val="24"/>
        </w:rPr>
        <w:t>catharanthine</w:t>
      </w:r>
      <w:proofErr w:type="spellEnd"/>
      <w:r>
        <w:rPr>
          <w:rFonts w:ascii="Arial" w:hAnsi="Arial" w:cs="Arial"/>
          <w:sz w:val="24"/>
          <w:szCs w:val="24"/>
        </w:rPr>
        <w:t xml:space="preserve">.  Unlike other </w:t>
      </w:r>
      <w:proofErr w:type="spellStart"/>
      <w:r>
        <w:rPr>
          <w:rFonts w:ascii="Arial" w:hAnsi="Arial" w:cs="Arial"/>
          <w:sz w:val="24"/>
          <w:szCs w:val="24"/>
        </w:rPr>
        <w:t>vinca</w:t>
      </w:r>
      <w:proofErr w:type="spellEnd"/>
      <w:r>
        <w:rPr>
          <w:rFonts w:ascii="Arial" w:hAnsi="Arial" w:cs="Arial"/>
          <w:sz w:val="24"/>
          <w:szCs w:val="24"/>
        </w:rPr>
        <w:t xml:space="preserve"> alkaloids, </w:t>
      </w:r>
      <w:r w:rsidRPr="00D45DC0">
        <w:rPr>
          <w:rFonts w:ascii="Arial" w:hAnsi="Arial" w:cs="Arial"/>
          <w:sz w:val="24"/>
          <w:szCs w:val="24"/>
        </w:rPr>
        <w:t xml:space="preserve">the </w:t>
      </w:r>
      <w:proofErr w:type="spellStart"/>
      <w:r w:rsidRPr="00D45DC0">
        <w:rPr>
          <w:rFonts w:ascii="Arial" w:hAnsi="Arial" w:cs="Arial"/>
          <w:sz w:val="24"/>
          <w:szCs w:val="24"/>
        </w:rPr>
        <w:t>catharanthine</w:t>
      </w:r>
      <w:proofErr w:type="spellEnd"/>
      <w:r w:rsidRPr="00D45DC0">
        <w:rPr>
          <w:rFonts w:ascii="Arial" w:hAnsi="Arial" w:cs="Arial"/>
          <w:sz w:val="24"/>
          <w:szCs w:val="24"/>
        </w:rPr>
        <w:t xml:space="preserve"> unit is the site of structural modification for </w:t>
      </w:r>
      <w:proofErr w:type="spellStart"/>
      <w:r w:rsidRPr="00D45DC0">
        <w:rPr>
          <w:rFonts w:ascii="Arial" w:hAnsi="Arial" w:cs="Arial"/>
          <w:sz w:val="24"/>
          <w:szCs w:val="24"/>
        </w:rPr>
        <w:t>vinorelbine</w:t>
      </w:r>
      <w:proofErr w:type="spellEnd"/>
      <w:r w:rsidRPr="00D45DC0">
        <w:rPr>
          <w:rFonts w:ascii="Arial" w:hAnsi="Arial" w:cs="Arial"/>
          <w:sz w:val="24"/>
          <w:szCs w:val="24"/>
        </w:rPr>
        <w:t>.</w:t>
      </w:r>
      <w:r>
        <w:rPr>
          <w:rFonts w:ascii="Arial" w:hAnsi="Arial" w:cs="Arial"/>
          <w:sz w:val="24"/>
          <w:szCs w:val="24"/>
        </w:rPr>
        <w:t xml:space="preserve">  The antitumor activity of </w:t>
      </w:r>
      <w:proofErr w:type="spellStart"/>
      <w:r>
        <w:rPr>
          <w:rFonts w:ascii="Arial" w:hAnsi="Arial" w:cs="Arial"/>
          <w:sz w:val="24"/>
          <w:szCs w:val="24"/>
        </w:rPr>
        <w:t>vinorelbine</w:t>
      </w:r>
      <w:proofErr w:type="spellEnd"/>
      <w:r>
        <w:rPr>
          <w:rFonts w:ascii="Arial" w:hAnsi="Arial" w:cs="Arial"/>
          <w:sz w:val="24"/>
          <w:szCs w:val="24"/>
        </w:rPr>
        <w:t xml:space="preserve"> is thought </w:t>
      </w:r>
      <w:r>
        <w:rPr>
          <w:rFonts w:ascii="Arial" w:hAnsi="Arial" w:cs="Arial"/>
          <w:sz w:val="24"/>
          <w:szCs w:val="24"/>
        </w:rPr>
        <w:lastRenderedPageBreak/>
        <w:t xml:space="preserve">to be due primarily to inhibition of mitosis at metaphase through its interaction with </w:t>
      </w:r>
      <w:proofErr w:type="spellStart"/>
      <w:r>
        <w:rPr>
          <w:rFonts w:ascii="Arial" w:hAnsi="Arial" w:cs="Arial"/>
          <w:sz w:val="24"/>
          <w:szCs w:val="24"/>
        </w:rPr>
        <w:t>tubulin</w:t>
      </w:r>
      <w:proofErr w:type="spellEnd"/>
      <w:r>
        <w:rPr>
          <w:rFonts w:ascii="Arial" w:hAnsi="Arial" w:cs="Arial"/>
          <w:sz w:val="24"/>
          <w:szCs w:val="24"/>
        </w:rPr>
        <w:t xml:space="preserve">.  In intact </w:t>
      </w:r>
      <w:proofErr w:type="spellStart"/>
      <w:r>
        <w:rPr>
          <w:rFonts w:ascii="Arial" w:hAnsi="Arial" w:cs="Arial"/>
          <w:sz w:val="24"/>
          <w:szCs w:val="24"/>
        </w:rPr>
        <w:t>tectal</w:t>
      </w:r>
      <w:proofErr w:type="spellEnd"/>
      <w:r>
        <w:rPr>
          <w:rFonts w:ascii="Arial" w:hAnsi="Arial" w:cs="Arial"/>
          <w:sz w:val="24"/>
          <w:szCs w:val="24"/>
        </w:rPr>
        <w:t xml:space="preserve"> plates from mouse embryos, </w:t>
      </w: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vincristine</w:t>
      </w:r>
      <w:proofErr w:type="spellEnd"/>
      <w:r>
        <w:rPr>
          <w:rFonts w:ascii="Arial" w:hAnsi="Arial" w:cs="Arial"/>
          <w:sz w:val="24"/>
          <w:szCs w:val="24"/>
        </w:rPr>
        <w:t xml:space="preserve"> and </w:t>
      </w:r>
      <w:proofErr w:type="spellStart"/>
      <w:r>
        <w:rPr>
          <w:rFonts w:ascii="Arial" w:hAnsi="Arial" w:cs="Arial"/>
          <w:sz w:val="24"/>
          <w:szCs w:val="24"/>
        </w:rPr>
        <w:t>vinblastine</w:t>
      </w:r>
      <w:proofErr w:type="spellEnd"/>
      <w:r>
        <w:rPr>
          <w:rFonts w:ascii="Arial" w:hAnsi="Arial" w:cs="Arial"/>
          <w:sz w:val="24"/>
          <w:szCs w:val="24"/>
        </w:rPr>
        <w:t xml:space="preserve"> inhibited mitotic microtubule formation at the same concentration (2 µM), including a blockade of cells at metaphase.  </w:t>
      </w:r>
      <w:proofErr w:type="spellStart"/>
      <w:r>
        <w:rPr>
          <w:rFonts w:ascii="Arial" w:hAnsi="Arial" w:cs="Arial"/>
          <w:sz w:val="24"/>
          <w:szCs w:val="24"/>
        </w:rPr>
        <w:t>Vincristine</w:t>
      </w:r>
      <w:proofErr w:type="spellEnd"/>
      <w:r>
        <w:rPr>
          <w:rFonts w:ascii="Arial" w:hAnsi="Arial" w:cs="Arial"/>
          <w:sz w:val="24"/>
          <w:szCs w:val="24"/>
        </w:rPr>
        <w:t xml:space="preserve"> produced depolymerisation of axonal tubules at 5 µM, but </w:t>
      </w:r>
      <w:proofErr w:type="spellStart"/>
      <w:r>
        <w:rPr>
          <w:rFonts w:ascii="Arial" w:hAnsi="Arial" w:cs="Arial"/>
          <w:sz w:val="24"/>
          <w:szCs w:val="24"/>
        </w:rPr>
        <w:t>vinblastine</w:t>
      </w:r>
      <w:proofErr w:type="spellEnd"/>
      <w:r>
        <w:rPr>
          <w:rFonts w:ascii="Arial" w:hAnsi="Arial" w:cs="Arial"/>
          <w:sz w:val="24"/>
          <w:szCs w:val="24"/>
        </w:rPr>
        <w:t xml:space="preserve"> and </w:t>
      </w:r>
      <w:proofErr w:type="spellStart"/>
      <w:r>
        <w:rPr>
          <w:rFonts w:ascii="Arial" w:hAnsi="Arial" w:cs="Arial"/>
          <w:sz w:val="24"/>
          <w:szCs w:val="24"/>
        </w:rPr>
        <w:t>vinorelbine</w:t>
      </w:r>
      <w:proofErr w:type="spellEnd"/>
      <w:r>
        <w:rPr>
          <w:rFonts w:ascii="Arial" w:hAnsi="Arial" w:cs="Arial"/>
          <w:sz w:val="24"/>
          <w:szCs w:val="24"/>
        </w:rPr>
        <w:t xml:space="preserve"> did not have this effect until concentrations of 30 µM and 40 µM respectively.  These data suggest relative selectivity of </w:t>
      </w:r>
      <w:proofErr w:type="spellStart"/>
      <w:r>
        <w:rPr>
          <w:rFonts w:ascii="Arial" w:hAnsi="Arial" w:cs="Arial"/>
          <w:sz w:val="24"/>
          <w:szCs w:val="24"/>
        </w:rPr>
        <w:t>vinorelbine</w:t>
      </w:r>
      <w:proofErr w:type="spellEnd"/>
      <w:r>
        <w:rPr>
          <w:rFonts w:ascii="Arial" w:hAnsi="Arial" w:cs="Arial"/>
          <w:sz w:val="24"/>
          <w:szCs w:val="24"/>
        </w:rPr>
        <w:t xml:space="preserve"> for mitotic microtubules.</w:t>
      </w:r>
    </w:p>
    <w:p w:rsidR="00EF6A76" w:rsidRDefault="00EF6A76" w:rsidP="003F3B46">
      <w:pPr>
        <w:spacing w:after="0"/>
        <w:rPr>
          <w:rFonts w:ascii="Arial" w:hAnsi="Arial" w:cs="Arial"/>
          <w:sz w:val="24"/>
          <w:szCs w:val="24"/>
        </w:rPr>
      </w:pPr>
    </w:p>
    <w:p w:rsidR="00EF6A76" w:rsidRPr="007441DF" w:rsidRDefault="00EF6A76" w:rsidP="003F3B46">
      <w:pPr>
        <w:spacing w:after="0"/>
        <w:rPr>
          <w:rFonts w:ascii="Arial" w:hAnsi="Arial" w:cs="Arial"/>
          <w:b/>
          <w:sz w:val="24"/>
          <w:szCs w:val="24"/>
        </w:rPr>
      </w:pPr>
      <w:r w:rsidRPr="007441DF">
        <w:rPr>
          <w:rFonts w:ascii="Arial" w:hAnsi="Arial" w:cs="Arial"/>
          <w:b/>
          <w:sz w:val="24"/>
          <w:szCs w:val="24"/>
        </w:rPr>
        <w:t>Pharmacokinetics</w:t>
      </w:r>
    </w:p>
    <w:p w:rsidR="00EF6A76" w:rsidRDefault="00EF6A76" w:rsidP="003F3B46">
      <w:pPr>
        <w:spacing w:after="0"/>
        <w:rPr>
          <w:rFonts w:ascii="Arial" w:hAnsi="Arial" w:cs="Arial"/>
          <w:sz w:val="24"/>
          <w:szCs w:val="24"/>
        </w:rPr>
      </w:pPr>
    </w:p>
    <w:p w:rsidR="00EF6A76" w:rsidRDefault="00EF6A76" w:rsidP="007456AA">
      <w:pPr>
        <w:spacing w:after="0"/>
        <w:rPr>
          <w:rFonts w:ascii="Arial" w:hAnsi="Arial" w:cs="Arial"/>
          <w:sz w:val="24"/>
          <w:szCs w:val="24"/>
        </w:rPr>
      </w:pPr>
      <w:r>
        <w:rPr>
          <w:rFonts w:ascii="Arial" w:hAnsi="Arial" w:cs="Arial"/>
          <w:sz w:val="24"/>
          <w:szCs w:val="24"/>
        </w:rPr>
        <w:t>Following oral administration, NAVELBINE</w:t>
      </w:r>
      <w:r w:rsidRPr="00B54D98">
        <w:rPr>
          <w:rFonts w:ascii="Arial" w:hAnsi="Arial" w:cs="Arial"/>
          <w:sz w:val="24"/>
          <w:szCs w:val="24"/>
          <w:vertAlign w:val="superscript"/>
        </w:rPr>
        <w:t>®</w:t>
      </w:r>
      <w:r>
        <w:rPr>
          <w:rFonts w:ascii="Arial" w:hAnsi="Arial" w:cs="Arial"/>
          <w:sz w:val="24"/>
          <w:szCs w:val="24"/>
        </w:rPr>
        <w:t xml:space="preserve"> is promptly absorbed and the </w:t>
      </w:r>
      <w:proofErr w:type="spellStart"/>
      <w:r>
        <w:rPr>
          <w:rFonts w:ascii="Arial" w:hAnsi="Arial" w:cs="Arial"/>
          <w:sz w:val="24"/>
          <w:szCs w:val="24"/>
        </w:rPr>
        <w:t>T</w:t>
      </w:r>
      <w:r w:rsidRPr="004B7D4E">
        <w:rPr>
          <w:rFonts w:ascii="Arial" w:hAnsi="Arial" w:cs="Arial"/>
          <w:sz w:val="24"/>
          <w:szCs w:val="24"/>
          <w:vertAlign w:val="subscript"/>
        </w:rPr>
        <w:t>max</w:t>
      </w:r>
      <w:proofErr w:type="spellEnd"/>
      <w:r>
        <w:rPr>
          <w:rFonts w:ascii="Arial" w:hAnsi="Arial" w:cs="Arial"/>
          <w:sz w:val="24"/>
          <w:szCs w:val="24"/>
        </w:rPr>
        <w:t xml:space="preserve"> is reached within 1.5 to 3 hours with a blood concentration peak (</w:t>
      </w:r>
      <w:proofErr w:type="spellStart"/>
      <w:r>
        <w:rPr>
          <w:rFonts w:ascii="Arial" w:hAnsi="Arial" w:cs="Arial"/>
          <w:sz w:val="24"/>
          <w:szCs w:val="24"/>
        </w:rPr>
        <w:t>C</w:t>
      </w:r>
      <w:r w:rsidRPr="004B7D4E">
        <w:rPr>
          <w:rFonts w:ascii="Arial" w:hAnsi="Arial" w:cs="Arial"/>
          <w:sz w:val="24"/>
          <w:szCs w:val="24"/>
          <w:vertAlign w:val="subscript"/>
        </w:rPr>
        <w:t>max</w:t>
      </w:r>
      <w:proofErr w:type="spellEnd"/>
      <w:r>
        <w:rPr>
          <w:rFonts w:ascii="Arial" w:hAnsi="Arial" w:cs="Arial"/>
          <w:sz w:val="24"/>
          <w:szCs w:val="24"/>
        </w:rPr>
        <w:t xml:space="preserve">) of approximately 130 </w:t>
      </w:r>
      <w:proofErr w:type="spellStart"/>
      <w:r>
        <w:rPr>
          <w:rFonts w:ascii="Arial" w:hAnsi="Arial" w:cs="Arial"/>
          <w:sz w:val="24"/>
          <w:szCs w:val="24"/>
        </w:rPr>
        <w:t>ng</w:t>
      </w:r>
      <w:proofErr w:type="spellEnd"/>
      <w:r>
        <w:rPr>
          <w:rFonts w:ascii="Arial" w:hAnsi="Arial" w:cs="Arial"/>
          <w:sz w:val="24"/>
          <w:szCs w:val="24"/>
        </w:rPr>
        <w:t>/</w:t>
      </w:r>
      <w:proofErr w:type="spellStart"/>
      <w:r>
        <w:rPr>
          <w:rFonts w:ascii="Arial" w:hAnsi="Arial" w:cs="Arial"/>
          <w:sz w:val="24"/>
          <w:szCs w:val="24"/>
        </w:rPr>
        <w:t>mL</w:t>
      </w:r>
      <w:proofErr w:type="spellEnd"/>
      <w:r>
        <w:rPr>
          <w:rFonts w:ascii="Arial" w:hAnsi="Arial" w:cs="Arial"/>
          <w:sz w:val="24"/>
          <w:szCs w:val="24"/>
        </w:rPr>
        <w:t xml:space="preserve"> after dosing at 80 mg/m</w:t>
      </w:r>
      <w:r w:rsidRPr="004B7D4E">
        <w:rPr>
          <w:rFonts w:ascii="Arial" w:hAnsi="Arial" w:cs="Arial"/>
          <w:sz w:val="24"/>
          <w:szCs w:val="24"/>
          <w:vertAlign w:val="superscript"/>
        </w:rPr>
        <w:t>2</w:t>
      </w:r>
      <w:r>
        <w:rPr>
          <w:rFonts w:ascii="Arial" w:hAnsi="Arial" w:cs="Arial"/>
          <w:sz w:val="24"/>
          <w:szCs w:val="24"/>
        </w:rPr>
        <w:t xml:space="preserve">.  The absolute bioavailability is about 40% and simultaneous intake of a low fat standard meal does not modify the area under the concentration-time curve (AUC).  The effect of a high fat meal on absorption has not been studied.  </w:t>
      </w:r>
    </w:p>
    <w:p w:rsidR="00EF6A76" w:rsidRDefault="00EF6A76" w:rsidP="007456AA">
      <w:pPr>
        <w:spacing w:after="0"/>
        <w:rPr>
          <w:rFonts w:ascii="Arial" w:hAnsi="Arial" w:cs="Arial"/>
          <w:sz w:val="24"/>
          <w:szCs w:val="24"/>
        </w:rPr>
      </w:pPr>
    </w:p>
    <w:p w:rsidR="00EF6A76" w:rsidRDefault="00EF6A76" w:rsidP="00FB6B05">
      <w:pPr>
        <w:spacing w:after="0"/>
        <w:rPr>
          <w:rFonts w:ascii="Arial" w:hAnsi="Arial" w:cs="Arial"/>
          <w:sz w:val="24"/>
          <w:szCs w:val="24"/>
        </w:rPr>
      </w:pPr>
      <w:r>
        <w:rPr>
          <w:rFonts w:ascii="Arial" w:hAnsi="Arial" w:cs="Arial"/>
          <w:sz w:val="24"/>
          <w:szCs w:val="24"/>
        </w:rPr>
        <w:t>NAVELBINE</w:t>
      </w:r>
      <w:r w:rsidRPr="00B54D98">
        <w:rPr>
          <w:rFonts w:ascii="Arial" w:hAnsi="Arial" w:cs="Arial"/>
          <w:sz w:val="24"/>
          <w:szCs w:val="24"/>
          <w:vertAlign w:val="superscript"/>
        </w:rPr>
        <w:t>®</w:t>
      </w:r>
      <w:r>
        <w:rPr>
          <w:rFonts w:ascii="Arial" w:hAnsi="Arial" w:cs="Arial"/>
          <w:sz w:val="24"/>
          <w:szCs w:val="24"/>
        </w:rPr>
        <w:t xml:space="preserve"> Oral  60 and 80 mg/m</w:t>
      </w:r>
      <w:r w:rsidRPr="000076FD">
        <w:rPr>
          <w:rFonts w:ascii="Arial" w:hAnsi="Arial" w:cs="Arial"/>
          <w:sz w:val="24"/>
          <w:szCs w:val="24"/>
          <w:vertAlign w:val="superscript"/>
        </w:rPr>
        <w:t>2</w:t>
      </w:r>
      <w:r>
        <w:rPr>
          <w:rFonts w:ascii="Arial" w:hAnsi="Arial" w:cs="Arial"/>
          <w:sz w:val="24"/>
          <w:szCs w:val="24"/>
        </w:rPr>
        <w:t xml:space="preserve"> leads to a comparable AUC to that obtained from 25 and 30 mg/m</w:t>
      </w:r>
      <w:r w:rsidRPr="000076FD">
        <w:rPr>
          <w:rFonts w:ascii="Arial" w:hAnsi="Arial" w:cs="Arial"/>
          <w:sz w:val="24"/>
          <w:szCs w:val="24"/>
          <w:vertAlign w:val="superscript"/>
        </w:rPr>
        <w:t>2</w:t>
      </w:r>
      <w:r>
        <w:rPr>
          <w:rFonts w:ascii="Arial" w:hAnsi="Arial" w:cs="Arial"/>
          <w:sz w:val="24"/>
          <w:szCs w:val="24"/>
        </w:rPr>
        <w:t xml:space="preserve"> of the IV formulation respectively.  </w:t>
      </w:r>
      <w:proofErr w:type="spellStart"/>
      <w:r>
        <w:rPr>
          <w:rFonts w:ascii="Arial" w:hAnsi="Arial" w:cs="Arial"/>
          <w:sz w:val="24"/>
          <w:szCs w:val="24"/>
        </w:rPr>
        <w:t>Interindividual</w:t>
      </w:r>
      <w:proofErr w:type="spellEnd"/>
      <w:r>
        <w:rPr>
          <w:rFonts w:ascii="Arial" w:hAnsi="Arial" w:cs="Arial"/>
          <w:sz w:val="24"/>
          <w:szCs w:val="24"/>
        </w:rPr>
        <w:t xml:space="preserve"> variability of the AUC is similar after administration by both the IV and oral routes.  There is a proportional increase between the AUC and dose</w:t>
      </w:r>
      <w:r w:rsidRPr="00FB6B05">
        <w:rPr>
          <w:rFonts w:ascii="Arial" w:hAnsi="Arial" w:cs="Arial"/>
          <w:sz w:val="24"/>
          <w:szCs w:val="24"/>
        </w:rPr>
        <w:t>.</w:t>
      </w:r>
      <w:r>
        <w:rPr>
          <w:rFonts w:ascii="Arial" w:hAnsi="Arial" w:cs="Arial"/>
          <w:sz w:val="24"/>
          <w:szCs w:val="24"/>
        </w:rPr>
        <w:t xml:space="preserve">  The mean pharmacokinetic parameters were evaluated in blood.  After intravenous administration, the terminal half-life averaged 38 hours.  Blood clearance was high</w:t>
      </w:r>
      <w:r w:rsidRPr="00FB6B05">
        <w:rPr>
          <w:rFonts w:ascii="Arial" w:hAnsi="Arial" w:cs="Arial"/>
          <w:sz w:val="24"/>
          <w:szCs w:val="24"/>
        </w:rPr>
        <w:t>, approached</w:t>
      </w:r>
      <w:r>
        <w:rPr>
          <w:rFonts w:ascii="Arial" w:hAnsi="Arial" w:cs="Arial"/>
          <w:sz w:val="24"/>
          <w:szCs w:val="24"/>
        </w:rPr>
        <w:t xml:space="preserve"> liver blood flow and averaged 0.72 L/hr/kg (range: 0.32 – 1.26 L/hr/kg), while steady state volume of distribution was large, </w:t>
      </w:r>
      <w:r w:rsidRPr="00FB6B05">
        <w:rPr>
          <w:rFonts w:ascii="Arial" w:hAnsi="Arial" w:cs="Arial"/>
          <w:sz w:val="24"/>
          <w:szCs w:val="24"/>
        </w:rPr>
        <w:t>averaged</w:t>
      </w:r>
      <w:r>
        <w:rPr>
          <w:rFonts w:ascii="Arial" w:hAnsi="Arial" w:cs="Arial"/>
          <w:sz w:val="24"/>
          <w:szCs w:val="24"/>
        </w:rPr>
        <w:t xml:space="preserve"> 21.2 L/kg (range: 7.5 – 39.7 L/kg), </w:t>
      </w:r>
      <w:r w:rsidRPr="00FB6B05">
        <w:rPr>
          <w:rFonts w:ascii="Arial" w:hAnsi="Arial" w:cs="Arial"/>
          <w:sz w:val="24"/>
          <w:szCs w:val="24"/>
        </w:rPr>
        <w:t>and indicated</w:t>
      </w:r>
      <w:r>
        <w:rPr>
          <w:rFonts w:ascii="Arial" w:hAnsi="Arial" w:cs="Arial"/>
          <w:sz w:val="24"/>
          <w:szCs w:val="24"/>
        </w:rPr>
        <w:t xml:space="preserve"> extensive tissue distribution.</w:t>
      </w:r>
    </w:p>
    <w:p w:rsidR="00EF6A76" w:rsidRDefault="00EF6A76" w:rsidP="007456AA">
      <w:pPr>
        <w:spacing w:after="0"/>
        <w:rPr>
          <w:rFonts w:ascii="Arial" w:hAnsi="Arial" w:cs="Arial"/>
          <w:sz w:val="24"/>
          <w:szCs w:val="24"/>
        </w:rPr>
      </w:pPr>
      <w:r>
        <w:rPr>
          <w:rFonts w:ascii="Arial" w:hAnsi="Arial" w:cs="Arial"/>
          <w:sz w:val="24"/>
          <w:szCs w:val="24"/>
        </w:rPr>
        <w:t xml:space="preserve">   </w:t>
      </w:r>
    </w:p>
    <w:p w:rsidR="00EF6A76" w:rsidRDefault="00EF6A76" w:rsidP="007456AA">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binds extensively to blood cells and especially platelets (70 – 80%), but less extensively (about 15%) to plasma proteins.  There is a significant uptake of NAVELBINE</w:t>
      </w:r>
      <w:r w:rsidRPr="00B54D98">
        <w:rPr>
          <w:rFonts w:ascii="Arial" w:hAnsi="Arial" w:cs="Arial"/>
          <w:sz w:val="24"/>
          <w:szCs w:val="24"/>
          <w:vertAlign w:val="superscript"/>
        </w:rPr>
        <w:t>®</w:t>
      </w:r>
      <w:r>
        <w:rPr>
          <w:rFonts w:ascii="Arial" w:hAnsi="Arial" w:cs="Arial"/>
          <w:sz w:val="24"/>
          <w:szCs w:val="24"/>
        </w:rPr>
        <w:t xml:space="preserve"> in lungs, as assessed by pulmonary surgical biopsies showing up to a 300 fold greater concentration than in serum.  NAVELBINE</w:t>
      </w:r>
      <w:r w:rsidRPr="00B54D98">
        <w:rPr>
          <w:rFonts w:ascii="Arial" w:hAnsi="Arial" w:cs="Arial"/>
          <w:sz w:val="24"/>
          <w:szCs w:val="24"/>
          <w:vertAlign w:val="superscript"/>
        </w:rPr>
        <w:t>®</w:t>
      </w:r>
      <w:r>
        <w:rPr>
          <w:rFonts w:ascii="Arial" w:hAnsi="Arial" w:cs="Arial"/>
          <w:sz w:val="24"/>
          <w:szCs w:val="24"/>
        </w:rPr>
        <w:t xml:space="preserve"> has not been detected in the central nervous system.</w:t>
      </w:r>
    </w:p>
    <w:p w:rsidR="00EF6A76" w:rsidRDefault="00EF6A76" w:rsidP="007456AA">
      <w:pPr>
        <w:spacing w:after="0"/>
        <w:rPr>
          <w:rFonts w:ascii="Arial" w:hAnsi="Arial" w:cs="Arial"/>
          <w:sz w:val="24"/>
          <w:szCs w:val="24"/>
        </w:rPr>
      </w:pPr>
    </w:p>
    <w:p w:rsidR="00EF6A76" w:rsidRDefault="00EF6A76" w:rsidP="006224F1">
      <w:pPr>
        <w:spacing w:after="0"/>
        <w:rPr>
          <w:rFonts w:ascii="Arial" w:hAnsi="Arial" w:cs="Arial"/>
          <w:sz w:val="24"/>
          <w:szCs w:val="24"/>
        </w:rPr>
      </w:pPr>
      <w:r w:rsidRPr="006224F1">
        <w:rPr>
          <w:rFonts w:ascii="Arial" w:hAnsi="Arial" w:cs="Arial"/>
          <w:sz w:val="24"/>
          <w:szCs w:val="24"/>
        </w:rPr>
        <w:t>NAVELBINE</w:t>
      </w:r>
      <w:r w:rsidRPr="006224F1">
        <w:rPr>
          <w:rFonts w:ascii="Arial" w:hAnsi="Arial" w:cs="Arial"/>
          <w:sz w:val="24"/>
          <w:szCs w:val="24"/>
          <w:vertAlign w:val="superscript"/>
        </w:rPr>
        <w:t>®</w:t>
      </w:r>
      <w:r w:rsidRPr="006224F1">
        <w:rPr>
          <w:rFonts w:ascii="Arial" w:hAnsi="Arial" w:cs="Arial"/>
          <w:sz w:val="24"/>
          <w:szCs w:val="24"/>
        </w:rPr>
        <w:t xml:space="preserve"> is mostly metabolised</w:t>
      </w:r>
      <w:r>
        <w:rPr>
          <w:rFonts w:ascii="Arial" w:hAnsi="Arial" w:cs="Arial"/>
          <w:sz w:val="24"/>
          <w:szCs w:val="24"/>
        </w:rPr>
        <w:t xml:space="preserve"> by the CYP 3A4 </w:t>
      </w:r>
      <w:proofErr w:type="spellStart"/>
      <w:r>
        <w:rPr>
          <w:rFonts w:ascii="Arial" w:hAnsi="Arial" w:cs="Arial"/>
          <w:sz w:val="24"/>
          <w:szCs w:val="24"/>
        </w:rPr>
        <w:t>isoform</w:t>
      </w:r>
      <w:proofErr w:type="spellEnd"/>
      <w:r>
        <w:rPr>
          <w:rFonts w:ascii="Arial" w:hAnsi="Arial" w:cs="Arial"/>
          <w:sz w:val="24"/>
          <w:szCs w:val="24"/>
        </w:rPr>
        <w:t xml:space="preserve"> of the </w:t>
      </w:r>
      <w:proofErr w:type="spellStart"/>
      <w:r>
        <w:rPr>
          <w:rFonts w:ascii="Arial" w:hAnsi="Arial" w:cs="Arial"/>
          <w:sz w:val="24"/>
          <w:szCs w:val="24"/>
        </w:rPr>
        <w:t>cytochrome</w:t>
      </w:r>
      <w:proofErr w:type="spellEnd"/>
      <w:r>
        <w:rPr>
          <w:rFonts w:ascii="Arial" w:hAnsi="Arial" w:cs="Arial"/>
          <w:sz w:val="24"/>
          <w:szCs w:val="24"/>
        </w:rPr>
        <w:t xml:space="preserve"> P450.  All the metabolites have been identified </w:t>
      </w:r>
      <w:r w:rsidRPr="006224F1">
        <w:rPr>
          <w:rFonts w:ascii="Arial" w:hAnsi="Arial" w:cs="Arial"/>
          <w:sz w:val="24"/>
          <w:szCs w:val="24"/>
        </w:rPr>
        <w:t>and none are active except</w:t>
      </w:r>
      <w:r>
        <w:rPr>
          <w:rFonts w:ascii="Arial" w:hAnsi="Arial" w:cs="Arial"/>
          <w:sz w:val="24"/>
          <w:szCs w:val="24"/>
        </w:rPr>
        <w:t xml:space="preserve"> 4-O-deacetylvinorelbine </w:t>
      </w:r>
      <w:r w:rsidRPr="006224F1">
        <w:rPr>
          <w:rFonts w:ascii="Arial" w:hAnsi="Arial" w:cs="Arial"/>
          <w:sz w:val="24"/>
          <w:szCs w:val="24"/>
        </w:rPr>
        <w:t>which is</w:t>
      </w:r>
      <w:r>
        <w:rPr>
          <w:rFonts w:ascii="Arial" w:hAnsi="Arial" w:cs="Arial"/>
          <w:sz w:val="24"/>
          <w:szCs w:val="24"/>
        </w:rPr>
        <w:t xml:space="preserve"> the main metabolite in blood.  No </w:t>
      </w:r>
      <w:proofErr w:type="spellStart"/>
      <w:r w:rsidRPr="006224F1">
        <w:rPr>
          <w:rFonts w:ascii="Arial" w:hAnsi="Arial" w:cs="Arial"/>
          <w:sz w:val="24"/>
          <w:szCs w:val="24"/>
        </w:rPr>
        <w:t>sulfo</w:t>
      </w:r>
      <w:proofErr w:type="spellEnd"/>
      <w:r w:rsidRPr="006224F1">
        <w:rPr>
          <w:rFonts w:ascii="Arial" w:hAnsi="Arial" w:cs="Arial"/>
          <w:sz w:val="24"/>
          <w:szCs w:val="24"/>
        </w:rPr>
        <w:t xml:space="preserve"> </w:t>
      </w:r>
      <w:r>
        <w:rPr>
          <w:rFonts w:ascii="Arial" w:hAnsi="Arial" w:cs="Arial"/>
          <w:sz w:val="24"/>
          <w:szCs w:val="24"/>
        </w:rPr>
        <w:t xml:space="preserve">or </w:t>
      </w:r>
      <w:proofErr w:type="spellStart"/>
      <w:r w:rsidRPr="006224F1">
        <w:rPr>
          <w:rFonts w:ascii="Arial" w:hAnsi="Arial" w:cs="Arial"/>
          <w:sz w:val="24"/>
          <w:szCs w:val="24"/>
        </w:rPr>
        <w:t>glucurono</w:t>
      </w:r>
      <w:proofErr w:type="spellEnd"/>
      <w:r w:rsidRPr="006224F1">
        <w:rPr>
          <w:rFonts w:ascii="Arial" w:hAnsi="Arial" w:cs="Arial"/>
          <w:sz w:val="24"/>
          <w:szCs w:val="24"/>
        </w:rPr>
        <w:t xml:space="preserve"> </w:t>
      </w:r>
      <w:r>
        <w:rPr>
          <w:rFonts w:ascii="Arial" w:hAnsi="Arial" w:cs="Arial"/>
          <w:sz w:val="24"/>
          <w:szCs w:val="24"/>
        </w:rPr>
        <w:t xml:space="preserve">conjugates are observed.  Renal elimination is low (&lt; </w:t>
      </w:r>
      <w:r w:rsidRPr="006224F1">
        <w:rPr>
          <w:rFonts w:ascii="Arial" w:hAnsi="Arial" w:cs="Arial"/>
          <w:sz w:val="24"/>
          <w:szCs w:val="24"/>
        </w:rPr>
        <w:t>20</w:t>
      </w:r>
      <w:r>
        <w:rPr>
          <w:rFonts w:ascii="Arial" w:hAnsi="Arial" w:cs="Arial"/>
          <w:sz w:val="24"/>
          <w:szCs w:val="24"/>
        </w:rPr>
        <w:t xml:space="preserve">% of the dose) and consists mostly of the parent compound.  </w:t>
      </w:r>
      <w:proofErr w:type="spellStart"/>
      <w:r>
        <w:rPr>
          <w:rFonts w:ascii="Arial" w:hAnsi="Arial" w:cs="Arial"/>
          <w:sz w:val="24"/>
          <w:szCs w:val="24"/>
        </w:rPr>
        <w:t>Biliary</w:t>
      </w:r>
      <w:proofErr w:type="spellEnd"/>
      <w:r>
        <w:rPr>
          <w:rFonts w:ascii="Arial" w:hAnsi="Arial" w:cs="Arial"/>
          <w:sz w:val="24"/>
          <w:szCs w:val="24"/>
        </w:rPr>
        <w:t xml:space="preserve"> excretion is the predominant elimination route of both metabolites and unchanged NAVELBINE</w:t>
      </w:r>
      <w:r w:rsidRPr="00B54D98">
        <w:rPr>
          <w:rFonts w:ascii="Arial" w:hAnsi="Arial" w:cs="Arial"/>
          <w:sz w:val="24"/>
          <w:szCs w:val="24"/>
          <w:vertAlign w:val="superscript"/>
        </w:rPr>
        <w:t>®</w:t>
      </w:r>
      <w:r>
        <w:rPr>
          <w:rFonts w:ascii="Arial" w:hAnsi="Arial" w:cs="Arial"/>
          <w:sz w:val="24"/>
          <w:szCs w:val="24"/>
        </w:rPr>
        <w:t xml:space="preserve">, which is the main recovered compound.  The effect of renal dysfunction </w:t>
      </w:r>
      <w:r w:rsidRPr="006224F1">
        <w:rPr>
          <w:rFonts w:ascii="Arial" w:hAnsi="Arial" w:cs="Arial"/>
          <w:sz w:val="24"/>
          <w:szCs w:val="24"/>
        </w:rPr>
        <w:t>on NAVELBINE</w:t>
      </w:r>
      <w:r w:rsidRPr="006224F1">
        <w:rPr>
          <w:rFonts w:ascii="Arial" w:hAnsi="Arial" w:cs="Arial"/>
          <w:sz w:val="24"/>
          <w:szCs w:val="24"/>
          <w:vertAlign w:val="superscript"/>
        </w:rPr>
        <w:t>®</w:t>
      </w:r>
      <w:r w:rsidRPr="006224F1">
        <w:rPr>
          <w:rFonts w:ascii="Arial" w:hAnsi="Arial" w:cs="Arial"/>
          <w:sz w:val="24"/>
          <w:szCs w:val="24"/>
        </w:rPr>
        <w:t xml:space="preserve"> disposition has not been assessed</w:t>
      </w:r>
      <w:r>
        <w:rPr>
          <w:rFonts w:ascii="Arial" w:hAnsi="Arial" w:cs="Arial"/>
          <w:sz w:val="24"/>
          <w:szCs w:val="24"/>
        </w:rPr>
        <w:t xml:space="preserve">, however, dose reduction, in the </w:t>
      </w:r>
      <w:r w:rsidRPr="00324B23">
        <w:rPr>
          <w:rFonts w:ascii="Arial" w:hAnsi="Arial" w:cs="Arial"/>
          <w:sz w:val="24"/>
          <w:szCs w:val="24"/>
        </w:rPr>
        <w:t>presence</w:t>
      </w:r>
      <w:r>
        <w:rPr>
          <w:rFonts w:ascii="Arial" w:hAnsi="Arial" w:cs="Arial"/>
          <w:sz w:val="24"/>
          <w:szCs w:val="24"/>
        </w:rPr>
        <w:t xml:space="preserve"> of </w:t>
      </w:r>
      <w:r w:rsidRPr="00324B23">
        <w:rPr>
          <w:rFonts w:ascii="Arial" w:hAnsi="Arial" w:cs="Arial"/>
          <w:sz w:val="24"/>
          <w:szCs w:val="24"/>
        </w:rPr>
        <w:t>renal insufficiency</w:t>
      </w:r>
      <w:r>
        <w:rPr>
          <w:rFonts w:ascii="Arial" w:hAnsi="Arial" w:cs="Arial"/>
          <w:sz w:val="24"/>
          <w:szCs w:val="24"/>
        </w:rPr>
        <w:t xml:space="preserve"> is not indicated with </w:t>
      </w:r>
      <w:r w:rsidRPr="00324B23">
        <w:rPr>
          <w:rFonts w:ascii="Arial" w:hAnsi="Arial" w:cs="Arial"/>
          <w:sz w:val="24"/>
          <w:szCs w:val="24"/>
        </w:rPr>
        <w:t>NAVELBINE</w:t>
      </w:r>
      <w:r w:rsidRPr="00324B23">
        <w:rPr>
          <w:rFonts w:ascii="Arial" w:hAnsi="Arial" w:cs="Arial"/>
          <w:sz w:val="24"/>
          <w:szCs w:val="24"/>
          <w:vertAlign w:val="superscript"/>
        </w:rPr>
        <w:t>®</w:t>
      </w:r>
      <w:r>
        <w:rPr>
          <w:rFonts w:ascii="Arial" w:hAnsi="Arial" w:cs="Arial"/>
          <w:sz w:val="24"/>
          <w:szCs w:val="24"/>
        </w:rPr>
        <w:t xml:space="preserve"> due to </w:t>
      </w:r>
      <w:r w:rsidRPr="00E74766">
        <w:rPr>
          <w:rFonts w:ascii="Arial" w:hAnsi="Arial" w:cs="Arial"/>
          <w:sz w:val="24"/>
          <w:szCs w:val="24"/>
        </w:rPr>
        <w:t>its</w:t>
      </w:r>
      <w:r>
        <w:rPr>
          <w:rFonts w:ascii="Arial" w:hAnsi="Arial" w:cs="Arial"/>
          <w:sz w:val="24"/>
          <w:szCs w:val="24"/>
        </w:rPr>
        <w:t xml:space="preserve"> </w:t>
      </w:r>
      <w:r w:rsidRPr="00E74766">
        <w:rPr>
          <w:rFonts w:ascii="Arial" w:hAnsi="Arial" w:cs="Arial"/>
          <w:sz w:val="24"/>
          <w:szCs w:val="24"/>
        </w:rPr>
        <w:t>low</w:t>
      </w:r>
      <w:r w:rsidRPr="00E74766">
        <w:rPr>
          <w:rFonts w:ascii="Arial" w:hAnsi="Arial" w:cs="Arial"/>
          <w:color w:val="0033CC"/>
          <w:sz w:val="24"/>
          <w:szCs w:val="24"/>
        </w:rPr>
        <w:t xml:space="preserve"> </w:t>
      </w:r>
      <w:r>
        <w:rPr>
          <w:rFonts w:ascii="Arial" w:hAnsi="Arial" w:cs="Arial"/>
          <w:sz w:val="24"/>
          <w:szCs w:val="24"/>
        </w:rPr>
        <w:t>renal elimination.</w:t>
      </w:r>
    </w:p>
    <w:p w:rsidR="00EF6A76" w:rsidRDefault="00EF6A76" w:rsidP="006224F1">
      <w:pPr>
        <w:spacing w:after="0"/>
        <w:rPr>
          <w:rFonts w:ascii="Arial" w:hAnsi="Arial" w:cs="Arial"/>
          <w:sz w:val="24"/>
          <w:szCs w:val="24"/>
        </w:rPr>
      </w:pPr>
    </w:p>
    <w:p w:rsidR="00EF6A76" w:rsidRDefault="00EF6A76" w:rsidP="006224F1">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is cleared from the circulation primarily by the liver, and therefore elevated blood concentrations may be expected in patients with hepatic impairment.  In a phase I pharmacokinetic study, 6 subjects with severe hepatic impairment were treated with 20 mg/m</w:t>
      </w:r>
      <w:r w:rsidRPr="008408C3">
        <w:rPr>
          <w:rFonts w:ascii="Arial" w:hAnsi="Arial" w:cs="Arial"/>
          <w:sz w:val="24"/>
          <w:szCs w:val="24"/>
          <w:vertAlign w:val="superscript"/>
        </w:rPr>
        <w:t>2</w:t>
      </w:r>
      <w:r>
        <w:rPr>
          <w:rFonts w:ascii="Arial" w:hAnsi="Arial" w:cs="Arial"/>
          <w:sz w:val="24"/>
          <w:szCs w:val="24"/>
        </w:rPr>
        <w:t xml:space="preserve"> intravenously.  Plasma concentrations were elevated compared  to historical data from patients with normal hepatic function.  </w:t>
      </w:r>
      <w:proofErr w:type="spellStart"/>
      <w:r>
        <w:rPr>
          <w:rFonts w:ascii="Arial" w:hAnsi="Arial" w:cs="Arial"/>
          <w:sz w:val="24"/>
          <w:szCs w:val="24"/>
        </w:rPr>
        <w:t>Vinorelbine</w:t>
      </w:r>
      <w:proofErr w:type="spellEnd"/>
      <w:r>
        <w:rPr>
          <w:rFonts w:ascii="Arial" w:hAnsi="Arial" w:cs="Arial"/>
          <w:sz w:val="24"/>
          <w:szCs w:val="24"/>
        </w:rPr>
        <w:t xml:space="preserve"> is contraindicated in patients with severe hepatic insufficiency.  There is limited experience in patients with mild or moderate hepatic impairment, however available data suggests that dose modification is not required.  Haematological toxicity should be closely monitored.</w:t>
      </w:r>
    </w:p>
    <w:p w:rsidR="00EF6A76" w:rsidRDefault="00EF6A76" w:rsidP="007456AA">
      <w:pPr>
        <w:spacing w:after="0"/>
        <w:rPr>
          <w:rFonts w:ascii="Arial" w:hAnsi="Arial" w:cs="Arial"/>
          <w:sz w:val="24"/>
          <w:szCs w:val="24"/>
        </w:rPr>
      </w:pPr>
    </w:p>
    <w:p w:rsidR="00EF6A76" w:rsidRPr="00324B23" w:rsidRDefault="00EF6A76" w:rsidP="00927085">
      <w:pPr>
        <w:spacing w:after="0"/>
        <w:rPr>
          <w:rFonts w:ascii="Arial" w:hAnsi="Arial" w:cs="Arial"/>
          <w:sz w:val="24"/>
          <w:szCs w:val="24"/>
        </w:rPr>
      </w:pPr>
      <w:r>
        <w:rPr>
          <w:rFonts w:ascii="Arial" w:hAnsi="Arial" w:cs="Arial"/>
          <w:sz w:val="24"/>
          <w:szCs w:val="24"/>
        </w:rPr>
        <w:t xml:space="preserve">A strong relationship was demonstrated between AUC and </w:t>
      </w:r>
      <w:proofErr w:type="spellStart"/>
      <w:r>
        <w:rPr>
          <w:rFonts w:ascii="Arial" w:hAnsi="Arial" w:cs="Arial"/>
          <w:sz w:val="24"/>
          <w:szCs w:val="24"/>
        </w:rPr>
        <w:t>leucocyte</w:t>
      </w:r>
      <w:proofErr w:type="spellEnd"/>
      <w:r>
        <w:rPr>
          <w:rFonts w:ascii="Arial" w:hAnsi="Arial" w:cs="Arial"/>
          <w:sz w:val="24"/>
          <w:szCs w:val="24"/>
        </w:rPr>
        <w:t xml:space="preserve"> or PMN</w:t>
      </w:r>
      <w:r>
        <w:rPr>
          <w:rFonts w:ascii="Arial" w:hAnsi="Arial" w:cs="Arial"/>
          <w:color w:val="0033CC"/>
          <w:sz w:val="24"/>
          <w:szCs w:val="24"/>
          <w:u w:val="double"/>
        </w:rPr>
        <w:t xml:space="preserve"> </w:t>
      </w:r>
      <w:r w:rsidRPr="00324B23">
        <w:rPr>
          <w:rFonts w:ascii="Arial" w:hAnsi="Arial" w:cs="Arial"/>
          <w:sz w:val="24"/>
          <w:szCs w:val="24"/>
        </w:rPr>
        <w:t>decreases.</w:t>
      </w:r>
    </w:p>
    <w:p w:rsidR="00EF6A76" w:rsidRDefault="00EF6A76" w:rsidP="007456AA">
      <w:pPr>
        <w:spacing w:after="0"/>
        <w:rPr>
          <w:rFonts w:ascii="Arial" w:hAnsi="Arial" w:cs="Arial"/>
          <w:sz w:val="24"/>
          <w:szCs w:val="24"/>
        </w:rPr>
      </w:pPr>
      <w:r>
        <w:rPr>
          <w:rFonts w:ascii="Arial" w:hAnsi="Arial" w:cs="Arial"/>
          <w:sz w:val="24"/>
          <w:szCs w:val="24"/>
        </w:rPr>
        <w:t xml:space="preserve"> </w:t>
      </w:r>
    </w:p>
    <w:p w:rsidR="00EF6A76" w:rsidRDefault="00EF6A76" w:rsidP="003F3B46">
      <w:pPr>
        <w:spacing w:after="0"/>
        <w:rPr>
          <w:rFonts w:ascii="Arial" w:hAnsi="Arial" w:cs="Arial"/>
          <w:b/>
          <w:sz w:val="24"/>
          <w:szCs w:val="24"/>
        </w:rPr>
      </w:pPr>
      <w:r w:rsidRPr="000C5447">
        <w:rPr>
          <w:rFonts w:ascii="Arial" w:hAnsi="Arial" w:cs="Arial"/>
          <w:b/>
          <w:sz w:val="24"/>
          <w:szCs w:val="24"/>
        </w:rPr>
        <w:t>CLINICAL TRIALS</w:t>
      </w:r>
    </w:p>
    <w:p w:rsidR="00EF6A76" w:rsidRDefault="00EF6A76" w:rsidP="003F3B46">
      <w:pPr>
        <w:spacing w:after="0"/>
        <w:rPr>
          <w:rFonts w:ascii="Arial" w:hAnsi="Arial" w:cs="Arial"/>
          <w:b/>
          <w:sz w:val="24"/>
          <w:szCs w:val="24"/>
        </w:rPr>
      </w:pPr>
    </w:p>
    <w:p w:rsidR="00EF6A76" w:rsidRDefault="00EF6A76" w:rsidP="003F3B46">
      <w:pPr>
        <w:spacing w:after="0"/>
        <w:rPr>
          <w:rFonts w:ascii="Arial" w:hAnsi="Arial" w:cs="Arial"/>
          <w:b/>
          <w:sz w:val="24"/>
          <w:szCs w:val="24"/>
          <w:u w:val="single"/>
        </w:rPr>
      </w:pPr>
      <w:r w:rsidRPr="00F522BB">
        <w:rPr>
          <w:rFonts w:ascii="Arial" w:hAnsi="Arial" w:cs="Arial"/>
          <w:b/>
          <w:sz w:val="24"/>
          <w:szCs w:val="24"/>
          <w:u w:val="single"/>
        </w:rPr>
        <w:t>NAVELBINE</w:t>
      </w:r>
      <w:r w:rsidRPr="00F522BB">
        <w:rPr>
          <w:rFonts w:ascii="Arial" w:hAnsi="Arial" w:cs="Arial"/>
          <w:b/>
          <w:sz w:val="24"/>
          <w:szCs w:val="24"/>
          <w:u w:val="single"/>
          <w:vertAlign w:val="superscript"/>
        </w:rPr>
        <w:t>®</w:t>
      </w:r>
      <w:r w:rsidRPr="00F522BB">
        <w:rPr>
          <w:rFonts w:ascii="Arial" w:hAnsi="Arial" w:cs="Arial"/>
          <w:b/>
          <w:sz w:val="24"/>
          <w:szCs w:val="24"/>
          <w:u w:val="single"/>
        </w:rPr>
        <w:t xml:space="preserve"> IV</w:t>
      </w:r>
    </w:p>
    <w:p w:rsidR="00EF6A76" w:rsidRPr="00F522BB" w:rsidRDefault="00EF6A76" w:rsidP="003F3B46">
      <w:pPr>
        <w:spacing w:after="0"/>
        <w:rPr>
          <w:rFonts w:ascii="Arial" w:hAnsi="Arial" w:cs="Arial"/>
          <w:b/>
          <w:sz w:val="24"/>
          <w:szCs w:val="24"/>
          <w:u w:val="single"/>
        </w:rPr>
      </w:pPr>
    </w:p>
    <w:p w:rsidR="00EF6A76" w:rsidRPr="003A536D" w:rsidRDefault="00EF6A76" w:rsidP="003F3B46">
      <w:pPr>
        <w:spacing w:after="0"/>
        <w:rPr>
          <w:rFonts w:ascii="Arial" w:hAnsi="Arial" w:cs="Arial"/>
          <w:b/>
          <w:sz w:val="24"/>
          <w:szCs w:val="24"/>
          <w:u w:val="single"/>
        </w:rPr>
      </w:pPr>
      <w:r w:rsidRPr="003A536D">
        <w:rPr>
          <w:rFonts w:ascii="Arial" w:hAnsi="Arial" w:cs="Arial"/>
          <w:b/>
          <w:sz w:val="24"/>
          <w:szCs w:val="24"/>
          <w:u w:val="single"/>
        </w:rPr>
        <w:t>Non-small cell lung cancer</w:t>
      </w:r>
    </w:p>
    <w:p w:rsidR="00EF6A76" w:rsidRPr="008408C3" w:rsidRDefault="00EF6A76" w:rsidP="003F3B46">
      <w:pPr>
        <w:spacing w:after="0"/>
        <w:rPr>
          <w:rFonts w:ascii="Arial" w:hAnsi="Arial" w:cs="Arial"/>
          <w:b/>
          <w:sz w:val="24"/>
          <w:szCs w:val="24"/>
        </w:rPr>
      </w:pPr>
    </w:p>
    <w:p w:rsidR="00EF6A76" w:rsidRDefault="00EF6A76" w:rsidP="003F3B46">
      <w:pPr>
        <w:spacing w:after="0"/>
        <w:rPr>
          <w:rFonts w:ascii="Arial" w:hAnsi="Arial" w:cs="Arial"/>
          <w:sz w:val="24"/>
          <w:szCs w:val="24"/>
        </w:rPr>
      </w:pPr>
      <w:r>
        <w:rPr>
          <w:rFonts w:ascii="Arial" w:hAnsi="Arial" w:cs="Arial"/>
          <w:sz w:val="24"/>
          <w:szCs w:val="24"/>
        </w:rPr>
        <w:t xml:space="preserve">The activity of </w:t>
      </w:r>
      <w:proofErr w:type="spellStart"/>
      <w:r>
        <w:rPr>
          <w:rFonts w:ascii="Arial" w:hAnsi="Arial" w:cs="Arial"/>
          <w:sz w:val="24"/>
          <w:szCs w:val="24"/>
        </w:rPr>
        <w:t>vinorelbine</w:t>
      </w:r>
      <w:proofErr w:type="spellEnd"/>
      <w:r>
        <w:rPr>
          <w:rFonts w:ascii="Arial" w:hAnsi="Arial" w:cs="Arial"/>
          <w:sz w:val="24"/>
          <w:szCs w:val="24"/>
        </w:rPr>
        <w:t xml:space="preserve"> was investigated in a series of phase II trials.  The overall response rate to </w:t>
      </w:r>
      <w:proofErr w:type="spellStart"/>
      <w:r>
        <w:rPr>
          <w:rFonts w:ascii="Arial" w:hAnsi="Arial" w:cs="Arial"/>
          <w:sz w:val="24"/>
          <w:szCs w:val="24"/>
        </w:rPr>
        <w:t>vinorelbine</w:t>
      </w:r>
      <w:proofErr w:type="spellEnd"/>
      <w:r>
        <w:rPr>
          <w:rFonts w:ascii="Arial" w:hAnsi="Arial" w:cs="Arial"/>
          <w:sz w:val="24"/>
          <w:szCs w:val="24"/>
        </w:rPr>
        <w:t xml:space="preserve"> single agent in NSCLC patients ranged from 8% to 33% in previously untreated patients.  In the two major phase II trials with more than 60 evaluable patients, the overall response rate was over 30% in chemotherapy-naive patients.  The high activity of </w:t>
      </w:r>
      <w:proofErr w:type="spellStart"/>
      <w:r>
        <w:rPr>
          <w:rFonts w:ascii="Arial" w:hAnsi="Arial" w:cs="Arial"/>
          <w:sz w:val="24"/>
          <w:szCs w:val="24"/>
        </w:rPr>
        <w:t>vinorelbine</w:t>
      </w:r>
      <w:proofErr w:type="spellEnd"/>
      <w:r>
        <w:rPr>
          <w:rFonts w:ascii="Arial" w:hAnsi="Arial" w:cs="Arial"/>
          <w:sz w:val="24"/>
          <w:szCs w:val="24"/>
        </w:rPr>
        <w:t xml:space="preserve"> as single agent in non-small cell lung cancer which was observed in non-controlled phase II studies has also been confirmed in three randomised phase III trials.  In one prospective randomised study with 216 stage IV patients, </w:t>
      </w:r>
      <w:proofErr w:type="spellStart"/>
      <w:r>
        <w:rPr>
          <w:rFonts w:ascii="Arial" w:hAnsi="Arial" w:cs="Arial"/>
          <w:sz w:val="24"/>
          <w:szCs w:val="24"/>
        </w:rPr>
        <w:t>vinorelbine</w:t>
      </w:r>
      <w:proofErr w:type="spellEnd"/>
      <w:r>
        <w:rPr>
          <w:rFonts w:ascii="Arial" w:hAnsi="Arial" w:cs="Arial"/>
          <w:sz w:val="24"/>
          <w:szCs w:val="24"/>
        </w:rPr>
        <w:t xml:space="preserve"> was compared to 5-fluorouracil with </w:t>
      </w:r>
      <w:proofErr w:type="spellStart"/>
      <w:r>
        <w:rPr>
          <w:rFonts w:ascii="Arial" w:hAnsi="Arial" w:cs="Arial"/>
          <w:sz w:val="24"/>
          <w:szCs w:val="24"/>
        </w:rPr>
        <w:t>leucovorin</w:t>
      </w:r>
      <w:proofErr w:type="spellEnd"/>
      <w:r>
        <w:rPr>
          <w:rFonts w:ascii="Arial" w:hAnsi="Arial" w:cs="Arial"/>
          <w:sz w:val="24"/>
          <w:szCs w:val="24"/>
        </w:rPr>
        <w:t xml:space="preserve"> (considered equivalent to best supportive care for the purposes of the study).</w:t>
      </w:r>
    </w:p>
    <w:p w:rsidR="00EF6A76" w:rsidRDefault="00EF6A76" w:rsidP="003F3B46">
      <w:pPr>
        <w:spacing w:after="0"/>
        <w:rPr>
          <w:rFonts w:ascii="Arial" w:hAnsi="Arial" w:cs="Arial"/>
          <w:sz w:val="24"/>
          <w:szCs w:val="24"/>
        </w:rPr>
      </w:pPr>
    </w:p>
    <w:p w:rsidR="00EF6A76" w:rsidRDefault="00EF6A76" w:rsidP="003F3B46">
      <w:pPr>
        <w:spacing w:after="0"/>
        <w:rPr>
          <w:rFonts w:ascii="Arial" w:hAnsi="Arial" w:cs="Arial"/>
          <w:sz w:val="24"/>
          <w:szCs w:val="24"/>
        </w:rPr>
      </w:pPr>
      <w:r>
        <w:rPr>
          <w:rFonts w:ascii="Arial" w:hAnsi="Arial" w:cs="Arial"/>
          <w:sz w:val="24"/>
          <w:szCs w:val="24"/>
        </w:rPr>
        <w:t xml:space="preserve">The median survival time of patients who received </w:t>
      </w:r>
      <w:proofErr w:type="spellStart"/>
      <w:r>
        <w:rPr>
          <w:rFonts w:ascii="Arial" w:hAnsi="Arial" w:cs="Arial"/>
          <w:sz w:val="24"/>
          <w:szCs w:val="24"/>
        </w:rPr>
        <w:t>vinorelbine</w:t>
      </w:r>
      <w:proofErr w:type="spellEnd"/>
      <w:r>
        <w:rPr>
          <w:rFonts w:ascii="Arial" w:hAnsi="Arial" w:cs="Arial"/>
          <w:sz w:val="24"/>
          <w:szCs w:val="24"/>
        </w:rPr>
        <w:t xml:space="preserve"> was 30 weeks compared to 22 weeks for those on the 5-fluorouracil/</w:t>
      </w:r>
      <w:proofErr w:type="spellStart"/>
      <w:r>
        <w:rPr>
          <w:rFonts w:ascii="Arial" w:hAnsi="Arial" w:cs="Arial"/>
          <w:sz w:val="24"/>
          <w:szCs w:val="24"/>
        </w:rPr>
        <w:t>leucovorin</w:t>
      </w:r>
      <w:proofErr w:type="spellEnd"/>
      <w:r>
        <w:rPr>
          <w:rFonts w:ascii="Arial" w:hAnsi="Arial" w:cs="Arial"/>
          <w:sz w:val="24"/>
          <w:szCs w:val="24"/>
        </w:rPr>
        <w:t xml:space="preserve"> arm (log-rank p=0.03).  The response rates were 12% for the </w:t>
      </w:r>
      <w:proofErr w:type="spellStart"/>
      <w:r>
        <w:rPr>
          <w:rFonts w:ascii="Arial" w:hAnsi="Arial" w:cs="Arial"/>
          <w:sz w:val="24"/>
          <w:szCs w:val="24"/>
        </w:rPr>
        <w:t>vinorelbine</w:t>
      </w:r>
      <w:proofErr w:type="spellEnd"/>
      <w:r>
        <w:rPr>
          <w:rFonts w:ascii="Arial" w:hAnsi="Arial" w:cs="Arial"/>
          <w:sz w:val="24"/>
          <w:szCs w:val="24"/>
        </w:rPr>
        <w:t xml:space="preserve"> arm and 3% for the fluorouracil/</w:t>
      </w:r>
      <w:proofErr w:type="spellStart"/>
      <w:r>
        <w:rPr>
          <w:rFonts w:ascii="Arial" w:hAnsi="Arial" w:cs="Arial"/>
          <w:sz w:val="24"/>
          <w:szCs w:val="24"/>
        </w:rPr>
        <w:t>leucovorin</w:t>
      </w:r>
      <w:proofErr w:type="spellEnd"/>
      <w:r>
        <w:rPr>
          <w:rFonts w:ascii="Arial" w:hAnsi="Arial" w:cs="Arial"/>
          <w:sz w:val="24"/>
          <w:szCs w:val="24"/>
        </w:rPr>
        <w:t xml:space="preserve"> arm. </w:t>
      </w:r>
    </w:p>
    <w:p w:rsidR="00EF6A76" w:rsidRDefault="00EF6A76" w:rsidP="003F3B46">
      <w:pPr>
        <w:spacing w:after="0"/>
        <w:rPr>
          <w:rFonts w:ascii="Arial" w:hAnsi="Arial" w:cs="Arial"/>
          <w:sz w:val="24"/>
          <w:szCs w:val="24"/>
        </w:rPr>
      </w:pPr>
    </w:p>
    <w:p w:rsidR="00EF6A76" w:rsidRDefault="00EF6A76" w:rsidP="003F3B46">
      <w:pPr>
        <w:spacing w:after="0"/>
        <w:rPr>
          <w:rFonts w:ascii="Arial" w:hAnsi="Arial" w:cs="Arial"/>
          <w:sz w:val="24"/>
          <w:szCs w:val="24"/>
        </w:rPr>
      </w:pPr>
      <w:r>
        <w:rPr>
          <w:rFonts w:ascii="Arial" w:hAnsi="Arial" w:cs="Arial"/>
          <w:sz w:val="24"/>
          <w:szCs w:val="24"/>
        </w:rPr>
        <w:t xml:space="preserve">The activity of </w:t>
      </w:r>
      <w:proofErr w:type="spellStart"/>
      <w:r>
        <w:rPr>
          <w:rFonts w:ascii="Arial" w:hAnsi="Arial" w:cs="Arial"/>
          <w:sz w:val="24"/>
          <w:szCs w:val="24"/>
        </w:rPr>
        <w:t>vinorelbine</w:t>
      </w:r>
      <w:proofErr w:type="spellEnd"/>
      <w:r>
        <w:rPr>
          <w:rFonts w:ascii="Arial" w:hAnsi="Arial" w:cs="Arial"/>
          <w:sz w:val="24"/>
          <w:szCs w:val="24"/>
        </w:rPr>
        <w:t xml:space="preserve"> in combination with </w:t>
      </w:r>
      <w:proofErr w:type="spellStart"/>
      <w:r>
        <w:rPr>
          <w:rFonts w:ascii="Arial" w:hAnsi="Arial" w:cs="Arial"/>
          <w:sz w:val="24"/>
          <w:szCs w:val="24"/>
        </w:rPr>
        <w:t>cisplatin</w:t>
      </w:r>
      <w:proofErr w:type="spellEnd"/>
      <w:r>
        <w:rPr>
          <w:rFonts w:ascii="Arial" w:hAnsi="Arial" w:cs="Arial"/>
          <w:sz w:val="24"/>
          <w:szCs w:val="24"/>
        </w:rPr>
        <w:t xml:space="preserve"> has been investigated in two randomised phase III trials in a total of 782 patients.  In a two arm trial, </w:t>
      </w:r>
      <w:proofErr w:type="spellStart"/>
      <w:r>
        <w:rPr>
          <w:rFonts w:ascii="Arial" w:hAnsi="Arial" w:cs="Arial"/>
          <w:sz w:val="24"/>
          <w:szCs w:val="24"/>
        </w:rPr>
        <w:t>vinorelbine</w:t>
      </w:r>
      <w:proofErr w:type="spellEnd"/>
      <w:r>
        <w:rPr>
          <w:rFonts w:ascii="Arial" w:hAnsi="Arial" w:cs="Arial"/>
          <w:sz w:val="24"/>
          <w:szCs w:val="24"/>
        </w:rPr>
        <w:t xml:space="preserve"> was compared to </w:t>
      </w:r>
      <w:proofErr w:type="spellStart"/>
      <w:r>
        <w:rPr>
          <w:rFonts w:ascii="Arial" w:hAnsi="Arial" w:cs="Arial"/>
          <w:sz w:val="24"/>
          <w:szCs w:val="24"/>
        </w:rPr>
        <w:t>vinorelbine</w:t>
      </w:r>
      <w:proofErr w:type="spellEnd"/>
      <w:r>
        <w:rPr>
          <w:rFonts w:ascii="Arial" w:hAnsi="Arial" w:cs="Arial"/>
          <w:sz w:val="24"/>
          <w:szCs w:val="24"/>
        </w:rPr>
        <w:t xml:space="preserve"> with </w:t>
      </w:r>
      <w:proofErr w:type="spellStart"/>
      <w:r>
        <w:rPr>
          <w:rFonts w:ascii="Arial" w:hAnsi="Arial" w:cs="Arial"/>
          <w:sz w:val="24"/>
          <w:szCs w:val="24"/>
        </w:rPr>
        <w:t>cisplatin</w:t>
      </w:r>
      <w:proofErr w:type="spellEnd"/>
      <w:r>
        <w:rPr>
          <w:rFonts w:ascii="Arial" w:hAnsi="Arial" w:cs="Arial"/>
          <w:sz w:val="24"/>
          <w:szCs w:val="24"/>
        </w:rPr>
        <w:t xml:space="preserve">.  The overall response rate to </w:t>
      </w:r>
      <w:proofErr w:type="spellStart"/>
      <w:r>
        <w:rPr>
          <w:rFonts w:ascii="Arial" w:hAnsi="Arial" w:cs="Arial"/>
          <w:sz w:val="24"/>
          <w:szCs w:val="24"/>
        </w:rPr>
        <w:t>vinorelbine</w:t>
      </w:r>
      <w:proofErr w:type="spellEnd"/>
      <w:r>
        <w:rPr>
          <w:rFonts w:ascii="Arial" w:hAnsi="Arial" w:cs="Arial"/>
          <w:sz w:val="24"/>
          <w:szCs w:val="24"/>
        </w:rPr>
        <w:t xml:space="preserve"> as single agent was 16% while that of the combination </w:t>
      </w:r>
      <w:proofErr w:type="spellStart"/>
      <w:r>
        <w:rPr>
          <w:rFonts w:ascii="Arial" w:hAnsi="Arial" w:cs="Arial"/>
          <w:sz w:val="24"/>
          <w:szCs w:val="24"/>
        </w:rPr>
        <w:t>vinorelbine</w:t>
      </w:r>
      <w:proofErr w:type="spellEnd"/>
      <w:r>
        <w:rPr>
          <w:rFonts w:ascii="Arial" w:hAnsi="Arial" w:cs="Arial"/>
          <w:sz w:val="24"/>
          <w:szCs w:val="24"/>
        </w:rPr>
        <w:t>/</w:t>
      </w:r>
      <w:proofErr w:type="spellStart"/>
      <w:r>
        <w:rPr>
          <w:rFonts w:ascii="Arial" w:hAnsi="Arial" w:cs="Arial"/>
          <w:sz w:val="24"/>
          <w:szCs w:val="24"/>
        </w:rPr>
        <w:t>cisplatin</w:t>
      </w:r>
      <w:proofErr w:type="spellEnd"/>
      <w:r>
        <w:rPr>
          <w:rFonts w:ascii="Arial" w:hAnsi="Arial" w:cs="Arial"/>
          <w:sz w:val="24"/>
          <w:szCs w:val="24"/>
        </w:rPr>
        <w:t xml:space="preserve"> was 43%.  The median  survival time for patients receiving </w:t>
      </w:r>
      <w:proofErr w:type="spellStart"/>
      <w:r>
        <w:rPr>
          <w:rFonts w:ascii="Arial" w:hAnsi="Arial" w:cs="Arial"/>
          <w:sz w:val="24"/>
          <w:szCs w:val="24"/>
        </w:rPr>
        <w:t>vinorelbine</w:t>
      </w:r>
      <w:proofErr w:type="spellEnd"/>
      <w:r>
        <w:rPr>
          <w:rFonts w:ascii="Arial" w:hAnsi="Arial" w:cs="Arial"/>
          <w:sz w:val="24"/>
          <w:szCs w:val="24"/>
        </w:rPr>
        <w:t xml:space="preserve"> as single agent was similar to that observed with </w:t>
      </w:r>
      <w:proofErr w:type="spellStart"/>
      <w:r>
        <w:rPr>
          <w:rFonts w:ascii="Arial" w:hAnsi="Arial" w:cs="Arial"/>
          <w:sz w:val="24"/>
          <w:szCs w:val="24"/>
        </w:rPr>
        <w:t>vinorelbine</w:t>
      </w:r>
      <w:proofErr w:type="spellEnd"/>
      <w:r>
        <w:rPr>
          <w:rFonts w:ascii="Arial" w:hAnsi="Arial" w:cs="Arial"/>
          <w:sz w:val="24"/>
          <w:szCs w:val="24"/>
        </w:rPr>
        <w:t xml:space="preserve"> and </w:t>
      </w:r>
      <w:proofErr w:type="spellStart"/>
      <w:r>
        <w:rPr>
          <w:rFonts w:ascii="Arial" w:hAnsi="Arial" w:cs="Arial"/>
          <w:sz w:val="24"/>
          <w:szCs w:val="24"/>
        </w:rPr>
        <w:t>cisplatin</w:t>
      </w:r>
      <w:proofErr w:type="spellEnd"/>
      <w:r>
        <w:rPr>
          <w:rFonts w:ascii="Arial" w:hAnsi="Arial" w:cs="Arial"/>
          <w:sz w:val="24"/>
          <w:szCs w:val="24"/>
        </w:rPr>
        <w:t>.</w:t>
      </w:r>
    </w:p>
    <w:p w:rsidR="00EF6A76" w:rsidRDefault="00EF6A76" w:rsidP="003F3B46">
      <w:pPr>
        <w:spacing w:after="0"/>
        <w:rPr>
          <w:rFonts w:ascii="Arial" w:hAnsi="Arial" w:cs="Arial"/>
          <w:sz w:val="24"/>
          <w:szCs w:val="24"/>
        </w:rPr>
      </w:pPr>
    </w:p>
    <w:p w:rsidR="00EF6A76" w:rsidRDefault="00EF6A76" w:rsidP="003F3B46">
      <w:pPr>
        <w:spacing w:after="0"/>
        <w:rPr>
          <w:rFonts w:ascii="Arial" w:hAnsi="Arial" w:cs="Arial"/>
          <w:sz w:val="24"/>
          <w:szCs w:val="24"/>
        </w:rPr>
      </w:pPr>
      <w:r>
        <w:rPr>
          <w:rFonts w:ascii="Arial" w:hAnsi="Arial" w:cs="Arial"/>
          <w:sz w:val="24"/>
          <w:szCs w:val="24"/>
        </w:rPr>
        <w:t xml:space="preserve">In a large European clinical trial, 612 patients with Stage III or IV non-small cell lung cancer, no prior chemotherapy and WHO performance status of 0, 1 or 2 were randomised to treatment with single-agent </w:t>
      </w:r>
      <w:proofErr w:type="spellStart"/>
      <w:r>
        <w:rPr>
          <w:rFonts w:ascii="Arial" w:hAnsi="Arial" w:cs="Arial"/>
          <w:sz w:val="24"/>
          <w:szCs w:val="24"/>
        </w:rPr>
        <w:t>vinorelbine</w:t>
      </w:r>
      <w:proofErr w:type="spellEnd"/>
      <w:r>
        <w:rPr>
          <w:rFonts w:ascii="Arial" w:hAnsi="Arial" w:cs="Arial"/>
          <w:sz w:val="24"/>
          <w:szCs w:val="24"/>
        </w:rPr>
        <w:t xml:space="preserve"> (30 mg/m</w:t>
      </w:r>
      <w:r w:rsidRPr="00E342BE">
        <w:rPr>
          <w:rFonts w:ascii="Arial" w:hAnsi="Arial" w:cs="Arial"/>
          <w:sz w:val="24"/>
          <w:szCs w:val="24"/>
          <w:vertAlign w:val="superscript"/>
        </w:rPr>
        <w:t>2</w:t>
      </w:r>
      <w:r>
        <w:rPr>
          <w:rFonts w:ascii="Arial" w:hAnsi="Arial" w:cs="Arial"/>
          <w:sz w:val="24"/>
          <w:szCs w:val="24"/>
        </w:rPr>
        <w:t xml:space="preserve">/week),  </w:t>
      </w:r>
      <w:proofErr w:type="spellStart"/>
      <w:r>
        <w:rPr>
          <w:rFonts w:ascii="Arial" w:hAnsi="Arial" w:cs="Arial"/>
          <w:sz w:val="24"/>
          <w:szCs w:val="24"/>
        </w:rPr>
        <w:t>vinorelbine</w:t>
      </w:r>
      <w:proofErr w:type="spellEnd"/>
      <w:r>
        <w:rPr>
          <w:rFonts w:ascii="Arial" w:hAnsi="Arial" w:cs="Arial"/>
          <w:sz w:val="24"/>
          <w:szCs w:val="24"/>
        </w:rPr>
        <w:t xml:space="preserve"> (30 mg/m</w:t>
      </w:r>
      <w:r w:rsidRPr="00E342BE">
        <w:rPr>
          <w:rFonts w:ascii="Arial" w:hAnsi="Arial" w:cs="Arial"/>
          <w:sz w:val="24"/>
          <w:szCs w:val="24"/>
          <w:vertAlign w:val="superscript"/>
        </w:rPr>
        <w:t>2</w:t>
      </w:r>
      <w:r>
        <w:rPr>
          <w:rFonts w:ascii="Arial" w:hAnsi="Arial" w:cs="Arial"/>
          <w:sz w:val="24"/>
          <w:szCs w:val="24"/>
        </w:rPr>
        <w:t xml:space="preserve">/week), </w:t>
      </w:r>
      <w:proofErr w:type="spellStart"/>
      <w:r>
        <w:rPr>
          <w:rFonts w:ascii="Arial" w:hAnsi="Arial" w:cs="Arial"/>
          <w:sz w:val="24"/>
          <w:szCs w:val="24"/>
        </w:rPr>
        <w:t>cisplatin</w:t>
      </w:r>
      <w:proofErr w:type="spellEnd"/>
      <w:r>
        <w:rPr>
          <w:rFonts w:ascii="Arial" w:hAnsi="Arial" w:cs="Arial"/>
          <w:sz w:val="24"/>
          <w:szCs w:val="24"/>
        </w:rPr>
        <w:t xml:space="preserve"> (120 mg/m</w:t>
      </w:r>
      <w:r w:rsidRPr="00E342BE">
        <w:rPr>
          <w:rFonts w:ascii="Arial" w:hAnsi="Arial" w:cs="Arial"/>
          <w:sz w:val="24"/>
          <w:szCs w:val="24"/>
          <w:vertAlign w:val="superscript"/>
        </w:rPr>
        <w:t>2</w:t>
      </w:r>
      <w:r>
        <w:rPr>
          <w:rFonts w:ascii="Arial" w:hAnsi="Arial" w:cs="Arial"/>
          <w:sz w:val="24"/>
          <w:szCs w:val="24"/>
        </w:rPr>
        <w:t xml:space="preserve"> days 1 and 29 then every 6 weeks), and </w:t>
      </w:r>
      <w:proofErr w:type="spellStart"/>
      <w:r>
        <w:rPr>
          <w:rFonts w:ascii="Arial" w:hAnsi="Arial" w:cs="Arial"/>
          <w:sz w:val="24"/>
          <w:szCs w:val="24"/>
        </w:rPr>
        <w:t>vindesine</w:t>
      </w:r>
      <w:proofErr w:type="spellEnd"/>
      <w:r>
        <w:rPr>
          <w:rFonts w:ascii="Arial" w:hAnsi="Arial" w:cs="Arial"/>
          <w:sz w:val="24"/>
          <w:szCs w:val="24"/>
        </w:rPr>
        <w:t xml:space="preserve"> (3 mg/m</w:t>
      </w:r>
      <w:r w:rsidRPr="00E342BE">
        <w:rPr>
          <w:rFonts w:ascii="Arial" w:hAnsi="Arial" w:cs="Arial"/>
          <w:sz w:val="24"/>
          <w:szCs w:val="24"/>
          <w:vertAlign w:val="superscript"/>
        </w:rPr>
        <w:t>2</w:t>
      </w:r>
      <w:r>
        <w:rPr>
          <w:rFonts w:ascii="Arial" w:hAnsi="Arial" w:cs="Arial"/>
          <w:sz w:val="24"/>
          <w:szCs w:val="24"/>
        </w:rPr>
        <w:t xml:space="preserve">/week for 7 weeks, then every second week) plus </w:t>
      </w:r>
      <w:proofErr w:type="spellStart"/>
      <w:r>
        <w:rPr>
          <w:rFonts w:ascii="Arial" w:hAnsi="Arial" w:cs="Arial"/>
          <w:sz w:val="24"/>
          <w:szCs w:val="24"/>
        </w:rPr>
        <w:t>cisplatin</w:t>
      </w:r>
      <w:proofErr w:type="spellEnd"/>
      <w:r>
        <w:rPr>
          <w:rFonts w:ascii="Arial" w:hAnsi="Arial" w:cs="Arial"/>
          <w:sz w:val="24"/>
          <w:szCs w:val="24"/>
        </w:rPr>
        <w:t xml:space="preserve"> (120 mg/m</w:t>
      </w:r>
      <w:r w:rsidRPr="00E342BE">
        <w:rPr>
          <w:rFonts w:ascii="Arial" w:hAnsi="Arial" w:cs="Arial"/>
          <w:sz w:val="24"/>
          <w:szCs w:val="24"/>
          <w:vertAlign w:val="superscript"/>
        </w:rPr>
        <w:t>2</w:t>
      </w:r>
      <w:r>
        <w:rPr>
          <w:rFonts w:ascii="Arial" w:hAnsi="Arial" w:cs="Arial"/>
          <w:sz w:val="24"/>
          <w:szCs w:val="24"/>
        </w:rPr>
        <w:t xml:space="preserve"> days 1 and 29 then every 6 weeks).  </w:t>
      </w:r>
      <w:proofErr w:type="spellStart"/>
      <w:r>
        <w:rPr>
          <w:rFonts w:ascii="Arial" w:hAnsi="Arial" w:cs="Arial"/>
          <w:sz w:val="24"/>
          <w:szCs w:val="24"/>
        </w:rPr>
        <w:t>Vinorelbine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produced longer survival times than </w:t>
      </w:r>
      <w:proofErr w:type="spellStart"/>
      <w:r>
        <w:rPr>
          <w:rFonts w:ascii="Arial" w:hAnsi="Arial" w:cs="Arial"/>
          <w:sz w:val="24"/>
          <w:szCs w:val="24"/>
        </w:rPr>
        <w:t>vindesine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(median survival 40 weeks </w:t>
      </w:r>
      <w:proofErr w:type="spellStart"/>
      <w:r>
        <w:rPr>
          <w:rFonts w:ascii="Arial" w:hAnsi="Arial" w:cs="Arial"/>
          <w:sz w:val="24"/>
          <w:szCs w:val="24"/>
        </w:rPr>
        <w:t>vs</w:t>
      </w:r>
      <w:proofErr w:type="spellEnd"/>
      <w:r>
        <w:rPr>
          <w:rFonts w:ascii="Arial" w:hAnsi="Arial" w:cs="Arial"/>
          <w:sz w:val="24"/>
          <w:szCs w:val="24"/>
        </w:rPr>
        <w:t xml:space="preserve"> 32 weeks, p=0.03).  The median survival time for patients receiving single-agent </w:t>
      </w:r>
      <w:proofErr w:type="spellStart"/>
      <w:r>
        <w:rPr>
          <w:rFonts w:ascii="Arial" w:hAnsi="Arial" w:cs="Arial"/>
          <w:sz w:val="24"/>
          <w:szCs w:val="24"/>
        </w:rPr>
        <w:t>vinorelbine</w:t>
      </w:r>
      <w:proofErr w:type="spellEnd"/>
      <w:r>
        <w:rPr>
          <w:rFonts w:ascii="Arial" w:hAnsi="Arial" w:cs="Arial"/>
          <w:sz w:val="24"/>
          <w:szCs w:val="24"/>
        </w:rPr>
        <w:t xml:space="preserve"> was similar to that observed with </w:t>
      </w:r>
      <w:proofErr w:type="spellStart"/>
      <w:r>
        <w:rPr>
          <w:rFonts w:ascii="Arial" w:hAnsi="Arial" w:cs="Arial"/>
          <w:sz w:val="24"/>
          <w:szCs w:val="24"/>
        </w:rPr>
        <w:t>vindesine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(31 weeks </w:t>
      </w:r>
      <w:proofErr w:type="spellStart"/>
      <w:r>
        <w:rPr>
          <w:rFonts w:ascii="Arial" w:hAnsi="Arial" w:cs="Arial"/>
          <w:sz w:val="24"/>
          <w:szCs w:val="24"/>
        </w:rPr>
        <w:t>vs</w:t>
      </w:r>
      <w:proofErr w:type="spellEnd"/>
      <w:r>
        <w:rPr>
          <w:rFonts w:ascii="Arial" w:hAnsi="Arial" w:cs="Arial"/>
          <w:sz w:val="24"/>
          <w:szCs w:val="24"/>
        </w:rPr>
        <w:t xml:space="preserve"> 32 weeks).  The 1-year survival rates were 36% for </w:t>
      </w:r>
      <w:proofErr w:type="spellStart"/>
      <w:r>
        <w:rPr>
          <w:rFonts w:ascii="Arial" w:hAnsi="Arial" w:cs="Arial"/>
          <w:sz w:val="24"/>
          <w:szCs w:val="24"/>
        </w:rPr>
        <w:t>vinorelbine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27% for </w:t>
      </w:r>
      <w:proofErr w:type="spellStart"/>
      <w:r>
        <w:rPr>
          <w:rFonts w:ascii="Arial" w:hAnsi="Arial" w:cs="Arial"/>
          <w:sz w:val="24"/>
          <w:szCs w:val="24"/>
        </w:rPr>
        <w:t>vindesine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and 30% for single-agent </w:t>
      </w:r>
      <w:proofErr w:type="spellStart"/>
      <w:r>
        <w:rPr>
          <w:rFonts w:ascii="Arial" w:hAnsi="Arial" w:cs="Arial"/>
          <w:sz w:val="24"/>
          <w:szCs w:val="24"/>
        </w:rPr>
        <w:t>vinorelbine</w:t>
      </w:r>
      <w:proofErr w:type="spellEnd"/>
      <w:r>
        <w:rPr>
          <w:rFonts w:ascii="Arial" w:hAnsi="Arial" w:cs="Arial"/>
          <w:sz w:val="24"/>
          <w:szCs w:val="24"/>
        </w:rPr>
        <w:t xml:space="preserve">.  The overall objective response rate (all partial responses) was significantly higher in patients treated with </w:t>
      </w:r>
      <w:proofErr w:type="spellStart"/>
      <w:r>
        <w:rPr>
          <w:rFonts w:ascii="Arial" w:hAnsi="Arial" w:cs="Arial"/>
          <w:sz w:val="24"/>
          <w:szCs w:val="24"/>
        </w:rPr>
        <w:t>vinorelbine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(28%) than in those treated with </w:t>
      </w:r>
      <w:proofErr w:type="spellStart"/>
      <w:r>
        <w:rPr>
          <w:rFonts w:ascii="Arial" w:hAnsi="Arial" w:cs="Arial"/>
          <w:sz w:val="24"/>
          <w:szCs w:val="24"/>
        </w:rPr>
        <w:t>vindesine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(19%, p=0.03) and in those treated with single-agent </w:t>
      </w:r>
      <w:proofErr w:type="spellStart"/>
      <w:r>
        <w:rPr>
          <w:rFonts w:ascii="Arial" w:hAnsi="Arial" w:cs="Arial"/>
          <w:sz w:val="24"/>
          <w:szCs w:val="24"/>
        </w:rPr>
        <w:t>vinorelbine</w:t>
      </w:r>
      <w:proofErr w:type="spellEnd"/>
      <w:r>
        <w:rPr>
          <w:rFonts w:ascii="Arial" w:hAnsi="Arial" w:cs="Arial"/>
          <w:sz w:val="24"/>
          <w:szCs w:val="24"/>
        </w:rPr>
        <w:t xml:space="preserve"> (14%, p &lt; 0.001).  The response rates reported for </w:t>
      </w:r>
      <w:proofErr w:type="spellStart"/>
      <w:r>
        <w:rPr>
          <w:rFonts w:ascii="Arial" w:hAnsi="Arial" w:cs="Arial"/>
          <w:sz w:val="24"/>
          <w:szCs w:val="24"/>
        </w:rPr>
        <w:t>vindesine</w:t>
      </w:r>
      <w:proofErr w:type="spellEnd"/>
      <w:r>
        <w:rPr>
          <w:rFonts w:ascii="Arial" w:hAnsi="Arial" w:cs="Arial"/>
          <w:sz w:val="24"/>
          <w:szCs w:val="24"/>
        </w:rPr>
        <w:t xml:space="preserve"> plus </w:t>
      </w:r>
      <w:proofErr w:type="spellStart"/>
      <w:r>
        <w:rPr>
          <w:rFonts w:ascii="Arial" w:hAnsi="Arial" w:cs="Arial"/>
          <w:sz w:val="24"/>
          <w:szCs w:val="24"/>
        </w:rPr>
        <w:t>cisplatin</w:t>
      </w:r>
      <w:proofErr w:type="spellEnd"/>
      <w:r>
        <w:rPr>
          <w:rFonts w:ascii="Arial" w:hAnsi="Arial" w:cs="Arial"/>
          <w:sz w:val="24"/>
          <w:szCs w:val="24"/>
        </w:rPr>
        <w:t xml:space="preserve"> and single-agent </w:t>
      </w:r>
      <w:proofErr w:type="spellStart"/>
      <w:r>
        <w:rPr>
          <w:rFonts w:ascii="Arial" w:hAnsi="Arial" w:cs="Arial"/>
          <w:sz w:val="24"/>
          <w:szCs w:val="24"/>
        </w:rPr>
        <w:t>vinorelbine</w:t>
      </w:r>
      <w:proofErr w:type="spellEnd"/>
      <w:r>
        <w:rPr>
          <w:rFonts w:ascii="Arial" w:hAnsi="Arial" w:cs="Arial"/>
          <w:sz w:val="24"/>
          <w:szCs w:val="24"/>
        </w:rPr>
        <w:t xml:space="preserve"> were not significantly different.  Significantly, less nausea, vomiting, alopecia and neurotoxicity were observed in patients receiving single-agent </w:t>
      </w:r>
      <w:proofErr w:type="spellStart"/>
      <w:r>
        <w:rPr>
          <w:rFonts w:ascii="Arial" w:hAnsi="Arial" w:cs="Arial"/>
          <w:sz w:val="24"/>
          <w:szCs w:val="24"/>
        </w:rPr>
        <w:t>vinorelbine</w:t>
      </w:r>
      <w:proofErr w:type="spellEnd"/>
      <w:r>
        <w:rPr>
          <w:rFonts w:ascii="Arial" w:hAnsi="Arial" w:cs="Arial"/>
          <w:sz w:val="24"/>
          <w:szCs w:val="24"/>
        </w:rPr>
        <w:t xml:space="preserve"> compared to those receiving the combination of </w:t>
      </w:r>
      <w:proofErr w:type="spellStart"/>
      <w:r>
        <w:rPr>
          <w:rFonts w:ascii="Arial" w:hAnsi="Arial" w:cs="Arial"/>
          <w:sz w:val="24"/>
          <w:szCs w:val="24"/>
        </w:rPr>
        <w:t>vindesine</w:t>
      </w:r>
      <w:proofErr w:type="spellEnd"/>
      <w:r>
        <w:rPr>
          <w:rFonts w:ascii="Arial" w:hAnsi="Arial" w:cs="Arial"/>
          <w:sz w:val="24"/>
          <w:szCs w:val="24"/>
        </w:rPr>
        <w:t xml:space="preserve"> and </w:t>
      </w:r>
      <w:proofErr w:type="spellStart"/>
      <w:r>
        <w:rPr>
          <w:rFonts w:ascii="Arial" w:hAnsi="Arial" w:cs="Arial"/>
          <w:sz w:val="24"/>
          <w:szCs w:val="24"/>
        </w:rPr>
        <w:t>cisplatin</w:t>
      </w:r>
      <w:proofErr w:type="spellEnd"/>
      <w:r>
        <w:rPr>
          <w:rFonts w:ascii="Arial" w:hAnsi="Arial" w:cs="Arial"/>
          <w:sz w:val="24"/>
          <w:szCs w:val="24"/>
        </w:rPr>
        <w:t xml:space="preserve">.    </w:t>
      </w:r>
    </w:p>
    <w:p w:rsidR="00EF6A76" w:rsidRDefault="00EF6A76" w:rsidP="003F3B46">
      <w:pPr>
        <w:spacing w:after="0"/>
        <w:rPr>
          <w:rFonts w:ascii="Arial" w:hAnsi="Arial" w:cs="Arial"/>
          <w:sz w:val="24"/>
          <w:szCs w:val="24"/>
        </w:rPr>
      </w:pPr>
    </w:p>
    <w:p w:rsidR="00EF6A76" w:rsidRPr="00271B10" w:rsidRDefault="00EF6A76" w:rsidP="00136F58">
      <w:pPr>
        <w:spacing w:after="0"/>
        <w:rPr>
          <w:rFonts w:ascii="Arial" w:hAnsi="Arial" w:cs="Arial"/>
          <w:b/>
          <w:sz w:val="24"/>
          <w:szCs w:val="24"/>
        </w:rPr>
      </w:pPr>
      <w:r w:rsidRPr="00271B10">
        <w:rPr>
          <w:rFonts w:ascii="Arial" w:hAnsi="Arial" w:cs="Arial"/>
          <w:b/>
          <w:sz w:val="24"/>
          <w:szCs w:val="24"/>
        </w:rPr>
        <w:t>Advanced breast cancer – Second Line</w:t>
      </w:r>
    </w:p>
    <w:p w:rsidR="00EF6A76" w:rsidRPr="00271B10" w:rsidRDefault="00EF6A76" w:rsidP="003F3B46">
      <w:pPr>
        <w:spacing w:after="0"/>
        <w:rPr>
          <w:rFonts w:ascii="Arial" w:hAnsi="Arial" w:cs="Arial"/>
          <w:sz w:val="24"/>
          <w:szCs w:val="24"/>
        </w:rPr>
      </w:pPr>
    </w:p>
    <w:p w:rsidR="00EF6A76" w:rsidRPr="00271B10" w:rsidRDefault="00EF6A76" w:rsidP="003F3B46">
      <w:pPr>
        <w:spacing w:after="0"/>
        <w:rPr>
          <w:rFonts w:ascii="Arial" w:hAnsi="Arial" w:cs="Arial"/>
          <w:sz w:val="24"/>
          <w:szCs w:val="24"/>
        </w:rPr>
      </w:pPr>
      <w:r w:rsidRPr="00271B10">
        <w:rPr>
          <w:rFonts w:ascii="Arial" w:hAnsi="Arial" w:cs="Arial"/>
          <w:sz w:val="24"/>
          <w:szCs w:val="24"/>
        </w:rPr>
        <w:t xml:space="preserve">Twenty phase II studies of IV </w:t>
      </w:r>
      <w:proofErr w:type="spellStart"/>
      <w:r w:rsidRPr="00271B10">
        <w:rPr>
          <w:rFonts w:ascii="Arial" w:hAnsi="Arial" w:cs="Arial"/>
          <w:sz w:val="24"/>
          <w:szCs w:val="24"/>
        </w:rPr>
        <w:t>vinorelbine</w:t>
      </w:r>
      <w:proofErr w:type="spellEnd"/>
      <w:r w:rsidRPr="00271B10">
        <w:rPr>
          <w:rFonts w:ascii="Arial" w:hAnsi="Arial" w:cs="Arial"/>
          <w:sz w:val="24"/>
          <w:szCs w:val="24"/>
        </w:rPr>
        <w:t xml:space="preserve"> </w:t>
      </w:r>
      <w:proofErr w:type="spellStart"/>
      <w:r w:rsidRPr="00271B10">
        <w:rPr>
          <w:rFonts w:ascii="Arial" w:hAnsi="Arial" w:cs="Arial"/>
          <w:sz w:val="24"/>
          <w:szCs w:val="24"/>
        </w:rPr>
        <w:t>monotherapy</w:t>
      </w:r>
      <w:proofErr w:type="spellEnd"/>
      <w:r w:rsidRPr="00271B10">
        <w:rPr>
          <w:rFonts w:ascii="Arial" w:hAnsi="Arial" w:cs="Arial"/>
          <w:sz w:val="24"/>
          <w:szCs w:val="24"/>
        </w:rPr>
        <w:t xml:space="preserve"> have been performed as second line or subsequent treatment of advanced breast cancer patients.  The response rate and duration of response to chemotherapy declines as patients progress through first, second and third line chemotherapy.  Thirteen of these phase II studies were in mixed </w:t>
      </w:r>
      <w:proofErr w:type="spellStart"/>
      <w:r w:rsidRPr="00271B10">
        <w:rPr>
          <w:rFonts w:ascii="Arial" w:hAnsi="Arial" w:cs="Arial"/>
          <w:sz w:val="24"/>
          <w:szCs w:val="24"/>
        </w:rPr>
        <w:t>anthracycline-pretreated</w:t>
      </w:r>
      <w:proofErr w:type="spellEnd"/>
      <w:r w:rsidRPr="00271B10">
        <w:rPr>
          <w:rFonts w:ascii="Arial" w:hAnsi="Arial" w:cs="Arial"/>
          <w:sz w:val="24"/>
          <w:szCs w:val="24"/>
        </w:rPr>
        <w:t xml:space="preserve"> and </w:t>
      </w:r>
      <w:proofErr w:type="spellStart"/>
      <w:r w:rsidRPr="00271B10">
        <w:rPr>
          <w:rFonts w:ascii="Arial" w:hAnsi="Arial" w:cs="Arial"/>
          <w:sz w:val="24"/>
          <w:szCs w:val="24"/>
        </w:rPr>
        <w:t>anthracycline</w:t>
      </w:r>
      <w:proofErr w:type="spellEnd"/>
      <w:r w:rsidRPr="00271B10">
        <w:rPr>
          <w:rFonts w:ascii="Arial" w:hAnsi="Arial" w:cs="Arial"/>
          <w:sz w:val="24"/>
          <w:szCs w:val="24"/>
        </w:rPr>
        <w:t>-naive populations, entering 494 patients and reporting overall response rates of 14 - 45% (patients weighted average = 29.2%) and median survival times of 58-69 weeks.</w:t>
      </w:r>
    </w:p>
    <w:p w:rsidR="00EF6A76" w:rsidRPr="00271B10" w:rsidRDefault="00EF6A76" w:rsidP="003F3B46">
      <w:pPr>
        <w:spacing w:after="0"/>
        <w:rPr>
          <w:rFonts w:ascii="Arial" w:hAnsi="Arial" w:cs="Arial"/>
          <w:sz w:val="24"/>
          <w:szCs w:val="24"/>
        </w:rPr>
      </w:pPr>
    </w:p>
    <w:p w:rsidR="00EF6A76" w:rsidRPr="00271B10" w:rsidRDefault="00EF6A76" w:rsidP="003F3B46">
      <w:pPr>
        <w:spacing w:after="0"/>
        <w:rPr>
          <w:rFonts w:ascii="Arial" w:hAnsi="Arial" w:cs="Arial"/>
          <w:sz w:val="24"/>
          <w:szCs w:val="24"/>
        </w:rPr>
      </w:pPr>
      <w:r w:rsidRPr="00271B10">
        <w:rPr>
          <w:rFonts w:ascii="Arial" w:hAnsi="Arial" w:cs="Arial"/>
          <w:sz w:val="24"/>
          <w:szCs w:val="24"/>
        </w:rPr>
        <w:t xml:space="preserve">The remaining seven phase II studies were in </w:t>
      </w:r>
      <w:proofErr w:type="spellStart"/>
      <w:r w:rsidRPr="00271B10">
        <w:rPr>
          <w:rFonts w:ascii="Arial" w:hAnsi="Arial" w:cs="Arial"/>
          <w:sz w:val="24"/>
          <w:szCs w:val="24"/>
        </w:rPr>
        <w:t>anthracycline-pretreated</w:t>
      </w:r>
      <w:proofErr w:type="spellEnd"/>
      <w:r w:rsidRPr="00271B10">
        <w:rPr>
          <w:rFonts w:ascii="Arial" w:hAnsi="Arial" w:cs="Arial"/>
          <w:sz w:val="24"/>
          <w:szCs w:val="24"/>
        </w:rPr>
        <w:t xml:space="preserve"> patients, entering a total of 339 patients, reporting response rates of 16 – 64% (patient weighted average = 30.9%) and median survival was 24 – 82 weeks.</w:t>
      </w:r>
    </w:p>
    <w:p w:rsidR="00EF6A76" w:rsidRPr="00271B10" w:rsidRDefault="00EF6A76" w:rsidP="003F3B46">
      <w:pPr>
        <w:spacing w:after="0"/>
        <w:rPr>
          <w:rFonts w:ascii="Arial" w:hAnsi="Arial" w:cs="Arial"/>
          <w:sz w:val="24"/>
          <w:szCs w:val="24"/>
        </w:rPr>
      </w:pPr>
    </w:p>
    <w:p w:rsidR="00EF6A76" w:rsidRPr="00271B10" w:rsidRDefault="00EF6A76" w:rsidP="003F3B46">
      <w:pPr>
        <w:spacing w:after="0"/>
        <w:rPr>
          <w:rFonts w:ascii="Arial" w:hAnsi="Arial" w:cs="Arial"/>
          <w:sz w:val="24"/>
          <w:szCs w:val="24"/>
        </w:rPr>
      </w:pPr>
      <w:r w:rsidRPr="00271B10">
        <w:rPr>
          <w:rFonts w:ascii="Arial" w:hAnsi="Arial" w:cs="Arial"/>
          <w:sz w:val="24"/>
          <w:szCs w:val="24"/>
        </w:rPr>
        <w:t xml:space="preserve">In a randomised phase III study conducted to investigate efficacy in </w:t>
      </w:r>
      <w:proofErr w:type="spellStart"/>
      <w:r w:rsidRPr="00271B10">
        <w:rPr>
          <w:rFonts w:ascii="Arial" w:hAnsi="Arial" w:cs="Arial"/>
          <w:sz w:val="24"/>
          <w:szCs w:val="24"/>
        </w:rPr>
        <w:t>anthracycline</w:t>
      </w:r>
      <w:proofErr w:type="spellEnd"/>
      <w:r w:rsidRPr="00271B10">
        <w:rPr>
          <w:rFonts w:ascii="Arial" w:hAnsi="Arial" w:cs="Arial"/>
          <w:sz w:val="24"/>
          <w:szCs w:val="24"/>
        </w:rPr>
        <w:t xml:space="preserve">-refractory advanced breast cancer, 115 patients received </w:t>
      </w:r>
      <w:r w:rsidRPr="00032BCA">
        <w:rPr>
          <w:rFonts w:ascii="Arial" w:hAnsi="Arial" w:cs="Arial"/>
          <w:sz w:val="24"/>
          <w:szCs w:val="24"/>
        </w:rPr>
        <w:t xml:space="preserve">IV </w:t>
      </w:r>
      <w:proofErr w:type="spellStart"/>
      <w:r w:rsidRPr="00271B10">
        <w:rPr>
          <w:rFonts w:ascii="Arial" w:hAnsi="Arial" w:cs="Arial"/>
          <w:sz w:val="24"/>
          <w:szCs w:val="24"/>
        </w:rPr>
        <w:t>vinorelbine</w:t>
      </w:r>
      <w:proofErr w:type="spellEnd"/>
      <w:r w:rsidRPr="00271B10">
        <w:rPr>
          <w:rFonts w:ascii="Arial" w:hAnsi="Arial" w:cs="Arial"/>
          <w:sz w:val="24"/>
          <w:szCs w:val="24"/>
        </w:rPr>
        <w:t xml:space="preserve"> as a single agent versus sixty four patients who received intravenous </w:t>
      </w:r>
      <w:proofErr w:type="spellStart"/>
      <w:r w:rsidRPr="00271B10">
        <w:rPr>
          <w:rFonts w:ascii="Arial" w:hAnsi="Arial" w:cs="Arial"/>
          <w:sz w:val="24"/>
          <w:szCs w:val="24"/>
        </w:rPr>
        <w:t>melphalan</w:t>
      </w:r>
      <w:proofErr w:type="spellEnd"/>
      <w:r w:rsidRPr="00271B10">
        <w:rPr>
          <w:rFonts w:ascii="Arial" w:hAnsi="Arial" w:cs="Arial"/>
          <w:sz w:val="24"/>
          <w:szCs w:val="24"/>
        </w:rPr>
        <w:t xml:space="preserve">.  The median dose, number of doses and duration of treatment for </w:t>
      </w:r>
      <w:proofErr w:type="spellStart"/>
      <w:r w:rsidRPr="00271B10">
        <w:rPr>
          <w:rFonts w:ascii="Arial" w:hAnsi="Arial" w:cs="Arial"/>
          <w:sz w:val="24"/>
          <w:szCs w:val="24"/>
        </w:rPr>
        <w:t>vinorelbine</w:t>
      </w:r>
      <w:proofErr w:type="spellEnd"/>
      <w:r w:rsidRPr="00271B10">
        <w:rPr>
          <w:rFonts w:ascii="Arial" w:hAnsi="Arial" w:cs="Arial"/>
          <w:sz w:val="24"/>
          <w:szCs w:val="24"/>
        </w:rPr>
        <w:t xml:space="preserve"> were 27.5 mg/m</w:t>
      </w:r>
      <w:r w:rsidRPr="00271B10">
        <w:rPr>
          <w:rFonts w:ascii="Arial" w:hAnsi="Arial" w:cs="Arial"/>
          <w:sz w:val="24"/>
          <w:szCs w:val="24"/>
          <w:vertAlign w:val="superscript"/>
        </w:rPr>
        <w:t>2</w:t>
      </w:r>
      <w:r w:rsidRPr="00271B10">
        <w:rPr>
          <w:rFonts w:ascii="Arial" w:hAnsi="Arial" w:cs="Arial"/>
          <w:sz w:val="24"/>
          <w:szCs w:val="24"/>
        </w:rPr>
        <w:t xml:space="preserve">, 9 doses and 12 weeks respectively and for </w:t>
      </w:r>
      <w:proofErr w:type="spellStart"/>
      <w:r w:rsidRPr="00271B10">
        <w:rPr>
          <w:rFonts w:ascii="Arial" w:hAnsi="Arial" w:cs="Arial"/>
          <w:sz w:val="24"/>
          <w:szCs w:val="24"/>
        </w:rPr>
        <w:t>melphalan</w:t>
      </w:r>
      <w:proofErr w:type="spellEnd"/>
      <w:r w:rsidRPr="00271B10">
        <w:rPr>
          <w:rFonts w:ascii="Arial" w:hAnsi="Arial" w:cs="Arial"/>
          <w:sz w:val="24"/>
          <w:szCs w:val="24"/>
        </w:rPr>
        <w:t>, 25 mg/m</w:t>
      </w:r>
      <w:r w:rsidRPr="00271B10">
        <w:rPr>
          <w:rFonts w:ascii="Arial" w:hAnsi="Arial" w:cs="Arial"/>
          <w:sz w:val="24"/>
          <w:szCs w:val="24"/>
          <w:vertAlign w:val="superscript"/>
        </w:rPr>
        <w:t>2</w:t>
      </w:r>
      <w:r w:rsidRPr="00271B10">
        <w:rPr>
          <w:rFonts w:ascii="Arial" w:hAnsi="Arial" w:cs="Arial"/>
          <w:sz w:val="24"/>
          <w:szCs w:val="24"/>
        </w:rPr>
        <w:t xml:space="preserve">, 2 doses and 8 weeks respectively.  Of those receiving </w:t>
      </w:r>
      <w:proofErr w:type="spellStart"/>
      <w:r w:rsidRPr="00271B10">
        <w:rPr>
          <w:rFonts w:ascii="Arial" w:hAnsi="Arial" w:cs="Arial"/>
          <w:sz w:val="24"/>
          <w:szCs w:val="24"/>
        </w:rPr>
        <w:t>vinorelbine</w:t>
      </w:r>
      <w:proofErr w:type="spellEnd"/>
      <w:r w:rsidRPr="00271B10">
        <w:rPr>
          <w:rFonts w:ascii="Arial" w:hAnsi="Arial" w:cs="Arial"/>
          <w:sz w:val="24"/>
          <w:szCs w:val="24"/>
        </w:rPr>
        <w:t xml:space="preserve">, thirteen of 84 (15.5%) patients with measurable disease achieved an objective response compared with four of 46 (8.7%) receiving </w:t>
      </w:r>
      <w:proofErr w:type="spellStart"/>
      <w:r w:rsidRPr="00271B10">
        <w:rPr>
          <w:rFonts w:ascii="Arial" w:hAnsi="Arial" w:cs="Arial"/>
          <w:sz w:val="24"/>
          <w:szCs w:val="24"/>
        </w:rPr>
        <w:t>melphalan</w:t>
      </w:r>
      <w:proofErr w:type="spellEnd"/>
      <w:r w:rsidRPr="00271B10">
        <w:rPr>
          <w:rFonts w:ascii="Arial" w:hAnsi="Arial" w:cs="Arial"/>
          <w:sz w:val="24"/>
          <w:szCs w:val="24"/>
        </w:rPr>
        <w:t xml:space="preserve">.  Overall survival was 35 weeks for patients receiving </w:t>
      </w:r>
      <w:proofErr w:type="spellStart"/>
      <w:r w:rsidRPr="00271B10">
        <w:rPr>
          <w:rFonts w:ascii="Arial" w:hAnsi="Arial" w:cs="Arial"/>
          <w:sz w:val="24"/>
          <w:szCs w:val="24"/>
        </w:rPr>
        <w:lastRenderedPageBreak/>
        <w:t>vinorelbine</w:t>
      </w:r>
      <w:proofErr w:type="spellEnd"/>
      <w:r w:rsidRPr="00271B10">
        <w:rPr>
          <w:rFonts w:ascii="Arial" w:hAnsi="Arial" w:cs="Arial"/>
          <w:sz w:val="24"/>
          <w:szCs w:val="24"/>
        </w:rPr>
        <w:t xml:space="preserve"> compared with 31 weeks for those receiving </w:t>
      </w:r>
      <w:proofErr w:type="spellStart"/>
      <w:r w:rsidRPr="00271B10">
        <w:rPr>
          <w:rFonts w:ascii="Arial" w:hAnsi="Arial" w:cs="Arial"/>
          <w:sz w:val="24"/>
          <w:szCs w:val="24"/>
        </w:rPr>
        <w:t>melphalan</w:t>
      </w:r>
      <w:proofErr w:type="spellEnd"/>
      <w:r w:rsidRPr="00271B10">
        <w:rPr>
          <w:rFonts w:ascii="Arial" w:hAnsi="Arial" w:cs="Arial"/>
          <w:sz w:val="24"/>
          <w:szCs w:val="24"/>
        </w:rPr>
        <w:t xml:space="preserve"> (log-rank p=0.023).  Neither treatment had an adverse effect on quality of life.</w:t>
      </w:r>
    </w:p>
    <w:p w:rsidR="00EF6A76" w:rsidRPr="00271B10" w:rsidRDefault="00EF6A76" w:rsidP="003F3B46">
      <w:pPr>
        <w:spacing w:after="0"/>
        <w:rPr>
          <w:rFonts w:ascii="Arial" w:hAnsi="Arial" w:cs="Arial"/>
          <w:sz w:val="24"/>
          <w:szCs w:val="24"/>
        </w:rPr>
      </w:pPr>
    </w:p>
    <w:p w:rsidR="00EF6A76" w:rsidRPr="00271B10" w:rsidRDefault="00EF6A76" w:rsidP="003F3B46">
      <w:pPr>
        <w:spacing w:after="0"/>
        <w:rPr>
          <w:rFonts w:ascii="Arial" w:hAnsi="Arial" w:cs="Arial"/>
          <w:sz w:val="24"/>
          <w:szCs w:val="24"/>
        </w:rPr>
      </w:pPr>
      <w:r w:rsidRPr="00271B10">
        <w:rPr>
          <w:rFonts w:ascii="Arial" w:hAnsi="Arial" w:cs="Arial"/>
          <w:sz w:val="24"/>
          <w:szCs w:val="24"/>
        </w:rPr>
        <w:t xml:space="preserve">IV </w:t>
      </w:r>
      <w:proofErr w:type="spellStart"/>
      <w:r w:rsidRPr="00271B10">
        <w:rPr>
          <w:rFonts w:ascii="Arial" w:hAnsi="Arial" w:cs="Arial"/>
          <w:sz w:val="24"/>
          <w:szCs w:val="24"/>
        </w:rPr>
        <w:t>vinorelbine</w:t>
      </w:r>
      <w:proofErr w:type="spellEnd"/>
      <w:r w:rsidRPr="00271B10">
        <w:rPr>
          <w:rFonts w:ascii="Arial" w:hAnsi="Arial" w:cs="Arial"/>
          <w:sz w:val="24"/>
          <w:szCs w:val="24"/>
        </w:rPr>
        <w:t xml:space="preserve"> has also been studied in combination with other agents in the second-line treatment of advanced breast cancer.  Results from trials are summarised in</w:t>
      </w:r>
      <w:r>
        <w:rPr>
          <w:rFonts w:ascii="Arial" w:hAnsi="Arial" w:cs="Arial"/>
          <w:sz w:val="24"/>
          <w:szCs w:val="24"/>
        </w:rPr>
        <w:t xml:space="preserve"> </w:t>
      </w:r>
      <w:r w:rsidRPr="00032BCA">
        <w:rPr>
          <w:rFonts w:ascii="Arial" w:hAnsi="Arial" w:cs="Arial"/>
          <w:sz w:val="24"/>
          <w:szCs w:val="24"/>
        </w:rPr>
        <w:t>Table 1.</w:t>
      </w:r>
      <w:r w:rsidRPr="00271B10">
        <w:rPr>
          <w:rFonts w:ascii="Arial" w:hAnsi="Arial" w:cs="Arial"/>
          <w:sz w:val="24"/>
          <w:szCs w:val="24"/>
        </w:rPr>
        <w:t xml:space="preserve"> </w:t>
      </w:r>
    </w:p>
    <w:p w:rsidR="00EF6A76" w:rsidRPr="00441978" w:rsidRDefault="00EF6A76" w:rsidP="003F3B46">
      <w:pPr>
        <w:spacing w:after="0"/>
        <w:rPr>
          <w:rFonts w:ascii="Arial" w:hAnsi="Arial" w:cs="Arial"/>
          <w:sz w:val="24"/>
          <w:szCs w:val="24"/>
          <w:u w:val="double"/>
        </w:rPr>
      </w:pPr>
    </w:p>
    <w:p w:rsidR="00EF6A76" w:rsidRPr="00032BCA" w:rsidRDefault="00EF6A76" w:rsidP="003F3B46">
      <w:pPr>
        <w:spacing w:after="0"/>
        <w:rPr>
          <w:rFonts w:ascii="Arial" w:hAnsi="Arial" w:cs="Arial"/>
          <w:sz w:val="24"/>
          <w:szCs w:val="24"/>
        </w:rPr>
      </w:pPr>
      <w:r w:rsidRPr="00032BCA">
        <w:rPr>
          <w:rFonts w:ascii="Arial" w:hAnsi="Arial" w:cs="Arial"/>
          <w:b/>
        </w:rPr>
        <w:t xml:space="preserve">Table 1: Summary of the efficacy results of trials of IV </w:t>
      </w:r>
      <w:proofErr w:type="spellStart"/>
      <w:r w:rsidRPr="00032BCA">
        <w:rPr>
          <w:rFonts w:ascii="Arial" w:hAnsi="Arial" w:cs="Arial"/>
          <w:b/>
        </w:rPr>
        <w:t>vinorelbine</w:t>
      </w:r>
      <w:proofErr w:type="spellEnd"/>
      <w:r w:rsidRPr="00032BCA">
        <w:rPr>
          <w:rFonts w:ascii="Arial" w:hAnsi="Arial" w:cs="Arial"/>
          <w:b/>
        </w:rPr>
        <w:t xml:space="preserve"> used in combination with other agents for the second-line treatment of patients with advanced breast cancer.</w:t>
      </w:r>
    </w:p>
    <w:p w:rsidR="00EF6A76" w:rsidRPr="00441978" w:rsidRDefault="00EF6A76" w:rsidP="003F3B46">
      <w:pPr>
        <w:spacing w:after="0"/>
        <w:rPr>
          <w:rFonts w:ascii="Arial" w:hAnsi="Arial" w:cs="Arial"/>
          <w:sz w:val="24"/>
          <w:szCs w:val="24"/>
          <w:u w:val="doub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2310"/>
        <w:gridCol w:w="2311"/>
        <w:gridCol w:w="2311"/>
      </w:tblGrid>
      <w:tr w:rsidR="00EF6A76" w:rsidRPr="00441978" w:rsidTr="001D3DE9">
        <w:tc>
          <w:tcPr>
            <w:tcW w:w="2310" w:type="dxa"/>
          </w:tcPr>
          <w:p w:rsidR="00EF6A76" w:rsidRPr="001D3DE9" w:rsidRDefault="00EF6A76" w:rsidP="001D3DE9">
            <w:pPr>
              <w:spacing w:before="120" w:after="0"/>
              <w:jc w:val="center"/>
              <w:rPr>
                <w:rFonts w:ascii="Arial" w:hAnsi="Arial" w:cs="Arial"/>
                <w:b/>
              </w:rPr>
            </w:pPr>
            <w:r w:rsidRPr="001D3DE9">
              <w:rPr>
                <w:rFonts w:ascii="Arial" w:hAnsi="Arial" w:cs="Arial"/>
                <w:b/>
              </w:rPr>
              <w:t>Agent</w:t>
            </w:r>
          </w:p>
        </w:tc>
        <w:tc>
          <w:tcPr>
            <w:tcW w:w="2310" w:type="dxa"/>
          </w:tcPr>
          <w:p w:rsidR="00EF6A76" w:rsidRPr="001D3DE9" w:rsidRDefault="00EF6A76" w:rsidP="001D3DE9">
            <w:pPr>
              <w:spacing w:before="120" w:after="0"/>
              <w:jc w:val="center"/>
              <w:rPr>
                <w:rFonts w:ascii="Arial" w:hAnsi="Arial" w:cs="Arial"/>
                <w:b/>
              </w:rPr>
            </w:pPr>
            <w:r w:rsidRPr="001D3DE9">
              <w:rPr>
                <w:rFonts w:ascii="Arial" w:hAnsi="Arial" w:cs="Arial"/>
                <w:b/>
              </w:rPr>
              <w:t>No. of Trials</w:t>
            </w:r>
          </w:p>
        </w:tc>
        <w:tc>
          <w:tcPr>
            <w:tcW w:w="2311" w:type="dxa"/>
          </w:tcPr>
          <w:p w:rsidR="00EF6A76" w:rsidRPr="001D3DE9" w:rsidRDefault="00EF6A76" w:rsidP="001D3DE9">
            <w:pPr>
              <w:spacing w:before="120" w:after="0"/>
              <w:jc w:val="center"/>
              <w:rPr>
                <w:rFonts w:ascii="Arial" w:hAnsi="Arial" w:cs="Arial"/>
                <w:b/>
              </w:rPr>
            </w:pPr>
            <w:r w:rsidRPr="001D3DE9">
              <w:rPr>
                <w:rFonts w:ascii="Arial" w:hAnsi="Arial" w:cs="Arial"/>
                <w:b/>
              </w:rPr>
              <w:t>Total No. of Patients</w:t>
            </w:r>
          </w:p>
        </w:tc>
        <w:tc>
          <w:tcPr>
            <w:tcW w:w="2311" w:type="dxa"/>
          </w:tcPr>
          <w:p w:rsidR="00EF6A76" w:rsidRPr="001D3DE9" w:rsidRDefault="00EF6A76" w:rsidP="001D3DE9">
            <w:pPr>
              <w:spacing w:before="120" w:after="0"/>
              <w:jc w:val="center"/>
              <w:rPr>
                <w:rFonts w:ascii="Arial" w:hAnsi="Arial" w:cs="Arial"/>
                <w:b/>
              </w:rPr>
            </w:pPr>
            <w:r w:rsidRPr="001D3DE9">
              <w:rPr>
                <w:rFonts w:ascii="Arial" w:hAnsi="Arial" w:cs="Arial"/>
                <w:b/>
              </w:rPr>
              <w:t>Overall Response Rate</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mitoxantrone</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2</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60</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50%</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r w:rsidRPr="001D3DE9">
              <w:rPr>
                <w:rFonts w:ascii="Arial" w:hAnsi="Arial" w:cs="Arial"/>
                <w:b/>
              </w:rPr>
              <w:t>5-fluorouracil</w:t>
            </w:r>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5</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221</w:t>
            </w:r>
          </w:p>
        </w:tc>
        <w:tc>
          <w:tcPr>
            <w:tcW w:w="2311" w:type="dxa"/>
          </w:tcPr>
          <w:p w:rsidR="00EF6A76" w:rsidRPr="001D3DE9" w:rsidRDefault="00B55E89" w:rsidP="001D3DE9">
            <w:pPr>
              <w:spacing w:before="120" w:after="0"/>
              <w:jc w:val="center"/>
              <w:rPr>
                <w:rFonts w:ascii="Arial" w:hAnsi="Arial" w:cs="Arial"/>
              </w:rPr>
            </w:pPr>
            <w:r>
              <w:rPr>
                <w:rFonts w:ascii="Arial" w:hAnsi="Arial" w:cs="Arial"/>
              </w:rPr>
              <w:t xml:space="preserve">26 - </w:t>
            </w:r>
            <w:r w:rsidR="00EF6A76" w:rsidRPr="001D3DE9">
              <w:rPr>
                <w:rFonts w:ascii="Arial" w:hAnsi="Arial" w:cs="Arial"/>
              </w:rPr>
              <w:t>66%</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mitomycin</w:t>
            </w:r>
            <w:proofErr w:type="spellEnd"/>
            <w:r w:rsidRPr="001D3DE9">
              <w:rPr>
                <w:rFonts w:ascii="Arial" w:hAnsi="Arial" w:cs="Arial"/>
                <w:b/>
              </w:rPr>
              <w:t xml:space="preserve"> C</w:t>
            </w:r>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11</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485</w:t>
            </w:r>
          </w:p>
        </w:tc>
        <w:tc>
          <w:tcPr>
            <w:tcW w:w="2311" w:type="dxa"/>
          </w:tcPr>
          <w:p w:rsidR="00EF6A76" w:rsidRPr="001D3DE9" w:rsidRDefault="00B55E89" w:rsidP="001D3DE9">
            <w:pPr>
              <w:spacing w:before="120" w:after="0"/>
              <w:jc w:val="center"/>
              <w:rPr>
                <w:rFonts w:ascii="Arial" w:hAnsi="Arial" w:cs="Arial"/>
              </w:rPr>
            </w:pPr>
            <w:r>
              <w:rPr>
                <w:rFonts w:ascii="Arial" w:hAnsi="Arial" w:cs="Arial"/>
              </w:rPr>
              <w:t xml:space="preserve">32 - </w:t>
            </w:r>
            <w:r w:rsidR="00EF6A76" w:rsidRPr="001D3DE9">
              <w:rPr>
                <w:rFonts w:ascii="Arial" w:hAnsi="Arial" w:cs="Arial"/>
              </w:rPr>
              <w:t>57%</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carboplatin</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1</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41</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41%</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cisplatin</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1</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53</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49%</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ifosfamide</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2</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62</w:t>
            </w:r>
          </w:p>
        </w:tc>
        <w:tc>
          <w:tcPr>
            <w:tcW w:w="2311" w:type="dxa"/>
          </w:tcPr>
          <w:p w:rsidR="00EF6A76" w:rsidRPr="001D3DE9" w:rsidRDefault="00B55E89" w:rsidP="001D3DE9">
            <w:pPr>
              <w:spacing w:before="120" w:after="0"/>
              <w:jc w:val="center"/>
              <w:rPr>
                <w:rFonts w:ascii="Arial" w:hAnsi="Arial" w:cs="Arial"/>
              </w:rPr>
            </w:pPr>
            <w:r>
              <w:rPr>
                <w:rFonts w:ascii="Arial" w:hAnsi="Arial" w:cs="Arial"/>
              </w:rPr>
              <w:t xml:space="preserve">28 - </w:t>
            </w:r>
            <w:r w:rsidR="00EF6A76" w:rsidRPr="001D3DE9">
              <w:rPr>
                <w:rFonts w:ascii="Arial" w:hAnsi="Arial" w:cs="Arial"/>
              </w:rPr>
              <w:t>36%</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paclitaxel</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3</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81</w:t>
            </w:r>
          </w:p>
        </w:tc>
        <w:tc>
          <w:tcPr>
            <w:tcW w:w="2311" w:type="dxa"/>
          </w:tcPr>
          <w:p w:rsidR="00EF6A76" w:rsidRPr="001D3DE9" w:rsidRDefault="00B55E89" w:rsidP="001D3DE9">
            <w:pPr>
              <w:spacing w:before="120" w:after="0"/>
              <w:jc w:val="center"/>
              <w:rPr>
                <w:rFonts w:ascii="Arial" w:hAnsi="Arial" w:cs="Arial"/>
              </w:rPr>
            </w:pPr>
            <w:r>
              <w:rPr>
                <w:rFonts w:ascii="Arial" w:hAnsi="Arial" w:cs="Arial"/>
              </w:rPr>
              <w:t xml:space="preserve">32 - </w:t>
            </w:r>
            <w:r w:rsidR="00EF6A76" w:rsidRPr="001D3DE9">
              <w:rPr>
                <w:rFonts w:ascii="Arial" w:hAnsi="Arial" w:cs="Arial"/>
              </w:rPr>
              <w:t>61%</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docetaxel</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3</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109</w:t>
            </w:r>
          </w:p>
        </w:tc>
        <w:tc>
          <w:tcPr>
            <w:tcW w:w="2311" w:type="dxa"/>
          </w:tcPr>
          <w:p w:rsidR="00EF6A76" w:rsidRPr="001D3DE9" w:rsidRDefault="00B55E89" w:rsidP="001D3DE9">
            <w:pPr>
              <w:spacing w:before="120" w:after="0"/>
              <w:jc w:val="center"/>
              <w:rPr>
                <w:rFonts w:ascii="Arial" w:hAnsi="Arial" w:cs="Arial"/>
              </w:rPr>
            </w:pPr>
            <w:r>
              <w:rPr>
                <w:rFonts w:ascii="Arial" w:hAnsi="Arial" w:cs="Arial"/>
              </w:rPr>
              <w:t xml:space="preserve">37 - </w:t>
            </w:r>
            <w:r w:rsidR="00EF6A76" w:rsidRPr="001D3DE9">
              <w:rPr>
                <w:rFonts w:ascii="Arial" w:hAnsi="Arial" w:cs="Arial"/>
              </w:rPr>
              <w:t>59%</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capecitabine</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1</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25</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52%</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proofErr w:type="spellStart"/>
            <w:r w:rsidRPr="001D3DE9">
              <w:rPr>
                <w:rFonts w:ascii="Arial" w:hAnsi="Arial" w:cs="Arial"/>
                <w:b/>
              </w:rPr>
              <w:t>gemcitabine</w:t>
            </w:r>
            <w:proofErr w:type="spellEnd"/>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8</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301</w:t>
            </w:r>
          </w:p>
        </w:tc>
        <w:tc>
          <w:tcPr>
            <w:tcW w:w="2311" w:type="dxa"/>
          </w:tcPr>
          <w:p w:rsidR="00EF6A76" w:rsidRPr="001D3DE9" w:rsidRDefault="00B55E89" w:rsidP="001D3DE9">
            <w:pPr>
              <w:spacing w:before="120" w:after="0"/>
              <w:jc w:val="center"/>
              <w:rPr>
                <w:rFonts w:ascii="Arial" w:hAnsi="Arial" w:cs="Arial"/>
              </w:rPr>
            </w:pPr>
            <w:r>
              <w:rPr>
                <w:rFonts w:ascii="Arial" w:hAnsi="Arial" w:cs="Arial"/>
              </w:rPr>
              <w:t xml:space="preserve">22 - </w:t>
            </w:r>
            <w:r w:rsidR="00EF6A76" w:rsidRPr="001D3DE9">
              <w:rPr>
                <w:rFonts w:ascii="Arial" w:hAnsi="Arial" w:cs="Arial"/>
              </w:rPr>
              <w:t>54%</w:t>
            </w:r>
          </w:p>
        </w:tc>
      </w:tr>
      <w:tr w:rsidR="00EF6A76" w:rsidRPr="00441978" w:rsidTr="001D3DE9">
        <w:tc>
          <w:tcPr>
            <w:tcW w:w="2310" w:type="dxa"/>
          </w:tcPr>
          <w:p w:rsidR="00EF6A76" w:rsidRPr="001D3DE9" w:rsidRDefault="00EF6A76" w:rsidP="001D3DE9">
            <w:pPr>
              <w:spacing w:before="120" w:after="0"/>
              <w:jc w:val="center"/>
              <w:rPr>
                <w:rFonts w:ascii="Arial" w:hAnsi="Arial" w:cs="Arial"/>
                <w:b/>
              </w:rPr>
            </w:pPr>
            <w:r w:rsidRPr="001D3DE9">
              <w:rPr>
                <w:rFonts w:ascii="Arial" w:hAnsi="Arial" w:cs="Arial"/>
                <w:b/>
              </w:rPr>
              <w:t>liposomal doxorubicin</w:t>
            </w:r>
          </w:p>
        </w:tc>
        <w:tc>
          <w:tcPr>
            <w:tcW w:w="2310" w:type="dxa"/>
          </w:tcPr>
          <w:p w:rsidR="00EF6A76" w:rsidRPr="001D3DE9" w:rsidRDefault="00EF6A76" w:rsidP="001D3DE9">
            <w:pPr>
              <w:spacing w:before="120" w:after="0"/>
              <w:jc w:val="center"/>
              <w:rPr>
                <w:rFonts w:ascii="Arial" w:hAnsi="Arial" w:cs="Arial"/>
              </w:rPr>
            </w:pPr>
            <w:r w:rsidRPr="001D3DE9">
              <w:rPr>
                <w:rFonts w:ascii="Arial" w:hAnsi="Arial" w:cs="Arial"/>
              </w:rPr>
              <w:t>1</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33</w:t>
            </w:r>
          </w:p>
        </w:tc>
        <w:tc>
          <w:tcPr>
            <w:tcW w:w="2311" w:type="dxa"/>
          </w:tcPr>
          <w:p w:rsidR="00EF6A76" w:rsidRPr="001D3DE9" w:rsidRDefault="00EF6A76" w:rsidP="001D3DE9">
            <w:pPr>
              <w:spacing w:before="120" w:after="0"/>
              <w:jc w:val="center"/>
              <w:rPr>
                <w:rFonts w:ascii="Arial" w:hAnsi="Arial" w:cs="Arial"/>
              </w:rPr>
            </w:pPr>
            <w:r w:rsidRPr="001D3DE9">
              <w:rPr>
                <w:rFonts w:ascii="Arial" w:hAnsi="Arial" w:cs="Arial"/>
              </w:rPr>
              <w:t>36%</w:t>
            </w:r>
          </w:p>
        </w:tc>
      </w:tr>
    </w:tbl>
    <w:p w:rsidR="00EF6A76" w:rsidRDefault="00EF6A76" w:rsidP="003F3B46">
      <w:pPr>
        <w:spacing w:after="0"/>
        <w:rPr>
          <w:rFonts w:ascii="Arial" w:hAnsi="Arial" w:cs="Arial"/>
          <w:sz w:val="24"/>
          <w:szCs w:val="24"/>
        </w:rPr>
      </w:pPr>
    </w:p>
    <w:p w:rsidR="00EF6A76" w:rsidRDefault="00EF6A76" w:rsidP="003F3B46">
      <w:pPr>
        <w:spacing w:after="0"/>
        <w:rPr>
          <w:rFonts w:ascii="Arial" w:hAnsi="Arial" w:cs="Arial"/>
          <w:b/>
          <w:sz w:val="24"/>
          <w:szCs w:val="24"/>
          <w:u w:val="single"/>
        </w:rPr>
      </w:pPr>
      <w:r w:rsidRPr="003A536D">
        <w:rPr>
          <w:rFonts w:ascii="Arial" w:hAnsi="Arial" w:cs="Arial"/>
          <w:b/>
          <w:sz w:val="24"/>
          <w:szCs w:val="24"/>
          <w:u w:val="single"/>
        </w:rPr>
        <w:t>NAVELBINE</w:t>
      </w:r>
      <w:r w:rsidRPr="003A536D">
        <w:rPr>
          <w:rFonts w:ascii="Arial" w:hAnsi="Arial" w:cs="Arial"/>
          <w:b/>
          <w:sz w:val="24"/>
          <w:szCs w:val="24"/>
          <w:u w:val="single"/>
          <w:vertAlign w:val="superscript"/>
        </w:rPr>
        <w:t>®</w:t>
      </w:r>
      <w:r w:rsidRPr="003A536D">
        <w:rPr>
          <w:rFonts w:ascii="Arial" w:hAnsi="Arial" w:cs="Arial"/>
          <w:b/>
          <w:sz w:val="24"/>
          <w:szCs w:val="24"/>
          <w:u w:val="single"/>
        </w:rPr>
        <w:t xml:space="preserve"> Oral</w:t>
      </w:r>
    </w:p>
    <w:p w:rsidR="00EF6A76" w:rsidRPr="003A536D" w:rsidRDefault="00EF6A76" w:rsidP="003F3B46">
      <w:pPr>
        <w:spacing w:after="0"/>
        <w:rPr>
          <w:rFonts w:ascii="Arial" w:hAnsi="Arial" w:cs="Arial"/>
          <w:b/>
          <w:sz w:val="24"/>
          <w:szCs w:val="24"/>
          <w:u w:val="single"/>
        </w:rPr>
      </w:pPr>
      <w:r w:rsidRPr="003A536D">
        <w:rPr>
          <w:rFonts w:ascii="Arial" w:hAnsi="Arial" w:cs="Arial"/>
          <w:b/>
          <w:sz w:val="24"/>
          <w:szCs w:val="24"/>
          <w:u w:val="single"/>
        </w:rPr>
        <w:t xml:space="preserve">  </w:t>
      </w:r>
    </w:p>
    <w:p w:rsidR="00EF6A76" w:rsidRDefault="00EF6A76" w:rsidP="009400D7">
      <w:pPr>
        <w:spacing w:after="0"/>
        <w:rPr>
          <w:rFonts w:ascii="Arial" w:hAnsi="Arial" w:cs="Arial"/>
          <w:sz w:val="24"/>
          <w:szCs w:val="24"/>
          <w:lang w:val="en-GB"/>
        </w:rPr>
      </w:pPr>
      <w:r>
        <w:rPr>
          <w:rFonts w:ascii="Arial" w:hAnsi="Arial" w:cs="Arial"/>
          <w:sz w:val="24"/>
          <w:szCs w:val="24"/>
          <w:lang w:val="en-GB"/>
        </w:rPr>
        <w:t xml:space="preserve">Oral </w:t>
      </w:r>
      <w:proofErr w:type="spellStart"/>
      <w:r>
        <w:rPr>
          <w:rFonts w:ascii="Arial" w:hAnsi="Arial" w:cs="Arial"/>
          <w:sz w:val="24"/>
          <w:szCs w:val="24"/>
          <w:lang w:val="en-GB"/>
        </w:rPr>
        <w:t>vinorelbine</w:t>
      </w:r>
      <w:proofErr w:type="spellEnd"/>
      <w:r>
        <w:rPr>
          <w:rFonts w:ascii="Arial" w:hAnsi="Arial" w:cs="Arial"/>
          <w:sz w:val="24"/>
          <w:szCs w:val="24"/>
          <w:lang w:val="en-GB"/>
        </w:rPr>
        <w:t xml:space="preserve"> has been developed as a line extension of the IV dosage form.  Hence, the primary objective of the clinical program was to demonstrate bioequivalence between the oral and intravenous formulations on the basis of pharmacokinetic studies.  An oral dose of 80 mg/m</w:t>
      </w:r>
      <w:r w:rsidRPr="00E83515">
        <w:rPr>
          <w:rFonts w:ascii="Arial" w:hAnsi="Arial" w:cs="Arial"/>
          <w:sz w:val="24"/>
          <w:szCs w:val="24"/>
          <w:vertAlign w:val="superscript"/>
          <w:lang w:val="en-GB"/>
        </w:rPr>
        <w:t>2</w:t>
      </w:r>
      <w:r>
        <w:rPr>
          <w:rFonts w:ascii="Arial" w:hAnsi="Arial" w:cs="Arial"/>
          <w:sz w:val="24"/>
          <w:szCs w:val="24"/>
          <w:lang w:val="en-GB"/>
        </w:rPr>
        <w:t xml:space="preserve"> was demonstrated to correspond to 30 mg/m</w:t>
      </w:r>
      <w:r w:rsidRPr="00E83515">
        <w:rPr>
          <w:rFonts w:ascii="Arial" w:hAnsi="Arial" w:cs="Arial"/>
          <w:sz w:val="24"/>
          <w:szCs w:val="24"/>
          <w:vertAlign w:val="superscript"/>
          <w:lang w:val="en-GB"/>
        </w:rPr>
        <w:t>2</w:t>
      </w:r>
      <w:r>
        <w:rPr>
          <w:rFonts w:ascii="Arial" w:hAnsi="Arial" w:cs="Arial"/>
          <w:sz w:val="24"/>
          <w:szCs w:val="24"/>
          <w:lang w:val="en-GB"/>
        </w:rPr>
        <w:t xml:space="preserve"> of the IV formulation and 60 mg/m</w:t>
      </w:r>
      <w:r w:rsidRPr="00E83515">
        <w:rPr>
          <w:rFonts w:ascii="Arial" w:hAnsi="Arial" w:cs="Arial"/>
          <w:sz w:val="24"/>
          <w:szCs w:val="24"/>
          <w:vertAlign w:val="superscript"/>
          <w:lang w:val="en-GB"/>
        </w:rPr>
        <w:t>2</w:t>
      </w:r>
      <w:r>
        <w:rPr>
          <w:rFonts w:ascii="Arial" w:hAnsi="Arial" w:cs="Arial"/>
          <w:sz w:val="24"/>
          <w:szCs w:val="24"/>
          <w:lang w:val="en-GB"/>
        </w:rPr>
        <w:t xml:space="preserve"> orally to 25 mg/m</w:t>
      </w:r>
      <w:r w:rsidRPr="00E83515">
        <w:rPr>
          <w:rFonts w:ascii="Arial" w:hAnsi="Arial" w:cs="Arial"/>
          <w:sz w:val="24"/>
          <w:szCs w:val="24"/>
          <w:vertAlign w:val="superscript"/>
          <w:lang w:val="en-GB"/>
        </w:rPr>
        <w:t>2</w:t>
      </w:r>
      <w:r>
        <w:rPr>
          <w:rFonts w:ascii="Arial" w:hAnsi="Arial" w:cs="Arial"/>
          <w:sz w:val="24"/>
          <w:szCs w:val="24"/>
          <w:lang w:val="en-GB"/>
        </w:rPr>
        <w:t xml:space="preserve"> given by the IV route.  Subsequent phase II studies were conducted to examine the efficacy and tolerance of oral </w:t>
      </w:r>
      <w:proofErr w:type="spellStart"/>
      <w:r>
        <w:rPr>
          <w:rFonts w:ascii="Arial" w:hAnsi="Arial" w:cs="Arial"/>
          <w:sz w:val="24"/>
          <w:szCs w:val="24"/>
          <w:lang w:val="en-GB"/>
        </w:rPr>
        <w:t>vinorelbine</w:t>
      </w:r>
      <w:proofErr w:type="spellEnd"/>
      <w:r>
        <w:rPr>
          <w:rFonts w:ascii="Arial" w:hAnsi="Arial" w:cs="Arial"/>
          <w:sz w:val="24"/>
          <w:szCs w:val="24"/>
          <w:lang w:val="en-GB"/>
        </w:rPr>
        <w:t xml:space="preserve">. </w:t>
      </w:r>
    </w:p>
    <w:p w:rsidR="009400D7" w:rsidRDefault="009400D7" w:rsidP="009400D7">
      <w:pPr>
        <w:spacing w:after="0"/>
        <w:rPr>
          <w:rFonts w:ascii="Arial" w:hAnsi="Arial" w:cs="Arial"/>
          <w:sz w:val="24"/>
          <w:szCs w:val="24"/>
          <w:lang w:val="en-GB"/>
        </w:rPr>
      </w:pPr>
    </w:p>
    <w:p w:rsidR="00EF6A76" w:rsidRPr="00667FA1" w:rsidRDefault="00EF6A76" w:rsidP="009400D7">
      <w:pPr>
        <w:spacing w:after="0"/>
        <w:rPr>
          <w:rFonts w:ascii="Arial" w:hAnsi="Arial" w:cs="Arial"/>
          <w:b/>
          <w:sz w:val="24"/>
          <w:szCs w:val="24"/>
          <w:u w:val="single"/>
          <w:lang w:val="en-GB"/>
        </w:rPr>
      </w:pPr>
      <w:r w:rsidRPr="00667FA1">
        <w:rPr>
          <w:rFonts w:ascii="Arial" w:hAnsi="Arial" w:cs="Arial"/>
          <w:b/>
          <w:sz w:val="24"/>
          <w:szCs w:val="24"/>
          <w:u w:val="single"/>
          <w:lang w:val="en-GB"/>
        </w:rPr>
        <w:t>Non-Small Cell Lung Cancer</w:t>
      </w:r>
    </w:p>
    <w:p w:rsidR="00475B04" w:rsidRDefault="00475B04" w:rsidP="009400D7">
      <w:pPr>
        <w:spacing w:after="0"/>
        <w:rPr>
          <w:rFonts w:ascii="Arial" w:hAnsi="Arial" w:cs="Arial"/>
          <w:sz w:val="24"/>
          <w:szCs w:val="24"/>
          <w:lang w:val="en-GB"/>
        </w:rPr>
      </w:pPr>
    </w:p>
    <w:p w:rsidR="00EF6A76" w:rsidRDefault="00EF6A76" w:rsidP="009400D7">
      <w:pPr>
        <w:spacing w:after="0"/>
        <w:rPr>
          <w:rFonts w:ascii="Arial" w:hAnsi="Arial" w:cs="Arial"/>
          <w:sz w:val="24"/>
          <w:szCs w:val="24"/>
          <w:lang w:val="en-GB"/>
        </w:rPr>
      </w:pPr>
      <w:r w:rsidRPr="00491CC0">
        <w:rPr>
          <w:rFonts w:ascii="Arial" w:hAnsi="Arial" w:cs="Arial"/>
          <w:sz w:val="24"/>
          <w:szCs w:val="24"/>
          <w:lang w:val="en-GB"/>
        </w:rPr>
        <w:lastRenderedPageBreak/>
        <w:t xml:space="preserve">One randomised </w:t>
      </w:r>
      <w:r>
        <w:rPr>
          <w:rFonts w:ascii="Arial" w:hAnsi="Arial" w:cs="Arial"/>
          <w:sz w:val="24"/>
          <w:szCs w:val="24"/>
          <w:lang w:val="en-GB"/>
        </w:rPr>
        <w:t>p</w:t>
      </w:r>
      <w:r w:rsidRPr="00491CC0">
        <w:rPr>
          <w:rFonts w:ascii="Arial" w:hAnsi="Arial" w:cs="Arial"/>
          <w:sz w:val="24"/>
          <w:szCs w:val="24"/>
          <w:lang w:val="en-GB"/>
        </w:rPr>
        <w:t>hase II study</w:t>
      </w:r>
      <w:r>
        <w:rPr>
          <w:rFonts w:ascii="Arial" w:hAnsi="Arial" w:cs="Arial"/>
          <w:sz w:val="24"/>
          <w:szCs w:val="24"/>
          <w:lang w:val="en-GB"/>
        </w:rPr>
        <w:t xml:space="preserve"> </w:t>
      </w:r>
      <w:r w:rsidRPr="00032BCA">
        <w:rPr>
          <w:rFonts w:ascii="Arial" w:hAnsi="Arial" w:cs="Arial"/>
          <w:sz w:val="24"/>
          <w:szCs w:val="24"/>
          <w:lang w:val="en-GB"/>
        </w:rPr>
        <w:t>(97 CA 205)</w:t>
      </w:r>
      <w:r w:rsidRPr="00491CC0">
        <w:rPr>
          <w:rFonts w:ascii="Arial" w:hAnsi="Arial" w:cs="Arial"/>
          <w:sz w:val="24"/>
          <w:szCs w:val="24"/>
          <w:lang w:val="en-GB"/>
        </w:rPr>
        <w:t xml:space="preserve"> with the recommended oral dose regimen was conducted, comparing oral and IV </w:t>
      </w:r>
      <w:proofErr w:type="spellStart"/>
      <w:r w:rsidRPr="00491CC0">
        <w:rPr>
          <w:rFonts w:ascii="Arial" w:hAnsi="Arial" w:cs="Arial"/>
          <w:sz w:val="24"/>
          <w:szCs w:val="24"/>
          <w:lang w:val="en-GB"/>
        </w:rPr>
        <w:t>vinorelbine</w:t>
      </w:r>
      <w:proofErr w:type="spellEnd"/>
      <w:r w:rsidRPr="00491CC0">
        <w:rPr>
          <w:rFonts w:ascii="Arial" w:hAnsi="Arial" w:cs="Arial"/>
          <w:sz w:val="24"/>
          <w:szCs w:val="24"/>
          <w:lang w:val="en-GB"/>
        </w:rPr>
        <w:t xml:space="preserve"> in patients with advanced or metastatic NSCLC who had not previously been treated with </w:t>
      </w:r>
      <w:proofErr w:type="spellStart"/>
      <w:r w:rsidRPr="00491CC0">
        <w:rPr>
          <w:rFonts w:ascii="Arial" w:hAnsi="Arial" w:cs="Arial"/>
          <w:sz w:val="24"/>
          <w:szCs w:val="24"/>
          <w:lang w:val="en-GB"/>
        </w:rPr>
        <w:t>cytotoxic</w:t>
      </w:r>
      <w:proofErr w:type="spellEnd"/>
      <w:r w:rsidRPr="00491CC0">
        <w:rPr>
          <w:rFonts w:ascii="Arial" w:hAnsi="Arial" w:cs="Arial"/>
          <w:sz w:val="24"/>
          <w:szCs w:val="24"/>
          <w:lang w:val="en-GB"/>
        </w:rPr>
        <w:t xml:space="preserve"> chemotherapy.  </w:t>
      </w:r>
      <w:r w:rsidRPr="00032BCA">
        <w:rPr>
          <w:rFonts w:ascii="Arial" w:hAnsi="Arial" w:cs="Arial"/>
          <w:sz w:val="24"/>
          <w:szCs w:val="24"/>
          <w:lang w:val="en-GB"/>
        </w:rPr>
        <w:t>The results are summarised in Table 2.</w:t>
      </w:r>
    </w:p>
    <w:p w:rsidR="00475B04" w:rsidRDefault="00475B04" w:rsidP="009400D7">
      <w:pPr>
        <w:spacing w:after="0"/>
        <w:rPr>
          <w:rFonts w:ascii="Arial" w:hAnsi="Arial" w:cs="Arial"/>
          <w:sz w:val="24"/>
          <w:szCs w:val="24"/>
          <w:lang w:val="en-GB"/>
        </w:rPr>
      </w:pPr>
    </w:p>
    <w:p w:rsidR="00EF6A76" w:rsidRPr="00032BCA" w:rsidRDefault="00EF6A76" w:rsidP="009400D7">
      <w:pPr>
        <w:spacing w:after="0"/>
        <w:rPr>
          <w:rFonts w:ascii="Arial" w:hAnsi="Arial" w:cs="Arial"/>
          <w:sz w:val="24"/>
          <w:szCs w:val="24"/>
          <w:lang w:val="en-GB"/>
        </w:rPr>
      </w:pPr>
      <w:r w:rsidRPr="00032BCA">
        <w:rPr>
          <w:rFonts w:ascii="Arial" w:hAnsi="Arial" w:cs="Arial"/>
          <w:b/>
        </w:rPr>
        <w:t xml:space="preserve">Table 2: Summary of the efficacy results of a randomised phase II study in NSCLC   (97 CA 205)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2693"/>
        <w:gridCol w:w="2330"/>
      </w:tblGrid>
      <w:tr w:rsidR="00EF6A76" w:rsidTr="001D3DE9">
        <w:tc>
          <w:tcPr>
            <w:tcW w:w="4219" w:type="dxa"/>
          </w:tcPr>
          <w:p w:rsidR="00EF6A76" w:rsidRPr="001D3DE9" w:rsidRDefault="00EF6A76" w:rsidP="001D3DE9">
            <w:pPr>
              <w:spacing w:before="120" w:after="0"/>
              <w:jc w:val="center"/>
              <w:rPr>
                <w:rFonts w:ascii="Arial" w:hAnsi="Arial" w:cs="Arial"/>
                <w:b/>
                <w:lang w:val="en-GB"/>
              </w:rPr>
            </w:pPr>
            <w:r w:rsidRPr="001D3DE9">
              <w:rPr>
                <w:rFonts w:ascii="Arial" w:hAnsi="Arial" w:cs="Arial"/>
                <w:b/>
                <w:lang w:val="en-GB"/>
              </w:rPr>
              <w:t>Study I-CA 205</w:t>
            </w:r>
          </w:p>
        </w:tc>
        <w:tc>
          <w:tcPr>
            <w:tcW w:w="2693" w:type="dxa"/>
          </w:tcPr>
          <w:p w:rsidR="00EF6A76" w:rsidRPr="001D3DE9" w:rsidRDefault="00EF6A76" w:rsidP="001D3DE9">
            <w:pPr>
              <w:spacing w:before="120" w:after="0"/>
              <w:jc w:val="center"/>
              <w:rPr>
                <w:rFonts w:ascii="Arial" w:hAnsi="Arial" w:cs="Arial"/>
                <w:b/>
                <w:lang w:val="en-GB"/>
              </w:rPr>
            </w:pPr>
            <w:r w:rsidRPr="001D3DE9">
              <w:rPr>
                <w:rFonts w:ascii="Arial" w:hAnsi="Arial" w:cs="Arial"/>
                <w:b/>
                <w:lang w:val="en-GB"/>
              </w:rPr>
              <w:t xml:space="preserve">Oral </w:t>
            </w:r>
            <w:proofErr w:type="spellStart"/>
            <w:r w:rsidRPr="001D3DE9">
              <w:rPr>
                <w:rFonts w:ascii="Arial" w:hAnsi="Arial" w:cs="Arial"/>
                <w:b/>
                <w:lang w:val="en-GB"/>
              </w:rPr>
              <w:t>vinorelbine</w:t>
            </w:r>
            <w:proofErr w:type="spellEnd"/>
          </w:p>
        </w:tc>
        <w:tc>
          <w:tcPr>
            <w:tcW w:w="2330" w:type="dxa"/>
          </w:tcPr>
          <w:p w:rsidR="00EF6A76" w:rsidRPr="001D3DE9" w:rsidRDefault="00EF6A76" w:rsidP="001D3DE9">
            <w:pPr>
              <w:spacing w:before="120" w:after="0"/>
              <w:jc w:val="center"/>
              <w:rPr>
                <w:rFonts w:ascii="Arial" w:hAnsi="Arial" w:cs="Arial"/>
                <w:b/>
                <w:lang w:val="en-GB"/>
              </w:rPr>
            </w:pPr>
            <w:r w:rsidRPr="001D3DE9">
              <w:rPr>
                <w:rFonts w:ascii="Arial" w:hAnsi="Arial" w:cs="Arial"/>
                <w:b/>
                <w:lang w:val="en-GB"/>
              </w:rPr>
              <w:t xml:space="preserve">IV </w:t>
            </w:r>
            <w:proofErr w:type="spellStart"/>
            <w:r w:rsidRPr="001D3DE9">
              <w:rPr>
                <w:rFonts w:ascii="Arial" w:hAnsi="Arial" w:cs="Arial"/>
                <w:b/>
                <w:lang w:val="en-GB"/>
              </w:rPr>
              <w:t>vinorelbine</w:t>
            </w:r>
            <w:proofErr w:type="spellEnd"/>
          </w:p>
        </w:tc>
      </w:tr>
      <w:tr w:rsidR="00EF6A76" w:rsidTr="001D3DE9">
        <w:tc>
          <w:tcPr>
            <w:tcW w:w="4219" w:type="dxa"/>
          </w:tcPr>
          <w:p w:rsidR="00EF6A76" w:rsidRPr="001D3DE9" w:rsidRDefault="00EF6A76" w:rsidP="001D3DE9">
            <w:pPr>
              <w:spacing w:before="120" w:after="0"/>
              <w:rPr>
                <w:rFonts w:ascii="Arial" w:hAnsi="Arial" w:cs="Arial"/>
                <w:b/>
                <w:lang w:val="en-GB"/>
              </w:rPr>
            </w:pPr>
            <w:r w:rsidRPr="001D3DE9">
              <w:rPr>
                <w:rFonts w:ascii="Arial" w:hAnsi="Arial" w:cs="Arial"/>
                <w:b/>
                <w:lang w:val="en-GB"/>
              </w:rPr>
              <w:t>No of subjects</w:t>
            </w:r>
          </w:p>
        </w:tc>
        <w:tc>
          <w:tcPr>
            <w:tcW w:w="2693"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77</w:t>
            </w:r>
          </w:p>
        </w:tc>
        <w:tc>
          <w:tcPr>
            <w:tcW w:w="2330"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38</w:t>
            </w:r>
          </w:p>
        </w:tc>
      </w:tr>
      <w:tr w:rsidR="00EF6A76" w:rsidTr="001D3DE9">
        <w:tc>
          <w:tcPr>
            <w:tcW w:w="4219" w:type="dxa"/>
          </w:tcPr>
          <w:p w:rsidR="00EF6A76" w:rsidRPr="001D3DE9" w:rsidRDefault="00EF6A76" w:rsidP="001D3DE9">
            <w:pPr>
              <w:spacing w:before="120" w:after="0"/>
              <w:rPr>
                <w:rFonts w:ascii="Arial" w:hAnsi="Arial" w:cs="Arial"/>
                <w:b/>
                <w:lang w:val="en-GB"/>
              </w:rPr>
            </w:pPr>
            <w:r w:rsidRPr="001D3DE9">
              <w:rPr>
                <w:rFonts w:ascii="Arial" w:hAnsi="Arial" w:cs="Arial"/>
                <w:b/>
                <w:lang w:val="en-GB"/>
              </w:rPr>
              <w:t>Response rate (ITT population)</w:t>
            </w:r>
          </w:p>
        </w:tc>
        <w:tc>
          <w:tcPr>
            <w:tcW w:w="2693"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11.7%</w:t>
            </w:r>
          </w:p>
        </w:tc>
        <w:tc>
          <w:tcPr>
            <w:tcW w:w="2330"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10.5%</w:t>
            </w:r>
          </w:p>
        </w:tc>
      </w:tr>
      <w:tr w:rsidR="00EF6A76" w:rsidTr="001D3DE9">
        <w:tc>
          <w:tcPr>
            <w:tcW w:w="4219" w:type="dxa"/>
          </w:tcPr>
          <w:p w:rsidR="00EF6A76" w:rsidRPr="001D3DE9" w:rsidRDefault="00EF6A76" w:rsidP="001D3DE9">
            <w:pPr>
              <w:spacing w:before="120" w:after="0"/>
              <w:rPr>
                <w:rFonts w:ascii="Arial" w:hAnsi="Arial" w:cs="Arial"/>
                <w:b/>
                <w:lang w:val="en-GB"/>
              </w:rPr>
            </w:pPr>
            <w:r w:rsidRPr="001D3DE9">
              <w:rPr>
                <w:rFonts w:ascii="Arial" w:hAnsi="Arial" w:cs="Arial"/>
                <w:b/>
                <w:lang w:val="en-GB"/>
              </w:rPr>
              <w:t>Response rate (evaluable population)</w:t>
            </w:r>
          </w:p>
        </w:tc>
        <w:tc>
          <w:tcPr>
            <w:tcW w:w="2693"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14.1%</w:t>
            </w:r>
          </w:p>
        </w:tc>
        <w:tc>
          <w:tcPr>
            <w:tcW w:w="2330"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11.8%</w:t>
            </w:r>
          </w:p>
        </w:tc>
      </w:tr>
      <w:tr w:rsidR="00EF6A76" w:rsidTr="001D3DE9">
        <w:tc>
          <w:tcPr>
            <w:tcW w:w="4219" w:type="dxa"/>
          </w:tcPr>
          <w:p w:rsidR="00EF6A76" w:rsidRPr="001D3DE9" w:rsidRDefault="00EF6A76" w:rsidP="001D3DE9">
            <w:pPr>
              <w:spacing w:before="120" w:after="0"/>
              <w:rPr>
                <w:rFonts w:ascii="Arial" w:hAnsi="Arial" w:cs="Arial"/>
                <w:b/>
                <w:lang w:val="en-GB"/>
              </w:rPr>
            </w:pPr>
            <w:r w:rsidRPr="001D3DE9">
              <w:rPr>
                <w:rFonts w:ascii="Arial" w:hAnsi="Arial" w:cs="Arial"/>
                <w:b/>
                <w:lang w:val="en-GB"/>
              </w:rPr>
              <w:t>Median duration of response</w:t>
            </w:r>
          </w:p>
        </w:tc>
        <w:tc>
          <w:tcPr>
            <w:tcW w:w="2693"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7.7 months</w:t>
            </w:r>
          </w:p>
        </w:tc>
        <w:tc>
          <w:tcPr>
            <w:tcW w:w="2330"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5.5 months</w:t>
            </w:r>
          </w:p>
        </w:tc>
      </w:tr>
      <w:tr w:rsidR="00EF6A76" w:rsidTr="001D3DE9">
        <w:tc>
          <w:tcPr>
            <w:tcW w:w="4219" w:type="dxa"/>
          </w:tcPr>
          <w:p w:rsidR="00EF6A76" w:rsidRPr="001D3DE9" w:rsidRDefault="00EF6A76" w:rsidP="001D3DE9">
            <w:pPr>
              <w:spacing w:before="120" w:after="0"/>
              <w:rPr>
                <w:rFonts w:ascii="Arial" w:hAnsi="Arial" w:cs="Arial"/>
                <w:b/>
                <w:lang w:val="en-GB"/>
              </w:rPr>
            </w:pPr>
            <w:r w:rsidRPr="001D3DE9">
              <w:rPr>
                <w:rFonts w:ascii="Arial" w:hAnsi="Arial" w:cs="Arial"/>
                <w:b/>
                <w:lang w:val="en-GB"/>
              </w:rPr>
              <w:t>Median progression-free survival</w:t>
            </w:r>
          </w:p>
        </w:tc>
        <w:tc>
          <w:tcPr>
            <w:tcW w:w="2693"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3.3 months</w:t>
            </w:r>
          </w:p>
        </w:tc>
        <w:tc>
          <w:tcPr>
            <w:tcW w:w="2330"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2.1 months</w:t>
            </w:r>
          </w:p>
        </w:tc>
      </w:tr>
      <w:tr w:rsidR="00EF6A76" w:rsidTr="001D3DE9">
        <w:tc>
          <w:tcPr>
            <w:tcW w:w="4219" w:type="dxa"/>
          </w:tcPr>
          <w:p w:rsidR="00EF6A76" w:rsidRPr="001D3DE9" w:rsidRDefault="00EF6A76" w:rsidP="001D3DE9">
            <w:pPr>
              <w:spacing w:before="120" w:after="0"/>
              <w:rPr>
                <w:rFonts w:ascii="Arial" w:hAnsi="Arial" w:cs="Arial"/>
                <w:b/>
                <w:lang w:val="en-GB"/>
              </w:rPr>
            </w:pPr>
            <w:r w:rsidRPr="001D3DE9">
              <w:rPr>
                <w:rFonts w:ascii="Arial" w:hAnsi="Arial" w:cs="Arial"/>
                <w:b/>
                <w:lang w:val="en-GB"/>
              </w:rPr>
              <w:t>Median survival</w:t>
            </w:r>
          </w:p>
        </w:tc>
        <w:tc>
          <w:tcPr>
            <w:tcW w:w="2693"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9.4 months</w:t>
            </w:r>
          </w:p>
        </w:tc>
        <w:tc>
          <w:tcPr>
            <w:tcW w:w="2330" w:type="dxa"/>
          </w:tcPr>
          <w:p w:rsidR="00EF6A76" w:rsidRPr="001D3DE9" w:rsidRDefault="00EF6A76" w:rsidP="001D3DE9">
            <w:pPr>
              <w:spacing w:before="120" w:after="0"/>
              <w:jc w:val="center"/>
              <w:rPr>
                <w:rFonts w:ascii="Arial" w:hAnsi="Arial" w:cs="Arial"/>
                <w:lang w:val="en-GB"/>
              </w:rPr>
            </w:pPr>
            <w:r w:rsidRPr="001D3DE9">
              <w:rPr>
                <w:rFonts w:ascii="Arial" w:hAnsi="Arial" w:cs="Arial"/>
                <w:lang w:val="en-GB"/>
              </w:rPr>
              <w:t>7.9 months</w:t>
            </w:r>
          </w:p>
        </w:tc>
      </w:tr>
    </w:tbl>
    <w:p w:rsidR="00EF6A76" w:rsidRDefault="00EF6A76" w:rsidP="00090CC3">
      <w:pPr>
        <w:spacing w:after="0" w:line="240" w:lineRule="auto"/>
        <w:rPr>
          <w:rFonts w:ascii="Arial" w:hAnsi="Arial" w:cs="Arial"/>
          <w:b/>
          <w:sz w:val="24"/>
          <w:szCs w:val="24"/>
          <w:lang w:val="en-GB"/>
        </w:rPr>
      </w:pPr>
    </w:p>
    <w:p w:rsidR="00EF6A76" w:rsidRDefault="00EF6A76" w:rsidP="00090CC3">
      <w:pPr>
        <w:spacing w:after="0" w:line="240" w:lineRule="auto"/>
        <w:rPr>
          <w:rFonts w:ascii="Arial" w:hAnsi="Arial" w:cs="Arial"/>
          <w:sz w:val="24"/>
          <w:szCs w:val="24"/>
          <w:lang w:val="en-GB"/>
        </w:rPr>
      </w:pPr>
      <w:r w:rsidRPr="00090CC3">
        <w:rPr>
          <w:rFonts w:ascii="Arial" w:hAnsi="Arial" w:cs="Arial"/>
          <w:sz w:val="24"/>
          <w:szCs w:val="24"/>
          <w:lang w:val="en-GB"/>
        </w:rPr>
        <w:t>In a multicentre</w:t>
      </w:r>
      <w:r>
        <w:rPr>
          <w:rFonts w:ascii="Arial" w:hAnsi="Arial" w:cs="Arial"/>
          <w:sz w:val="24"/>
          <w:szCs w:val="24"/>
          <w:lang w:val="en-GB"/>
        </w:rPr>
        <w:t xml:space="preserve">, phase II study of 56 patients in combination with </w:t>
      </w:r>
      <w:proofErr w:type="spellStart"/>
      <w:r>
        <w:rPr>
          <w:rFonts w:ascii="Arial" w:hAnsi="Arial" w:cs="Arial"/>
          <w:sz w:val="24"/>
          <w:szCs w:val="24"/>
          <w:lang w:val="en-GB"/>
        </w:rPr>
        <w:t>cisplatin</w:t>
      </w:r>
      <w:proofErr w:type="spellEnd"/>
      <w:r>
        <w:rPr>
          <w:rFonts w:ascii="Arial" w:hAnsi="Arial" w:cs="Arial"/>
          <w:sz w:val="24"/>
          <w:szCs w:val="24"/>
          <w:lang w:val="en-GB"/>
        </w:rPr>
        <w:t xml:space="preserve"> 100 mg/m</w:t>
      </w:r>
      <w:r w:rsidRPr="00090CC3">
        <w:rPr>
          <w:rFonts w:ascii="Arial" w:hAnsi="Arial" w:cs="Arial"/>
          <w:sz w:val="24"/>
          <w:szCs w:val="24"/>
          <w:vertAlign w:val="superscript"/>
          <w:lang w:val="en-GB"/>
        </w:rPr>
        <w:t>2</w:t>
      </w:r>
      <w:r>
        <w:rPr>
          <w:rFonts w:ascii="Arial" w:hAnsi="Arial" w:cs="Arial"/>
          <w:sz w:val="24"/>
          <w:szCs w:val="24"/>
          <w:lang w:val="en-GB"/>
        </w:rPr>
        <w:t xml:space="preserve"> (day 1 q 4 weeks), the weekly administration of </w:t>
      </w:r>
      <w:proofErr w:type="spellStart"/>
      <w:r>
        <w:rPr>
          <w:rFonts w:ascii="Arial" w:hAnsi="Arial" w:cs="Arial"/>
          <w:sz w:val="24"/>
          <w:szCs w:val="24"/>
          <w:lang w:val="en-GB"/>
        </w:rPr>
        <w:t>vinorelbine</w:t>
      </w:r>
      <w:proofErr w:type="spellEnd"/>
      <w:r>
        <w:rPr>
          <w:rFonts w:ascii="Arial" w:hAnsi="Arial" w:cs="Arial"/>
          <w:sz w:val="24"/>
          <w:szCs w:val="24"/>
          <w:lang w:val="en-GB"/>
        </w:rPr>
        <w:t xml:space="preserve"> (IV </w:t>
      </w:r>
      <w:proofErr w:type="spellStart"/>
      <w:r>
        <w:rPr>
          <w:rFonts w:ascii="Arial" w:hAnsi="Arial" w:cs="Arial"/>
          <w:sz w:val="24"/>
          <w:szCs w:val="24"/>
          <w:lang w:val="en-GB"/>
        </w:rPr>
        <w:t>vinorelbine</w:t>
      </w:r>
      <w:proofErr w:type="spellEnd"/>
      <w:r>
        <w:rPr>
          <w:rFonts w:ascii="Arial" w:hAnsi="Arial" w:cs="Arial"/>
          <w:sz w:val="24"/>
          <w:szCs w:val="24"/>
          <w:lang w:val="en-GB"/>
        </w:rPr>
        <w:t xml:space="preserve"> 25 mg/m</w:t>
      </w:r>
      <w:r w:rsidRPr="00090CC3">
        <w:rPr>
          <w:rFonts w:ascii="Arial" w:hAnsi="Arial" w:cs="Arial"/>
          <w:sz w:val="24"/>
          <w:szCs w:val="24"/>
          <w:vertAlign w:val="superscript"/>
          <w:lang w:val="en-GB"/>
        </w:rPr>
        <w:t>2</w:t>
      </w:r>
      <w:r>
        <w:rPr>
          <w:rFonts w:ascii="Arial" w:hAnsi="Arial" w:cs="Arial"/>
          <w:sz w:val="24"/>
          <w:szCs w:val="24"/>
          <w:lang w:val="en-GB"/>
        </w:rPr>
        <w:t xml:space="preserve"> day 1, oral </w:t>
      </w:r>
      <w:proofErr w:type="spellStart"/>
      <w:r>
        <w:rPr>
          <w:rFonts w:ascii="Arial" w:hAnsi="Arial" w:cs="Arial"/>
          <w:sz w:val="24"/>
          <w:szCs w:val="24"/>
          <w:lang w:val="en-GB"/>
        </w:rPr>
        <w:t>vinorelbine</w:t>
      </w:r>
      <w:proofErr w:type="spellEnd"/>
      <w:r>
        <w:rPr>
          <w:rFonts w:ascii="Arial" w:hAnsi="Arial" w:cs="Arial"/>
          <w:sz w:val="24"/>
          <w:szCs w:val="24"/>
          <w:lang w:val="en-GB"/>
        </w:rPr>
        <w:t xml:space="preserve"> 60 mg/m</w:t>
      </w:r>
      <w:r w:rsidRPr="00090CC3">
        <w:rPr>
          <w:rFonts w:ascii="Arial" w:hAnsi="Arial" w:cs="Arial"/>
          <w:sz w:val="24"/>
          <w:szCs w:val="24"/>
          <w:vertAlign w:val="superscript"/>
          <w:lang w:val="en-GB"/>
        </w:rPr>
        <w:t>2</w:t>
      </w:r>
      <w:r>
        <w:rPr>
          <w:rFonts w:ascii="Arial" w:hAnsi="Arial" w:cs="Arial"/>
          <w:sz w:val="24"/>
          <w:szCs w:val="24"/>
          <w:lang w:val="en-GB"/>
        </w:rPr>
        <w:t xml:space="preserve"> days 8, 15 and 22) produced a </w:t>
      </w:r>
      <w:proofErr w:type="spellStart"/>
      <w:r>
        <w:rPr>
          <w:rFonts w:ascii="Arial" w:hAnsi="Arial" w:cs="Arial"/>
          <w:sz w:val="24"/>
          <w:szCs w:val="24"/>
          <w:lang w:val="en-GB"/>
        </w:rPr>
        <w:t>reponse</w:t>
      </w:r>
      <w:proofErr w:type="spellEnd"/>
      <w:r>
        <w:rPr>
          <w:rFonts w:ascii="Arial" w:hAnsi="Arial" w:cs="Arial"/>
          <w:sz w:val="24"/>
          <w:szCs w:val="24"/>
          <w:lang w:val="en-GB"/>
        </w:rPr>
        <w:t xml:space="preserve"> rate of 30% for all registered patients and 33% for evaluable patients in the first line treatment of </w:t>
      </w:r>
      <w:proofErr w:type="spellStart"/>
      <w:r>
        <w:rPr>
          <w:rFonts w:ascii="Arial" w:hAnsi="Arial" w:cs="Arial"/>
          <w:sz w:val="24"/>
          <w:szCs w:val="24"/>
          <w:lang w:val="en-GB"/>
        </w:rPr>
        <w:t>unresectable</w:t>
      </w:r>
      <w:proofErr w:type="spellEnd"/>
      <w:r>
        <w:rPr>
          <w:rFonts w:ascii="Arial" w:hAnsi="Arial" w:cs="Arial"/>
          <w:sz w:val="24"/>
          <w:szCs w:val="24"/>
          <w:lang w:val="en-GB"/>
        </w:rPr>
        <w:t>, localised or metastatic NSCLC.  Median progression-free survival and survival were 5.5 and 8.9 months, respectively.</w:t>
      </w:r>
    </w:p>
    <w:p w:rsidR="00EF6A76" w:rsidRPr="00090CC3" w:rsidRDefault="00EF6A76" w:rsidP="00090CC3">
      <w:pPr>
        <w:spacing w:after="0" w:line="240" w:lineRule="auto"/>
        <w:rPr>
          <w:rFonts w:ascii="Arial" w:hAnsi="Arial" w:cs="Arial"/>
          <w:sz w:val="24"/>
          <w:szCs w:val="24"/>
          <w:lang w:val="en-GB"/>
        </w:rPr>
      </w:pPr>
    </w:p>
    <w:p w:rsidR="00EF6A76" w:rsidRPr="00032BCA" w:rsidRDefault="00EF6A76" w:rsidP="00C23414">
      <w:pPr>
        <w:rPr>
          <w:rFonts w:ascii="Arial" w:hAnsi="Arial" w:cs="Arial"/>
          <w:b/>
          <w:sz w:val="24"/>
          <w:szCs w:val="24"/>
          <w:lang w:val="en-GB"/>
        </w:rPr>
      </w:pPr>
      <w:r w:rsidRPr="00032BCA">
        <w:rPr>
          <w:rFonts w:ascii="Arial" w:hAnsi="Arial" w:cs="Arial"/>
          <w:b/>
          <w:sz w:val="24"/>
          <w:szCs w:val="24"/>
          <w:lang w:val="en-GB"/>
        </w:rPr>
        <w:t>Advanced breast cancer</w:t>
      </w:r>
    </w:p>
    <w:p w:rsidR="00EF6A76" w:rsidRPr="00032BCA" w:rsidRDefault="00EF6A76" w:rsidP="00C23414">
      <w:pPr>
        <w:rPr>
          <w:rFonts w:ascii="Arial" w:hAnsi="Arial" w:cs="Arial"/>
          <w:b/>
          <w:sz w:val="24"/>
          <w:szCs w:val="24"/>
          <w:lang w:val="en-GB"/>
        </w:rPr>
      </w:pPr>
      <w:r w:rsidRPr="00032BCA">
        <w:rPr>
          <w:rFonts w:ascii="Arial" w:hAnsi="Arial" w:cs="Arial"/>
          <w:b/>
          <w:sz w:val="24"/>
          <w:szCs w:val="24"/>
          <w:lang w:val="en-GB"/>
        </w:rPr>
        <w:t>As  a single agent</w:t>
      </w:r>
    </w:p>
    <w:p w:rsidR="00EF6A76" w:rsidRPr="00032BCA" w:rsidRDefault="00EF6A76" w:rsidP="00C23414">
      <w:pPr>
        <w:rPr>
          <w:rFonts w:ascii="Arial" w:hAnsi="Arial" w:cs="Arial"/>
          <w:sz w:val="24"/>
          <w:szCs w:val="24"/>
          <w:lang w:val="en-GB"/>
        </w:rPr>
      </w:pPr>
      <w:r w:rsidRPr="00032BCA">
        <w:rPr>
          <w:rFonts w:ascii="Arial" w:hAnsi="Arial" w:cs="Arial"/>
          <w:sz w:val="24"/>
          <w:szCs w:val="24"/>
          <w:lang w:val="en-GB"/>
        </w:rPr>
        <w:t xml:space="preserve">Two non-comparative multi-centre phase II studies (96 CA 201 and 97 CA 206) of oral </w:t>
      </w:r>
      <w:proofErr w:type="spellStart"/>
      <w:r w:rsidRPr="00032BCA">
        <w:rPr>
          <w:rFonts w:ascii="Arial" w:hAnsi="Arial" w:cs="Arial"/>
          <w:sz w:val="24"/>
          <w:szCs w:val="24"/>
          <w:lang w:val="en-GB"/>
        </w:rPr>
        <w:t>vinorelbine</w:t>
      </w:r>
      <w:proofErr w:type="spellEnd"/>
      <w:r w:rsidRPr="00032BCA">
        <w:rPr>
          <w:rFonts w:ascii="Arial" w:hAnsi="Arial" w:cs="Arial"/>
          <w:sz w:val="24"/>
          <w:szCs w:val="24"/>
          <w:lang w:val="en-GB"/>
        </w:rPr>
        <w:t xml:space="preserve"> given weekly at a dose of 60 mg/m</w:t>
      </w:r>
      <w:r w:rsidRPr="00032BCA">
        <w:rPr>
          <w:rFonts w:ascii="Arial" w:hAnsi="Arial" w:cs="Arial"/>
          <w:sz w:val="24"/>
          <w:szCs w:val="24"/>
          <w:vertAlign w:val="superscript"/>
          <w:lang w:val="en-GB"/>
        </w:rPr>
        <w:t>2</w:t>
      </w:r>
      <w:r w:rsidRPr="00032BCA">
        <w:rPr>
          <w:rFonts w:ascii="Arial" w:hAnsi="Arial" w:cs="Arial"/>
          <w:sz w:val="24"/>
          <w:szCs w:val="24"/>
          <w:lang w:val="en-GB"/>
        </w:rPr>
        <w:t xml:space="preserve"> for the first 3 weeks and then increased to 80 mg/m</w:t>
      </w:r>
      <w:r w:rsidRPr="00032BCA">
        <w:rPr>
          <w:rFonts w:ascii="Arial" w:hAnsi="Arial" w:cs="Arial"/>
          <w:sz w:val="24"/>
          <w:szCs w:val="24"/>
          <w:vertAlign w:val="superscript"/>
          <w:lang w:val="en-GB"/>
        </w:rPr>
        <w:t>2</w:t>
      </w:r>
      <w:r w:rsidRPr="00032BCA">
        <w:rPr>
          <w:rFonts w:ascii="Arial" w:hAnsi="Arial" w:cs="Arial"/>
          <w:sz w:val="24"/>
          <w:szCs w:val="24"/>
          <w:lang w:val="en-GB"/>
        </w:rPr>
        <w:t xml:space="preserve"> as a single agent, were conducted in the first line treatment of advanced breast cancer.  A total of 184 patients were enrolled.</w:t>
      </w:r>
    </w:p>
    <w:p w:rsidR="00EF6A76" w:rsidRPr="00032BCA" w:rsidRDefault="00EF6A76" w:rsidP="00C23414">
      <w:pPr>
        <w:rPr>
          <w:rFonts w:ascii="Arial" w:hAnsi="Arial" w:cs="Arial"/>
          <w:sz w:val="24"/>
          <w:szCs w:val="24"/>
          <w:lang w:val="en-GB"/>
        </w:rPr>
      </w:pPr>
      <w:r w:rsidRPr="00032BCA">
        <w:rPr>
          <w:rFonts w:ascii="Arial" w:hAnsi="Arial" w:cs="Arial"/>
          <w:sz w:val="24"/>
          <w:szCs w:val="24"/>
          <w:lang w:val="en-GB"/>
        </w:rPr>
        <w:t xml:space="preserve">The majority of patients had metastatic disease at study entry, visceral lesions and had received prior </w:t>
      </w:r>
      <w:proofErr w:type="spellStart"/>
      <w:r w:rsidRPr="00032BCA">
        <w:rPr>
          <w:rFonts w:ascii="Arial" w:hAnsi="Arial" w:cs="Arial"/>
          <w:sz w:val="24"/>
          <w:szCs w:val="24"/>
          <w:lang w:val="en-GB"/>
        </w:rPr>
        <w:t>hormonotherapy</w:t>
      </w:r>
      <w:proofErr w:type="spellEnd"/>
      <w:r w:rsidRPr="00032BCA">
        <w:rPr>
          <w:rFonts w:ascii="Arial" w:hAnsi="Arial" w:cs="Arial"/>
          <w:sz w:val="24"/>
          <w:szCs w:val="24"/>
          <w:lang w:val="en-GB"/>
        </w:rPr>
        <w:t>.  The proportion of patients having received prior neo/adjuvant chemotherapy was 49.2% (96 CA 201) and 26.5% (97 CA 206).  No patient had received prior chemotherapy for advanced/metastatic disease.</w:t>
      </w:r>
    </w:p>
    <w:p w:rsidR="00EF6A76" w:rsidRDefault="00EF6A76" w:rsidP="00C23414">
      <w:pPr>
        <w:rPr>
          <w:rFonts w:ascii="Arial" w:hAnsi="Arial" w:cs="Arial"/>
          <w:sz w:val="24"/>
          <w:szCs w:val="24"/>
          <w:lang w:val="en-GB"/>
        </w:rPr>
      </w:pPr>
      <w:r w:rsidRPr="00032BCA">
        <w:rPr>
          <w:rFonts w:ascii="Arial" w:hAnsi="Arial" w:cs="Arial"/>
          <w:sz w:val="24"/>
          <w:szCs w:val="24"/>
          <w:lang w:val="en-GB"/>
        </w:rPr>
        <w:t>The efficacy results are summarised in Table 3.</w:t>
      </w:r>
    </w:p>
    <w:p w:rsidR="003256C7" w:rsidRDefault="003256C7" w:rsidP="00C23414">
      <w:pPr>
        <w:rPr>
          <w:rFonts w:ascii="Arial" w:hAnsi="Arial" w:cs="Arial"/>
          <w:sz w:val="24"/>
          <w:szCs w:val="24"/>
          <w:lang w:val="en-GB"/>
        </w:rPr>
      </w:pPr>
    </w:p>
    <w:p w:rsidR="003256C7" w:rsidRDefault="003256C7" w:rsidP="00C23414">
      <w:pPr>
        <w:rPr>
          <w:rFonts w:ascii="Arial" w:hAnsi="Arial" w:cs="Arial"/>
          <w:sz w:val="24"/>
          <w:szCs w:val="24"/>
          <w:lang w:val="en-GB"/>
        </w:rPr>
      </w:pPr>
    </w:p>
    <w:p w:rsidR="003256C7" w:rsidRPr="00032BCA" w:rsidRDefault="003256C7" w:rsidP="00C23414">
      <w:pPr>
        <w:rPr>
          <w:rFonts w:ascii="Arial" w:hAnsi="Arial" w:cs="Arial"/>
          <w:sz w:val="24"/>
          <w:szCs w:val="24"/>
          <w:lang w:val="en-GB"/>
        </w:rPr>
      </w:pPr>
    </w:p>
    <w:p w:rsidR="00EF6A76" w:rsidRPr="00032BCA" w:rsidRDefault="00EF6A76" w:rsidP="00A53DD5">
      <w:pPr>
        <w:spacing w:after="0"/>
        <w:rPr>
          <w:rFonts w:ascii="Arial" w:hAnsi="Arial" w:cs="Arial"/>
          <w:b/>
        </w:rPr>
      </w:pPr>
      <w:r w:rsidRPr="00032BCA">
        <w:rPr>
          <w:rFonts w:ascii="Arial" w:hAnsi="Arial" w:cs="Arial"/>
          <w:b/>
        </w:rPr>
        <w:lastRenderedPageBreak/>
        <w:t xml:space="preserve">Table 3: Summary of the efficacy results for oral </w:t>
      </w:r>
      <w:proofErr w:type="spellStart"/>
      <w:r w:rsidRPr="00032BCA">
        <w:rPr>
          <w:rFonts w:ascii="Arial" w:hAnsi="Arial" w:cs="Arial"/>
          <w:b/>
        </w:rPr>
        <w:t>vinorelbine</w:t>
      </w:r>
      <w:proofErr w:type="spellEnd"/>
      <w:r w:rsidRPr="00032BCA">
        <w:rPr>
          <w:rFonts w:ascii="Arial" w:hAnsi="Arial" w:cs="Arial"/>
          <w:b/>
        </w:rPr>
        <w:t xml:space="preserve"> in </w:t>
      </w:r>
      <w:proofErr w:type="spellStart"/>
      <w:r w:rsidRPr="00032BCA">
        <w:rPr>
          <w:rFonts w:ascii="Arial" w:hAnsi="Arial" w:cs="Arial"/>
          <w:b/>
        </w:rPr>
        <w:t>monotherapy</w:t>
      </w:r>
      <w:proofErr w:type="spellEnd"/>
      <w:r w:rsidRPr="00032BCA">
        <w:rPr>
          <w:rFonts w:ascii="Arial" w:hAnsi="Arial" w:cs="Arial"/>
          <w:b/>
        </w:rPr>
        <w:t xml:space="preserve"> in advanced breast cancer (</w:t>
      </w:r>
      <w:r w:rsidRPr="00032BCA">
        <w:rPr>
          <w:rFonts w:ascii="Arial" w:hAnsi="Arial" w:cs="Arial"/>
          <w:b/>
          <w:lang w:val="en-GB"/>
        </w:rPr>
        <w:t>96 CA 201 and 97 CA 206)</w:t>
      </w:r>
      <w:r w:rsidRPr="00032BCA">
        <w:rPr>
          <w:rFonts w:ascii="Arial" w:hAnsi="Arial" w:cs="Arial"/>
          <w:b/>
        </w:rPr>
        <w:t>.</w:t>
      </w:r>
    </w:p>
    <w:p w:rsidR="00EF6A76" w:rsidRPr="00032BCA" w:rsidRDefault="00EF6A76" w:rsidP="00A53DD5">
      <w:pPr>
        <w:spacing w:after="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EF6A76" w:rsidRPr="00032BCA" w:rsidTr="001D3DE9">
        <w:tc>
          <w:tcPr>
            <w:tcW w:w="3080" w:type="dxa"/>
          </w:tcPr>
          <w:p w:rsidR="00EF6A76" w:rsidRPr="001D3DE9" w:rsidRDefault="00EF6A76" w:rsidP="001D3DE9">
            <w:pPr>
              <w:spacing w:before="120" w:after="0"/>
              <w:rPr>
                <w:rFonts w:ascii="Arial" w:hAnsi="Arial" w:cs="Arial"/>
                <w:b/>
                <w:sz w:val="24"/>
                <w:szCs w:val="24"/>
              </w:rPr>
            </w:pPr>
          </w:p>
        </w:tc>
        <w:tc>
          <w:tcPr>
            <w:tcW w:w="3081" w:type="dxa"/>
          </w:tcPr>
          <w:p w:rsidR="00EF6A76" w:rsidRPr="001D3DE9" w:rsidRDefault="00EF6A76" w:rsidP="001D3DE9">
            <w:pPr>
              <w:spacing w:before="120" w:after="0"/>
              <w:jc w:val="center"/>
              <w:rPr>
                <w:rFonts w:ascii="Arial" w:hAnsi="Arial" w:cs="Arial"/>
                <w:sz w:val="24"/>
                <w:szCs w:val="24"/>
              </w:rPr>
            </w:pPr>
            <w:r w:rsidRPr="001D3DE9">
              <w:rPr>
                <w:rFonts w:ascii="Arial" w:hAnsi="Arial" w:cs="Arial"/>
                <w:b/>
                <w:lang w:val="en-GB"/>
              </w:rPr>
              <w:t>96 CA 201</w:t>
            </w:r>
          </w:p>
        </w:tc>
        <w:tc>
          <w:tcPr>
            <w:tcW w:w="3081" w:type="dxa"/>
          </w:tcPr>
          <w:p w:rsidR="00EF6A76" w:rsidRPr="001D3DE9" w:rsidRDefault="00EF6A76" w:rsidP="001D3DE9">
            <w:pPr>
              <w:spacing w:before="120" w:after="0"/>
              <w:jc w:val="center"/>
              <w:rPr>
                <w:rFonts w:ascii="Arial" w:hAnsi="Arial" w:cs="Arial"/>
                <w:sz w:val="24"/>
                <w:szCs w:val="24"/>
              </w:rPr>
            </w:pPr>
            <w:r w:rsidRPr="001D3DE9">
              <w:rPr>
                <w:rFonts w:ascii="Arial" w:hAnsi="Arial" w:cs="Arial"/>
                <w:b/>
                <w:lang w:val="en-GB"/>
              </w:rPr>
              <w:t>97 CA 206</w:t>
            </w:r>
          </w:p>
        </w:tc>
      </w:tr>
      <w:tr w:rsidR="00EF6A76" w:rsidRPr="00032BCA" w:rsidTr="001D3DE9">
        <w:tc>
          <w:tcPr>
            <w:tcW w:w="3080"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lang w:eastAsia="en-AU"/>
              </w:rPr>
              <w:t>Number of patients</w:t>
            </w:r>
          </w:p>
        </w:tc>
        <w:tc>
          <w:tcPr>
            <w:tcW w:w="3081" w:type="dxa"/>
            <w:tcBorders>
              <w:bottom w:val="nil"/>
            </w:tcBorders>
          </w:tcPr>
          <w:p w:rsidR="00EF6A76" w:rsidRPr="001D3DE9" w:rsidRDefault="00EF6A76" w:rsidP="001D3DE9">
            <w:pPr>
              <w:spacing w:before="120" w:after="0"/>
              <w:jc w:val="center"/>
              <w:rPr>
                <w:rFonts w:ascii="Arial" w:hAnsi="Arial" w:cs="Arial"/>
              </w:rPr>
            </w:pPr>
          </w:p>
        </w:tc>
        <w:tc>
          <w:tcPr>
            <w:tcW w:w="3081" w:type="dxa"/>
            <w:tcBorders>
              <w:bottom w:val="nil"/>
            </w:tcBorders>
          </w:tcPr>
          <w:p w:rsidR="00EF6A76" w:rsidRPr="001D3DE9" w:rsidRDefault="00EF6A76" w:rsidP="001D3DE9">
            <w:pPr>
              <w:spacing w:before="120" w:after="0"/>
              <w:jc w:val="center"/>
              <w:rPr>
                <w:rFonts w:ascii="Arial" w:hAnsi="Arial" w:cs="Arial"/>
              </w:rPr>
            </w:pPr>
          </w:p>
        </w:tc>
      </w:tr>
      <w:tr w:rsidR="00EF6A76" w:rsidRPr="00032BCA" w:rsidTr="001D3DE9">
        <w:tc>
          <w:tcPr>
            <w:tcW w:w="3080"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entered</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120</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64</w:t>
            </w:r>
          </w:p>
        </w:tc>
      </w:tr>
      <w:tr w:rsidR="00EF6A76" w:rsidRPr="00032BCA" w:rsidTr="001D3DE9">
        <w:tc>
          <w:tcPr>
            <w:tcW w:w="3080"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evaluable</w:t>
            </w:r>
          </w:p>
        </w:tc>
        <w:tc>
          <w:tcPr>
            <w:tcW w:w="3081"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108</w:t>
            </w:r>
          </w:p>
        </w:tc>
        <w:tc>
          <w:tcPr>
            <w:tcW w:w="3081"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58</w:t>
            </w:r>
          </w:p>
        </w:tc>
      </w:tr>
      <w:tr w:rsidR="00EF6A76" w:rsidRPr="00032BCA" w:rsidTr="001D3DE9">
        <w:tc>
          <w:tcPr>
            <w:tcW w:w="3080"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Response rate</w:t>
            </w:r>
          </w:p>
        </w:tc>
        <w:tc>
          <w:tcPr>
            <w:tcW w:w="3081" w:type="dxa"/>
            <w:tcBorders>
              <w:bottom w:val="nil"/>
            </w:tcBorders>
          </w:tcPr>
          <w:p w:rsidR="00EF6A76" w:rsidRPr="001D3DE9" w:rsidRDefault="00EF6A76" w:rsidP="001D3DE9">
            <w:pPr>
              <w:spacing w:before="120" w:after="0"/>
              <w:jc w:val="center"/>
              <w:rPr>
                <w:rFonts w:ascii="Arial" w:hAnsi="Arial" w:cs="Arial"/>
              </w:rPr>
            </w:pPr>
          </w:p>
        </w:tc>
        <w:tc>
          <w:tcPr>
            <w:tcW w:w="3081" w:type="dxa"/>
            <w:tcBorders>
              <w:bottom w:val="nil"/>
            </w:tcBorders>
          </w:tcPr>
          <w:p w:rsidR="00EF6A76" w:rsidRPr="001D3DE9" w:rsidRDefault="00EF6A76" w:rsidP="001D3DE9">
            <w:pPr>
              <w:spacing w:before="120" w:after="0"/>
              <w:jc w:val="center"/>
              <w:rPr>
                <w:rFonts w:ascii="Arial" w:hAnsi="Arial" w:cs="Arial"/>
              </w:rPr>
            </w:pPr>
          </w:p>
        </w:tc>
      </w:tr>
      <w:tr w:rsidR="00EF6A76" w:rsidRPr="00032BCA" w:rsidTr="001D3DE9">
        <w:tc>
          <w:tcPr>
            <w:tcW w:w="3080"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ITT population</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20.8</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29.7</w:t>
            </w:r>
          </w:p>
        </w:tc>
      </w:tr>
      <w:tr w:rsidR="00EF6A76" w:rsidRPr="00032BCA" w:rsidTr="001D3DE9">
        <w:tc>
          <w:tcPr>
            <w:tcW w:w="3080"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 xml:space="preserve">% [95% CI] </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[14</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29]</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[18</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41]</w:t>
            </w:r>
            <w:r w:rsidR="00B55E89">
              <w:rPr>
                <w:rFonts w:ascii="Arial" w:hAnsi="Arial" w:cs="Arial"/>
              </w:rPr>
              <w:t xml:space="preserve"> </w:t>
            </w:r>
          </w:p>
        </w:tc>
      </w:tr>
      <w:tr w:rsidR="00EF6A76" w:rsidRPr="00032BCA" w:rsidTr="001D3DE9">
        <w:tc>
          <w:tcPr>
            <w:tcW w:w="3080"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Evaluable patients</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23.2</w:t>
            </w:r>
          </w:p>
        </w:tc>
        <w:tc>
          <w:tcPr>
            <w:tcW w:w="3081"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31.0</w:t>
            </w:r>
          </w:p>
        </w:tc>
      </w:tr>
      <w:tr w:rsidR="00EF6A76" w:rsidRPr="00032BCA" w:rsidTr="001D3DE9">
        <w:tc>
          <w:tcPr>
            <w:tcW w:w="3080"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 [95% CI]</w:t>
            </w:r>
          </w:p>
        </w:tc>
        <w:tc>
          <w:tcPr>
            <w:tcW w:w="3081"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[16</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32]</w:t>
            </w:r>
          </w:p>
        </w:tc>
        <w:tc>
          <w:tcPr>
            <w:tcW w:w="3081"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[19</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43]</w:t>
            </w:r>
          </w:p>
        </w:tc>
      </w:tr>
      <w:tr w:rsidR="00EF6A76" w:rsidRPr="00032BCA" w:rsidTr="001D3DE9">
        <w:tc>
          <w:tcPr>
            <w:tcW w:w="3080" w:type="dxa"/>
          </w:tcPr>
          <w:p w:rsidR="00EF6A76" w:rsidRPr="001D3DE9" w:rsidRDefault="00EF6A76" w:rsidP="001D3DE9">
            <w:pPr>
              <w:spacing w:before="120" w:after="0"/>
              <w:rPr>
                <w:rFonts w:ascii="Arial" w:hAnsi="Arial" w:cs="Arial"/>
                <w:b/>
              </w:rPr>
            </w:pPr>
            <w:r w:rsidRPr="001D3DE9">
              <w:rPr>
                <w:rFonts w:ascii="Arial" w:hAnsi="Arial" w:cs="Arial"/>
                <w:b/>
              </w:rPr>
              <w:t>Median PFS (months)     (ITT)</w:t>
            </w:r>
          </w:p>
        </w:tc>
        <w:tc>
          <w:tcPr>
            <w:tcW w:w="3081" w:type="dxa"/>
          </w:tcPr>
          <w:p w:rsidR="00EF6A76" w:rsidRPr="001D3DE9" w:rsidRDefault="00EF6A76" w:rsidP="001D3DE9">
            <w:pPr>
              <w:spacing w:before="120" w:after="0"/>
              <w:jc w:val="center"/>
              <w:rPr>
                <w:rFonts w:ascii="Arial" w:hAnsi="Arial" w:cs="Arial"/>
              </w:rPr>
            </w:pPr>
            <w:r w:rsidRPr="001D3DE9">
              <w:rPr>
                <w:rFonts w:ascii="Arial" w:hAnsi="Arial" w:cs="Arial"/>
              </w:rPr>
              <w:t>4.6</w:t>
            </w:r>
          </w:p>
        </w:tc>
        <w:tc>
          <w:tcPr>
            <w:tcW w:w="3081" w:type="dxa"/>
          </w:tcPr>
          <w:p w:rsidR="00EF6A76" w:rsidRPr="001D3DE9" w:rsidRDefault="00EF6A76" w:rsidP="001D3DE9">
            <w:pPr>
              <w:spacing w:before="120" w:after="0"/>
              <w:jc w:val="center"/>
              <w:rPr>
                <w:rFonts w:ascii="Arial" w:hAnsi="Arial" w:cs="Arial"/>
              </w:rPr>
            </w:pPr>
            <w:r w:rsidRPr="001D3DE9">
              <w:rPr>
                <w:rFonts w:ascii="Arial" w:hAnsi="Arial" w:cs="Arial"/>
              </w:rPr>
              <w:t>4.2</w:t>
            </w:r>
          </w:p>
        </w:tc>
      </w:tr>
      <w:tr w:rsidR="00EF6A76" w:rsidRPr="00032BCA" w:rsidTr="001D3DE9">
        <w:tc>
          <w:tcPr>
            <w:tcW w:w="3080" w:type="dxa"/>
          </w:tcPr>
          <w:p w:rsidR="00EF6A76" w:rsidRPr="001D3DE9" w:rsidRDefault="00EF6A76" w:rsidP="001D3DE9">
            <w:pPr>
              <w:spacing w:before="120" w:after="0"/>
              <w:rPr>
                <w:rFonts w:ascii="Arial" w:hAnsi="Arial" w:cs="Arial"/>
                <w:b/>
              </w:rPr>
            </w:pPr>
            <w:r w:rsidRPr="001D3DE9">
              <w:rPr>
                <w:rFonts w:ascii="Arial" w:hAnsi="Arial" w:cs="Arial"/>
                <w:b/>
              </w:rPr>
              <w:t>Median survival (months)     (ITT)</w:t>
            </w:r>
          </w:p>
        </w:tc>
        <w:tc>
          <w:tcPr>
            <w:tcW w:w="3081" w:type="dxa"/>
          </w:tcPr>
          <w:p w:rsidR="00EF6A76" w:rsidRPr="001D3DE9" w:rsidRDefault="00EF6A76" w:rsidP="001D3DE9">
            <w:pPr>
              <w:spacing w:before="120" w:after="0"/>
              <w:jc w:val="center"/>
              <w:rPr>
                <w:rFonts w:ascii="Arial" w:hAnsi="Arial" w:cs="Arial"/>
              </w:rPr>
            </w:pPr>
            <w:r w:rsidRPr="001D3DE9">
              <w:rPr>
                <w:rFonts w:ascii="Arial" w:hAnsi="Arial" w:cs="Arial"/>
              </w:rPr>
              <w:t>19.3</w:t>
            </w:r>
          </w:p>
        </w:tc>
        <w:tc>
          <w:tcPr>
            <w:tcW w:w="3081" w:type="dxa"/>
          </w:tcPr>
          <w:p w:rsidR="00EF6A76" w:rsidRPr="001D3DE9" w:rsidRDefault="00EF6A76" w:rsidP="001D3DE9">
            <w:pPr>
              <w:spacing w:before="120" w:after="0"/>
              <w:jc w:val="center"/>
              <w:rPr>
                <w:rFonts w:ascii="Arial" w:hAnsi="Arial" w:cs="Arial"/>
              </w:rPr>
            </w:pPr>
            <w:r w:rsidRPr="001D3DE9">
              <w:rPr>
                <w:rFonts w:ascii="Arial" w:hAnsi="Arial" w:cs="Arial"/>
              </w:rPr>
              <w:t>23.9</w:t>
            </w:r>
          </w:p>
        </w:tc>
      </w:tr>
    </w:tbl>
    <w:p w:rsidR="00EF6A76" w:rsidRPr="00032BCA" w:rsidRDefault="00EF6A76" w:rsidP="00153446">
      <w:pPr>
        <w:spacing w:after="0"/>
        <w:rPr>
          <w:rFonts w:ascii="Arial" w:hAnsi="Arial" w:cs="Arial"/>
          <w:sz w:val="24"/>
          <w:szCs w:val="24"/>
        </w:rPr>
      </w:pPr>
    </w:p>
    <w:p w:rsidR="00EF6A76" w:rsidRPr="00032BCA" w:rsidRDefault="00EF6A76" w:rsidP="00DC3F86">
      <w:pPr>
        <w:spacing w:after="0"/>
        <w:rPr>
          <w:rFonts w:ascii="Arial" w:hAnsi="Arial" w:cs="Arial"/>
          <w:b/>
          <w:sz w:val="20"/>
          <w:szCs w:val="20"/>
        </w:rPr>
      </w:pPr>
      <w:r w:rsidRPr="00032BCA">
        <w:rPr>
          <w:rFonts w:ascii="Arial" w:hAnsi="Arial" w:cs="Arial"/>
          <w:b/>
          <w:sz w:val="20"/>
          <w:szCs w:val="20"/>
        </w:rPr>
        <w:t>ITT = Intent-to-treat  PFS = Progression free survival.</w:t>
      </w:r>
    </w:p>
    <w:p w:rsidR="00EF6A76" w:rsidRPr="00032BCA" w:rsidRDefault="00EF6A76" w:rsidP="00153446">
      <w:pPr>
        <w:spacing w:after="0"/>
        <w:rPr>
          <w:rFonts w:ascii="Arial" w:hAnsi="Arial" w:cs="Arial"/>
          <w:sz w:val="24"/>
          <w:szCs w:val="24"/>
        </w:rPr>
      </w:pPr>
    </w:p>
    <w:p w:rsidR="00EF6A76" w:rsidRPr="00032BCA" w:rsidRDefault="00EF6A76" w:rsidP="00153446">
      <w:pPr>
        <w:spacing w:after="0"/>
        <w:rPr>
          <w:rFonts w:ascii="Arial" w:hAnsi="Arial" w:cs="Arial"/>
          <w:sz w:val="24"/>
          <w:szCs w:val="24"/>
          <w:lang w:val="en-GB"/>
        </w:rPr>
      </w:pPr>
      <w:r w:rsidRPr="00032BCA">
        <w:rPr>
          <w:rFonts w:ascii="Arial" w:hAnsi="Arial" w:cs="Arial"/>
          <w:sz w:val="24"/>
          <w:szCs w:val="24"/>
        </w:rPr>
        <w:t xml:space="preserve">A response rate of 30% was reported in study 97 CA 206 and 21% in study 96 CA 201.  The lower response rate observed in the latter study could be explained by the very poor prognosis features in the </w:t>
      </w:r>
      <w:r w:rsidRPr="00032BCA">
        <w:rPr>
          <w:rFonts w:ascii="Arial" w:hAnsi="Arial" w:cs="Arial"/>
          <w:sz w:val="24"/>
          <w:szCs w:val="24"/>
          <w:lang w:val="en-GB"/>
        </w:rPr>
        <w:t>patients having received no prior adjuvant chemotherapy: 57% of patients had stage III</w:t>
      </w:r>
      <w:r w:rsidRPr="00032BCA">
        <w:rPr>
          <w:rFonts w:ascii="Arial" w:hAnsi="Arial" w:cs="Arial"/>
          <w:sz w:val="24"/>
          <w:szCs w:val="24"/>
          <w:vertAlign w:val="subscript"/>
          <w:lang w:val="en-GB"/>
        </w:rPr>
        <w:t>B</w:t>
      </w:r>
      <w:r w:rsidRPr="00032BCA">
        <w:rPr>
          <w:rFonts w:ascii="Arial" w:hAnsi="Arial" w:cs="Arial"/>
          <w:sz w:val="24"/>
          <w:szCs w:val="24"/>
          <w:lang w:val="en-GB"/>
        </w:rPr>
        <w:t xml:space="preserve"> – IV disease, 67% had a disease-free interval less than 2 years and 62% had at least 3 organs involved.  In this subset of patients, the response rate was only 14%.</w:t>
      </w:r>
    </w:p>
    <w:p w:rsidR="00EF6A76" w:rsidRPr="00032BCA" w:rsidRDefault="00EF6A76" w:rsidP="00153446">
      <w:pPr>
        <w:spacing w:after="0"/>
        <w:rPr>
          <w:rFonts w:ascii="Arial" w:hAnsi="Arial" w:cs="Arial"/>
          <w:sz w:val="24"/>
          <w:szCs w:val="24"/>
          <w:lang w:val="en-GB"/>
        </w:rPr>
      </w:pPr>
    </w:p>
    <w:p w:rsidR="00EF6A76" w:rsidRPr="00032BCA" w:rsidRDefault="00EF6A76" w:rsidP="00153446">
      <w:pPr>
        <w:spacing w:after="0"/>
        <w:rPr>
          <w:rFonts w:ascii="Arial" w:hAnsi="Arial" w:cs="Arial"/>
          <w:sz w:val="24"/>
          <w:szCs w:val="24"/>
        </w:rPr>
      </w:pPr>
      <w:r w:rsidRPr="00032BCA">
        <w:rPr>
          <w:rFonts w:ascii="Arial" w:hAnsi="Arial" w:cs="Arial"/>
          <w:sz w:val="24"/>
          <w:szCs w:val="24"/>
          <w:lang w:val="en-GB"/>
        </w:rPr>
        <w:t>Median durations of progression-free survival and overall survival were consistent in the 2 studies: 4.6 and 4.2 months; and 19.3 and 23.9 months respectively.</w:t>
      </w:r>
    </w:p>
    <w:p w:rsidR="00EF6A76" w:rsidRDefault="00EF6A76" w:rsidP="00676AB4">
      <w:pPr>
        <w:spacing w:after="0"/>
        <w:rPr>
          <w:rFonts w:ascii="Arial" w:hAnsi="Arial" w:cs="Arial"/>
          <w:sz w:val="24"/>
          <w:szCs w:val="24"/>
        </w:rPr>
      </w:pPr>
    </w:p>
    <w:p w:rsidR="00EF6A76" w:rsidRPr="00B80B52" w:rsidRDefault="00EF6A76" w:rsidP="00676AB4">
      <w:pPr>
        <w:spacing w:after="0"/>
        <w:rPr>
          <w:rFonts w:ascii="Arial" w:hAnsi="Arial" w:cs="Arial"/>
          <w:color w:val="000000" w:themeColor="text1"/>
          <w:sz w:val="24"/>
          <w:szCs w:val="24"/>
        </w:rPr>
      </w:pPr>
      <w:r w:rsidRPr="00B80B52">
        <w:rPr>
          <w:rFonts w:ascii="Arial" w:hAnsi="Arial" w:cs="Arial"/>
          <w:color w:val="000000" w:themeColor="text1"/>
          <w:sz w:val="24"/>
          <w:szCs w:val="24"/>
        </w:rPr>
        <w:t>A randomised phase II trial (CA221) assessed in parallel the efficacy and safety of</w:t>
      </w:r>
    </w:p>
    <w:p w:rsidR="00EF6A76" w:rsidRDefault="00EF6A76" w:rsidP="00676AB4">
      <w:pPr>
        <w:spacing w:after="0"/>
        <w:rPr>
          <w:rFonts w:ascii="Arial" w:hAnsi="Arial" w:cs="Arial"/>
          <w:color w:val="000000" w:themeColor="text1"/>
          <w:sz w:val="24"/>
          <w:szCs w:val="24"/>
        </w:rPr>
      </w:pPr>
      <w:r w:rsidRPr="00B80B52">
        <w:rPr>
          <w:rFonts w:ascii="Arial" w:hAnsi="Arial" w:cs="Arial"/>
          <w:color w:val="000000" w:themeColor="text1"/>
          <w:sz w:val="24"/>
          <w:szCs w:val="24"/>
        </w:rPr>
        <w:t xml:space="preserve">oral </w:t>
      </w:r>
      <w:proofErr w:type="spellStart"/>
      <w:r w:rsidRPr="00B80B52">
        <w:rPr>
          <w:rFonts w:ascii="Arial" w:hAnsi="Arial" w:cs="Arial"/>
          <w:color w:val="000000" w:themeColor="text1"/>
          <w:sz w:val="24"/>
          <w:szCs w:val="24"/>
        </w:rPr>
        <w:t>vinorelbine</w:t>
      </w:r>
      <w:proofErr w:type="spellEnd"/>
      <w:r w:rsidRPr="00B80B52">
        <w:rPr>
          <w:rFonts w:ascii="Arial" w:hAnsi="Arial" w:cs="Arial"/>
          <w:color w:val="000000" w:themeColor="text1"/>
          <w:sz w:val="24"/>
          <w:szCs w:val="24"/>
        </w:rPr>
        <w:t xml:space="preserve"> at 60 mg/m² on days 1 and 8 every 3 weeks for the first cycle then increased </w:t>
      </w:r>
      <w:r w:rsidR="00027BFB" w:rsidRPr="00B80B52">
        <w:rPr>
          <w:rFonts w:ascii="Arial" w:hAnsi="Arial" w:cs="Arial"/>
          <w:color w:val="000000" w:themeColor="text1"/>
          <w:sz w:val="24"/>
          <w:szCs w:val="24"/>
        </w:rPr>
        <w:t>to</w:t>
      </w:r>
      <w:r w:rsidRPr="00B80B52">
        <w:rPr>
          <w:rFonts w:ascii="Arial" w:hAnsi="Arial" w:cs="Arial"/>
          <w:color w:val="000000" w:themeColor="text1"/>
          <w:sz w:val="24"/>
          <w:szCs w:val="24"/>
        </w:rPr>
        <w:t xml:space="preserve"> 80 mg/m² on days 1 and 8 every 3 weeks for subsequent cycles ; and  IV </w:t>
      </w:r>
      <w:proofErr w:type="spellStart"/>
      <w:r w:rsidRPr="00B80B52">
        <w:rPr>
          <w:rFonts w:ascii="Arial" w:hAnsi="Arial" w:cs="Arial"/>
          <w:color w:val="000000" w:themeColor="text1"/>
          <w:sz w:val="24"/>
          <w:szCs w:val="24"/>
        </w:rPr>
        <w:t>vinorelbine</w:t>
      </w:r>
      <w:proofErr w:type="spellEnd"/>
      <w:r w:rsidRPr="00B80B52">
        <w:rPr>
          <w:rFonts w:ascii="Arial" w:hAnsi="Arial" w:cs="Arial"/>
          <w:color w:val="000000" w:themeColor="text1"/>
          <w:sz w:val="24"/>
          <w:szCs w:val="24"/>
        </w:rPr>
        <w:t xml:space="preserve"> at 25 mg/m² on days 1 and 8 every 3 weeks for the first cycle then increased </w:t>
      </w:r>
      <w:r w:rsidR="00027BFB" w:rsidRPr="00B80B52">
        <w:rPr>
          <w:rFonts w:ascii="Arial" w:hAnsi="Arial" w:cs="Arial"/>
          <w:color w:val="000000" w:themeColor="text1"/>
          <w:sz w:val="24"/>
          <w:szCs w:val="24"/>
        </w:rPr>
        <w:t>to</w:t>
      </w:r>
      <w:r w:rsidRPr="00B80B52">
        <w:rPr>
          <w:rFonts w:ascii="Arial" w:hAnsi="Arial" w:cs="Arial"/>
          <w:color w:val="000000" w:themeColor="text1"/>
          <w:sz w:val="24"/>
          <w:szCs w:val="24"/>
        </w:rPr>
        <w:t xml:space="preserve"> 30 mg/m² on days 1 and 8 every 3 weeks for subsequent cycles.</w:t>
      </w:r>
      <w:r w:rsidRPr="00B80B52">
        <w:rPr>
          <w:color w:val="000000" w:themeColor="text1"/>
        </w:rPr>
        <w:t xml:space="preserve"> </w:t>
      </w:r>
      <w:r w:rsidRPr="00B80B52">
        <w:rPr>
          <w:rFonts w:ascii="Arial" w:hAnsi="Arial" w:cs="Arial"/>
          <w:color w:val="000000" w:themeColor="text1"/>
          <w:sz w:val="24"/>
          <w:szCs w:val="24"/>
        </w:rPr>
        <w:t xml:space="preserve">The study was closed 2.5 years after its initiation due to low accrual (85 patients enrolled </w:t>
      </w:r>
      <w:r w:rsidR="00027BFB" w:rsidRPr="00B80B52">
        <w:rPr>
          <w:rFonts w:ascii="Arial" w:hAnsi="Arial" w:cs="Arial"/>
          <w:color w:val="000000" w:themeColor="text1"/>
          <w:sz w:val="24"/>
          <w:szCs w:val="24"/>
        </w:rPr>
        <w:t>out of</w:t>
      </w:r>
      <w:r w:rsidRPr="00B80B52">
        <w:rPr>
          <w:rFonts w:ascii="Arial" w:hAnsi="Arial" w:cs="Arial"/>
          <w:color w:val="000000" w:themeColor="text1"/>
          <w:sz w:val="24"/>
          <w:szCs w:val="24"/>
        </w:rPr>
        <w:t xml:space="preserve"> 230 planned). Premature closure of the study did not allow </w:t>
      </w:r>
      <w:r w:rsidR="00027BFB" w:rsidRPr="00B80B52">
        <w:rPr>
          <w:rFonts w:ascii="Arial" w:hAnsi="Arial" w:cs="Arial"/>
          <w:color w:val="000000" w:themeColor="text1"/>
          <w:sz w:val="24"/>
          <w:szCs w:val="24"/>
        </w:rPr>
        <w:t>for the accurate assessment of</w:t>
      </w:r>
      <w:r w:rsidRPr="00B80B52">
        <w:rPr>
          <w:rFonts w:ascii="Arial" w:hAnsi="Arial" w:cs="Arial"/>
          <w:color w:val="000000" w:themeColor="text1"/>
          <w:sz w:val="24"/>
          <w:szCs w:val="24"/>
        </w:rPr>
        <w:t xml:space="preserve"> the efficacy of oral </w:t>
      </w:r>
      <w:proofErr w:type="spellStart"/>
      <w:r w:rsidRPr="00B80B52">
        <w:rPr>
          <w:rFonts w:ascii="Arial" w:hAnsi="Arial" w:cs="Arial"/>
          <w:color w:val="000000" w:themeColor="text1"/>
          <w:sz w:val="24"/>
          <w:szCs w:val="24"/>
        </w:rPr>
        <w:t>vinorelbine</w:t>
      </w:r>
      <w:proofErr w:type="spellEnd"/>
      <w:r w:rsidRPr="00B80B52">
        <w:rPr>
          <w:rFonts w:ascii="Arial" w:hAnsi="Arial" w:cs="Arial"/>
          <w:color w:val="000000" w:themeColor="text1"/>
          <w:sz w:val="24"/>
          <w:szCs w:val="24"/>
        </w:rPr>
        <w:t>. The following results were observed: response rate of 7% and disease control rate of 47.4% in the oral arm</w:t>
      </w:r>
      <w:r w:rsidR="00027BFB" w:rsidRPr="00B80B52">
        <w:rPr>
          <w:rFonts w:ascii="Arial" w:hAnsi="Arial" w:cs="Arial"/>
          <w:color w:val="000000" w:themeColor="text1"/>
          <w:sz w:val="24"/>
          <w:szCs w:val="24"/>
        </w:rPr>
        <w:t xml:space="preserve">; </w:t>
      </w:r>
      <w:r w:rsidRPr="00B80B52">
        <w:rPr>
          <w:rFonts w:ascii="Arial" w:hAnsi="Arial" w:cs="Arial"/>
          <w:color w:val="000000" w:themeColor="text1"/>
          <w:sz w:val="24"/>
          <w:szCs w:val="24"/>
        </w:rPr>
        <w:t>response rate of 22% and disease control rate of 51.9% in the IV arm. Median overall survival was similar in the 2 study arms: 9.4 months and 10.2 months respectively.</w:t>
      </w:r>
    </w:p>
    <w:p w:rsidR="00B80B52" w:rsidRPr="00B80B52" w:rsidRDefault="00B80B52" w:rsidP="00676AB4">
      <w:pPr>
        <w:spacing w:after="0"/>
        <w:rPr>
          <w:rFonts w:ascii="Arial" w:hAnsi="Arial" w:cs="Arial"/>
          <w:color w:val="000000" w:themeColor="text1"/>
          <w:sz w:val="24"/>
          <w:szCs w:val="24"/>
        </w:rPr>
      </w:pPr>
    </w:p>
    <w:p w:rsidR="00EF6A76" w:rsidRPr="00032BCA" w:rsidRDefault="00EF6A76" w:rsidP="002A1C8B">
      <w:pPr>
        <w:rPr>
          <w:rFonts w:ascii="Arial" w:hAnsi="Arial" w:cs="Arial"/>
          <w:b/>
          <w:sz w:val="24"/>
          <w:szCs w:val="24"/>
          <w:lang w:val="en-GB"/>
        </w:rPr>
      </w:pPr>
      <w:r w:rsidRPr="00032BCA">
        <w:rPr>
          <w:rFonts w:ascii="Arial" w:hAnsi="Arial" w:cs="Arial"/>
          <w:b/>
          <w:sz w:val="24"/>
          <w:szCs w:val="24"/>
          <w:lang w:val="en-GB"/>
        </w:rPr>
        <w:t>In combination</w:t>
      </w:r>
    </w:p>
    <w:p w:rsidR="00EF6A76" w:rsidRPr="00032BCA" w:rsidRDefault="00EF6A76" w:rsidP="00153446">
      <w:pPr>
        <w:spacing w:after="0"/>
        <w:rPr>
          <w:rFonts w:ascii="Arial" w:hAnsi="Arial" w:cs="Arial"/>
          <w:sz w:val="24"/>
          <w:szCs w:val="24"/>
        </w:rPr>
      </w:pPr>
      <w:r w:rsidRPr="00032BCA">
        <w:rPr>
          <w:rFonts w:ascii="Arial" w:hAnsi="Arial" w:cs="Arial"/>
          <w:sz w:val="24"/>
          <w:szCs w:val="24"/>
        </w:rPr>
        <w:t xml:space="preserve">A randomised phase II study (CA 222) of the combination of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with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versus a sequential regimen of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and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versus the combination of </w:t>
      </w:r>
      <w:proofErr w:type="spellStart"/>
      <w:r w:rsidRPr="00032BCA">
        <w:rPr>
          <w:rFonts w:ascii="Arial" w:hAnsi="Arial" w:cs="Arial"/>
          <w:sz w:val="24"/>
          <w:szCs w:val="24"/>
        </w:rPr>
        <w:t>docetaxel</w:t>
      </w:r>
      <w:proofErr w:type="spellEnd"/>
      <w:r w:rsidRPr="00032BCA">
        <w:rPr>
          <w:rFonts w:ascii="Arial" w:hAnsi="Arial" w:cs="Arial"/>
          <w:sz w:val="24"/>
          <w:szCs w:val="24"/>
        </w:rPr>
        <w:t xml:space="preserve"> and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was carried out in 139 metastatic breast cancer patients previously treated with </w:t>
      </w:r>
      <w:proofErr w:type="spellStart"/>
      <w:r w:rsidRPr="00032BCA">
        <w:rPr>
          <w:rFonts w:ascii="Arial" w:hAnsi="Arial" w:cs="Arial"/>
          <w:sz w:val="24"/>
          <w:szCs w:val="24"/>
        </w:rPr>
        <w:t>anthracyclines</w:t>
      </w:r>
      <w:proofErr w:type="spellEnd"/>
      <w:r w:rsidRPr="00032BCA">
        <w:rPr>
          <w:rFonts w:ascii="Arial" w:hAnsi="Arial" w:cs="Arial"/>
          <w:sz w:val="24"/>
          <w:szCs w:val="24"/>
        </w:rPr>
        <w:t xml:space="preserve">.  </w:t>
      </w:r>
    </w:p>
    <w:p w:rsidR="00EF6A76" w:rsidRPr="00032BCA" w:rsidRDefault="00EF6A76" w:rsidP="00153446">
      <w:pPr>
        <w:spacing w:after="0"/>
        <w:rPr>
          <w:rFonts w:ascii="Arial" w:hAnsi="Arial" w:cs="Arial"/>
          <w:sz w:val="24"/>
          <w:szCs w:val="24"/>
        </w:rPr>
      </w:pPr>
    </w:p>
    <w:p w:rsidR="00EF6A76" w:rsidRPr="00032BCA" w:rsidRDefault="00EF6A76" w:rsidP="00153446">
      <w:pPr>
        <w:spacing w:after="0"/>
        <w:rPr>
          <w:rFonts w:ascii="Arial" w:hAnsi="Arial" w:cs="Arial"/>
          <w:sz w:val="24"/>
          <w:szCs w:val="24"/>
        </w:rPr>
      </w:pPr>
      <w:r w:rsidRPr="00032BCA">
        <w:rPr>
          <w:rFonts w:ascii="Arial" w:hAnsi="Arial" w:cs="Arial"/>
          <w:sz w:val="24"/>
          <w:szCs w:val="24"/>
        </w:rPr>
        <w:t xml:space="preserve">In combination with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was given on days 1 and 8 of three-week cycles at 60 mg/m</w:t>
      </w:r>
      <w:r w:rsidRPr="00032BCA">
        <w:rPr>
          <w:rFonts w:ascii="Arial" w:hAnsi="Arial" w:cs="Arial"/>
          <w:sz w:val="24"/>
          <w:szCs w:val="24"/>
          <w:vertAlign w:val="superscript"/>
        </w:rPr>
        <w:t>2</w:t>
      </w:r>
      <w:r w:rsidRPr="00032BCA">
        <w:rPr>
          <w:rFonts w:ascii="Arial" w:hAnsi="Arial" w:cs="Arial"/>
          <w:sz w:val="24"/>
          <w:szCs w:val="24"/>
        </w:rPr>
        <w:t xml:space="preserve"> for the first cycle and then at 80 mg/m</w:t>
      </w:r>
      <w:r w:rsidRPr="00032BCA">
        <w:rPr>
          <w:rFonts w:ascii="Arial" w:hAnsi="Arial" w:cs="Arial"/>
          <w:sz w:val="24"/>
          <w:szCs w:val="24"/>
          <w:vertAlign w:val="superscript"/>
        </w:rPr>
        <w:t>2</w:t>
      </w:r>
      <w:r w:rsidRPr="00032BCA">
        <w:rPr>
          <w:rFonts w:ascii="Arial" w:hAnsi="Arial" w:cs="Arial"/>
          <w:sz w:val="24"/>
          <w:szCs w:val="24"/>
        </w:rPr>
        <w:t xml:space="preserve">.  In the sequential regimen, patients received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60 then 80 mg/m</w:t>
      </w:r>
      <w:r w:rsidRPr="00032BCA">
        <w:rPr>
          <w:rFonts w:ascii="Arial" w:hAnsi="Arial" w:cs="Arial"/>
          <w:sz w:val="24"/>
          <w:szCs w:val="24"/>
          <w:vertAlign w:val="superscript"/>
        </w:rPr>
        <w:t>2</w:t>
      </w:r>
      <w:r w:rsidRPr="00032BCA">
        <w:rPr>
          <w:rFonts w:ascii="Arial" w:hAnsi="Arial" w:cs="Arial"/>
          <w:sz w:val="24"/>
          <w:szCs w:val="24"/>
        </w:rPr>
        <w:t xml:space="preserve">/week for a total of 3 three-week cycles and then 3 cycles of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In the control arm, the standard regimen of </w:t>
      </w:r>
      <w:proofErr w:type="spellStart"/>
      <w:r w:rsidRPr="00032BCA">
        <w:rPr>
          <w:rFonts w:ascii="Arial" w:hAnsi="Arial" w:cs="Arial"/>
          <w:sz w:val="24"/>
          <w:szCs w:val="24"/>
        </w:rPr>
        <w:t>docetaxel</w:t>
      </w:r>
      <w:proofErr w:type="spellEnd"/>
      <w:r w:rsidRPr="00032BCA">
        <w:rPr>
          <w:rFonts w:ascii="Arial" w:hAnsi="Arial" w:cs="Arial"/>
          <w:sz w:val="24"/>
          <w:szCs w:val="24"/>
        </w:rPr>
        <w:t xml:space="preserve"> 75 mg/m</w:t>
      </w:r>
      <w:r w:rsidRPr="00032BCA">
        <w:rPr>
          <w:rFonts w:ascii="Arial" w:hAnsi="Arial" w:cs="Arial"/>
          <w:sz w:val="24"/>
          <w:szCs w:val="24"/>
          <w:vertAlign w:val="superscript"/>
        </w:rPr>
        <w:t>2</w:t>
      </w:r>
      <w:r w:rsidRPr="00032BCA">
        <w:rPr>
          <w:rFonts w:ascii="Arial" w:hAnsi="Arial" w:cs="Arial"/>
          <w:sz w:val="24"/>
          <w:szCs w:val="24"/>
        </w:rPr>
        <w:t xml:space="preserve"> on day 1 and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every 3 weeks was used.  In the 3 study arms, the dose of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was 2000 mg/m</w:t>
      </w:r>
      <w:r w:rsidRPr="00032BCA">
        <w:rPr>
          <w:rFonts w:ascii="Arial" w:hAnsi="Arial" w:cs="Arial"/>
          <w:sz w:val="24"/>
          <w:szCs w:val="24"/>
          <w:vertAlign w:val="superscript"/>
        </w:rPr>
        <w:t>2</w:t>
      </w:r>
      <w:r w:rsidRPr="00032BCA">
        <w:rPr>
          <w:rFonts w:ascii="Arial" w:hAnsi="Arial" w:cs="Arial"/>
          <w:sz w:val="24"/>
          <w:szCs w:val="24"/>
        </w:rPr>
        <w:t>/day administered from days 1 to 14 every 3 weeks.</w:t>
      </w:r>
    </w:p>
    <w:p w:rsidR="00EF6A76" w:rsidRPr="00032BCA" w:rsidRDefault="00EF6A76" w:rsidP="00153446">
      <w:pPr>
        <w:spacing w:after="0"/>
        <w:rPr>
          <w:rFonts w:ascii="Arial" w:hAnsi="Arial" w:cs="Arial"/>
          <w:sz w:val="24"/>
          <w:szCs w:val="24"/>
        </w:rPr>
      </w:pPr>
    </w:p>
    <w:p w:rsidR="00EF6A76" w:rsidRPr="00032BCA" w:rsidRDefault="00EF6A76" w:rsidP="00153446">
      <w:pPr>
        <w:spacing w:after="0"/>
        <w:rPr>
          <w:rFonts w:ascii="Arial" w:hAnsi="Arial" w:cs="Arial"/>
          <w:sz w:val="24"/>
          <w:szCs w:val="24"/>
        </w:rPr>
      </w:pPr>
      <w:r w:rsidRPr="00032BCA">
        <w:rPr>
          <w:rFonts w:ascii="Arial" w:hAnsi="Arial" w:cs="Arial"/>
          <w:sz w:val="24"/>
          <w:szCs w:val="24"/>
        </w:rPr>
        <w:t>Efficacy results in the 3 study arms are summarised in Table 4.</w:t>
      </w:r>
    </w:p>
    <w:p w:rsidR="00EF6A76" w:rsidRPr="00032BCA" w:rsidRDefault="00EF6A76" w:rsidP="00153446">
      <w:pPr>
        <w:spacing w:after="0"/>
        <w:rPr>
          <w:rFonts w:ascii="Arial" w:hAnsi="Arial" w:cs="Arial"/>
          <w:sz w:val="24"/>
          <w:szCs w:val="24"/>
        </w:rPr>
      </w:pPr>
    </w:p>
    <w:p w:rsidR="00EF6A76" w:rsidRPr="00032BCA" w:rsidRDefault="00EF6A76" w:rsidP="00295F45">
      <w:pPr>
        <w:spacing w:after="0"/>
        <w:rPr>
          <w:rFonts w:ascii="Arial" w:hAnsi="Arial" w:cs="Arial"/>
          <w:b/>
        </w:rPr>
      </w:pPr>
      <w:r w:rsidRPr="00032BCA">
        <w:rPr>
          <w:rFonts w:ascii="Arial" w:hAnsi="Arial" w:cs="Arial"/>
          <w:b/>
        </w:rPr>
        <w:t xml:space="preserve">Table 4: Summary of the efficacy results of the randomised phase II study, CA 222. </w:t>
      </w:r>
    </w:p>
    <w:p w:rsidR="00EF6A76" w:rsidRPr="00032BCA" w:rsidRDefault="00EF6A76" w:rsidP="00153446">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2127"/>
        <w:gridCol w:w="2126"/>
        <w:gridCol w:w="2046"/>
      </w:tblGrid>
      <w:tr w:rsidR="00EF6A76" w:rsidRPr="00032BCA" w:rsidTr="001D3DE9">
        <w:tc>
          <w:tcPr>
            <w:tcW w:w="2943" w:type="dxa"/>
          </w:tcPr>
          <w:p w:rsidR="00EF6A76" w:rsidRPr="001D3DE9" w:rsidRDefault="00EF6A76" w:rsidP="001D3DE9">
            <w:pPr>
              <w:spacing w:before="120" w:after="0"/>
              <w:rPr>
                <w:rFonts w:ascii="Arial" w:hAnsi="Arial" w:cs="Arial"/>
                <w:sz w:val="24"/>
                <w:szCs w:val="24"/>
              </w:rPr>
            </w:pPr>
          </w:p>
        </w:tc>
        <w:tc>
          <w:tcPr>
            <w:tcW w:w="2127" w:type="dxa"/>
          </w:tcPr>
          <w:p w:rsidR="00EF6A76" w:rsidRPr="001D3DE9" w:rsidRDefault="00EF6A76" w:rsidP="001D3DE9">
            <w:pPr>
              <w:spacing w:before="120" w:after="0"/>
              <w:rPr>
                <w:rFonts w:ascii="Arial" w:hAnsi="Arial" w:cs="Arial"/>
                <w:b/>
              </w:rPr>
            </w:pPr>
            <w:r w:rsidRPr="001D3DE9">
              <w:rPr>
                <w:rFonts w:ascii="Arial" w:hAnsi="Arial" w:cs="Arial"/>
                <w:b/>
              </w:rPr>
              <w:t>Oral VRL 60/80 mg/m</w:t>
            </w:r>
            <w:r w:rsidRPr="001D3DE9">
              <w:rPr>
                <w:rFonts w:ascii="Arial" w:hAnsi="Arial" w:cs="Arial"/>
                <w:b/>
                <w:vertAlign w:val="superscript"/>
              </w:rPr>
              <w:t>2</w:t>
            </w:r>
            <w:r w:rsidRPr="001D3DE9">
              <w:rPr>
                <w:rFonts w:ascii="Arial" w:hAnsi="Arial" w:cs="Arial"/>
                <w:b/>
              </w:rPr>
              <w:t xml:space="preserve"> on days 1 and 8 plus </w:t>
            </w:r>
            <w:proofErr w:type="spellStart"/>
            <w:r w:rsidRPr="001D3DE9">
              <w:rPr>
                <w:rFonts w:ascii="Arial" w:hAnsi="Arial" w:cs="Arial"/>
                <w:b/>
              </w:rPr>
              <w:t>capecitabine</w:t>
            </w:r>
            <w:proofErr w:type="spellEnd"/>
            <w:r w:rsidRPr="001D3DE9">
              <w:rPr>
                <w:rFonts w:ascii="Arial" w:hAnsi="Arial" w:cs="Arial"/>
                <w:b/>
              </w:rPr>
              <w:t xml:space="preserve"> 2000 mg/m</w:t>
            </w:r>
            <w:r w:rsidRPr="001D3DE9">
              <w:rPr>
                <w:rFonts w:ascii="Arial" w:hAnsi="Arial" w:cs="Arial"/>
                <w:b/>
                <w:vertAlign w:val="superscript"/>
              </w:rPr>
              <w:t>2</w:t>
            </w:r>
            <w:r w:rsidRPr="001D3DE9">
              <w:rPr>
                <w:rFonts w:ascii="Arial" w:hAnsi="Arial" w:cs="Arial"/>
                <w:b/>
              </w:rPr>
              <w:t>/day from days 1 to 14 q3 wks.</w:t>
            </w:r>
          </w:p>
        </w:tc>
        <w:tc>
          <w:tcPr>
            <w:tcW w:w="2126" w:type="dxa"/>
          </w:tcPr>
          <w:p w:rsidR="00EF6A76" w:rsidRPr="001D3DE9" w:rsidRDefault="00EF6A76" w:rsidP="001D3DE9">
            <w:pPr>
              <w:spacing w:before="120" w:after="0"/>
              <w:rPr>
                <w:rFonts w:ascii="Arial" w:hAnsi="Arial" w:cs="Arial"/>
                <w:b/>
              </w:rPr>
            </w:pPr>
            <w:r w:rsidRPr="001D3DE9">
              <w:rPr>
                <w:rFonts w:ascii="Arial" w:hAnsi="Arial" w:cs="Arial"/>
                <w:b/>
              </w:rPr>
              <w:t>Oral VRL 60/80 mg/m</w:t>
            </w:r>
            <w:r w:rsidRPr="001D3DE9">
              <w:rPr>
                <w:rFonts w:ascii="Arial" w:hAnsi="Arial" w:cs="Arial"/>
                <w:b/>
                <w:vertAlign w:val="superscript"/>
              </w:rPr>
              <w:t>2</w:t>
            </w:r>
            <w:r w:rsidRPr="001D3DE9">
              <w:rPr>
                <w:rFonts w:ascii="Arial" w:hAnsi="Arial" w:cs="Arial"/>
                <w:b/>
              </w:rPr>
              <w:t xml:space="preserve">/week for 3 cycles followed by </w:t>
            </w:r>
            <w:proofErr w:type="spellStart"/>
            <w:r w:rsidRPr="001D3DE9">
              <w:rPr>
                <w:rFonts w:ascii="Arial" w:hAnsi="Arial" w:cs="Arial"/>
                <w:b/>
              </w:rPr>
              <w:t>capecitabine</w:t>
            </w:r>
            <w:proofErr w:type="spellEnd"/>
            <w:r w:rsidRPr="001D3DE9">
              <w:rPr>
                <w:rFonts w:ascii="Arial" w:hAnsi="Arial" w:cs="Arial"/>
                <w:b/>
              </w:rPr>
              <w:t xml:space="preserve"> 2000 mg/m</w:t>
            </w:r>
            <w:r w:rsidRPr="001D3DE9">
              <w:rPr>
                <w:rFonts w:ascii="Arial" w:hAnsi="Arial" w:cs="Arial"/>
                <w:b/>
                <w:vertAlign w:val="superscript"/>
              </w:rPr>
              <w:t>2</w:t>
            </w:r>
            <w:r w:rsidRPr="001D3DE9">
              <w:rPr>
                <w:rFonts w:ascii="Arial" w:hAnsi="Arial" w:cs="Arial"/>
                <w:b/>
              </w:rPr>
              <w:t>/day from days 1 to 14 for 3 cycles.</w:t>
            </w:r>
          </w:p>
        </w:tc>
        <w:tc>
          <w:tcPr>
            <w:tcW w:w="2046" w:type="dxa"/>
          </w:tcPr>
          <w:p w:rsidR="00EF6A76" w:rsidRPr="001D3DE9" w:rsidRDefault="00EF6A76" w:rsidP="001D3DE9">
            <w:pPr>
              <w:spacing w:before="120" w:after="0"/>
              <w:rPr>
                <w:rFonts w:ascii="Arial" w:hAnsi="Arial" w:cs="Arial"/>
                <w:b/>
              </w:rPr>
            </w:pPr>
            <w:proofErr w:type="spellStart"/>
            <w:r w:rsidRPr="001D3DE9">
              <w:rPr>
                <w:rFonts w:ascii="Arial" w:hAnsi="Arial" w:cs="Arial"/>
                <w:b/>
              </w:rPr>
              <w:t>Docetaxel</w:t>
            </w:r>
            <w:proofErr w:type="spellEnd"/>
            <w:r w:rsidRPr="001D3DE9">
              <w:rPr>
                <w:rFonts w:ascii="Arial" w:hAnsi="Arial" w:cs="Arial"/>
                <w:b/>
              </w:rPr>
              <w:t xml:space="preserve"> 75 mg/m</w:t>
            </w:r>
            <w:r w:rsidRPr="001D3DE9">
              <w:rPr>
                <w:rFonts w:ascii="Arial" w:hAnsi="Arial" w:cs="Arial"/>
                <w:b/>
                <w:vertAlign w:val="superscript"/>
              </w:rPr>
              <w:t>2</w:t>
            </w:r>
            <w:r w:rsidRPr="001D3DE9">
              <w:rPr>
                <w:rFonts w:ascii="Arial" w:hAnsi="Arial" w:cs="Arial"/>
                <w:b/>
              </w:rPr>
              <w:t xml:space="preserve"> on day 1 plus </w:t>
            </w:r>
            <w:proofErr w:type="spellStart"/>
            <w:r w:rsidRPr="001D3DE9">
              <w:rPr>
                <w:rFonts w:ascii="Arial" w:hAnsi="Arial" w:cs="Arial"/>
                <w:b/>
              </w:rPr>
              <w:t>capecitabine</w:t>
            </w:r>
            <w:proofErr w:type="spellEnd"/>
            <w:r w:rsidRPr="001D3DE9">
              <w:rPr>
                <w:rFonts w:ascii="Arial" w:hAnsi="Arial" w:cs="Arial"/>
                <w:b/>
              </w:rPr>
              <w:t xml:space="preserve"> 2000 mg/m</w:t>
            </w:r>
            <w:r w:rsidRPr="001D3DE9">
              <w:rPr>
                <w:rFonts w:ascii="Arial" w:hAnsi="Arial" w:cs="Arial"/>
                <w:b/>
                <w:vertAlign w:val="superscript"/>
              </w:rPr>
              <w:t>2</w:t>
            </w:r>
            <w:r w:rsidRPr="001D3DE9">
              <w:rPr>
                <w:rFonts w:ascii="Arial" w:hAnsi="Arial" w:cs="Arial"/>
                <w:b/>
              </w:rPr>
              <w:t>/day from days 1 to 14 q3 wks.</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sz w:val="24"/>
                <w:szCs w:val="24"/>
              </w:rPr>
            </w:pPr>
            <w:r w:rsidRPr="001D3DE9">
              <w:rPr>
                <w:rFonts w:ascii="Arial" w:hAnsi="Arial" w:cs="Arial"/>
                <w:b/>
                <w:lang w:eastAsia="en-AU"/>
              </w:rPr>
              <w:t>Number of patients</w:t>
            </w:r>
          </w:p>
        </w:tc>
        <w:tc>
          <w:tcPr>
            <w:tcW w:w="2127" w:type="dxa"/>
            <w:tcBorders>
              <w:bottom w:val="nil"/>
            </w:tcBorders>
          </w:tcPr>
          <w:p w:rsidR="00EF6A76" w:rsidRPr="001D3DE9" w:rsidRDefault="00EF6A76" w:rsidP="001D3DE9">
            <w:pPr>
              <w:spacing w:before="120" w:after="0"/>
              <w:rPr>
                <w:rFonts w:ascii="Arial" w:hAnsi="Arial" w:cs="Arial"/>
                <w:sz w:val="24"/>
                <w:szCs w:val="24"/>
              </w:rPr>
            </w:pPr>
          </w:p>
        </w:tc>
        <w:tc>
          <w:tcPr>
            <w:tcW w:w="2126" w:type="dxa"/>
            <w:tcBorders>
              <w:bottom w:val="nil"/>
            </w:tcBorders>
          </w:tcPr>
          <w:p w:rsidR="00EF6A76" w:rsidRPr="001D3DE9" w:rsidRDefault="00EF6A76" w:rsidP="001D3DE9">
            <w:pPr>
              <w:spacing w:before="120" w:after="0"/>
              <w:rPr>
                <w:rFonts w:ascii="Arial" w:hAnsi="Arial" w:cs="Arial"/>
                <w:sz w:val="24"/>
                <w:szCs w:val="24"/>
              </w:rPr>
            </w:pPr>
          </w:p>
        </w:tc>
        <w:tc>
          <w:tcPr>
            <w:tcW w:w="2046" w:type="dxa"/>
            <w:tcBorders>
              <w:bottom w:val="nil"/>
            </w:tcBorders>
          </w:tcPr>
          <w:p w:rsidR="00EF6A76" w:rsidRPr="001D3DE9" w:rsidRDefault="00EF6A76" w:rsidP="001D3DE9">
            <w:pPr>
              <w:spacing w:before="120" w:after="0"/>
              <w:rPr>
                <w:rFonts w:ascii="Arial" w:hAnsi="Arial" w:cs="Arial"/>
                <w:sz w:val="24"/>
                <w:szCs w:val="24"/>
              </w:rPr>
            </w:pP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treated</w:t>
            </w:r>
          </w:p>
        </w:tc>
        <w:tc>
          <w:tcPr>
            <w:tcW w:w="2127" w:type="dxa"/>
            <w:tcBorders>
              <w:top w:val="nil"/>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44</w:t>
            </w:r>
          </w:p>
        </w:tc>
        <w:tc>
          <w:tcPr>
            <w:tcW w:w="2126" w:type="dxa"/>
            <w:tcBorders>
              <w:top w:val="nil"/>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46</w:t>
            </w:r>
          </w:p>
        </w:tc>
        <w:tc>
          <w:tcPr>
            <w:tcW w:w="2046" w:type="dxa"/>
            <w:tcBorders>
              <w:top w:val="nil"/>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48</w:t>
            </w: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evaluable</w:t>
            </w:r>
            <w:r w:rsidRPr="001D3DE9">
              <w:rPr>
                <w:rFonts w:ascii="Arial" w:hAnsi="Arial" w:cs="Arial"/>
                <w:b/>
                <w:vertAlign w:val="superscript"/>
              </w:rPr>
              <w:t>(1)</w:t>
            </w:r>
          </w:p>
        </w:tc>
        <w:tc>
          <w:tcPr>
            <w:tcW w:w="2127" w:type="dxa"/>
            <w:tcBorders>
              <w:top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41</w:t>
            </w:r>
          </w:p>
        </w:tc>
        <w:tc>
          <w:tcPr>
            <w:tcW w:w="2126" w:type="dxa"/>
            <w:tcBorders>
              <w:top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41</w:t>
            </w:r>
          </w:p>
        </w:tc>
        <w:tc>
          <w:tcPr>
            <w:tcW w:w="2046" w:type="dxa"/>
            <w:tcBorders>
              <w:top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41</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Disease control rate</w:t>
            </w:r>
            <w:r w:rsidRPr="001D3DE9">
              <w:rPr>
                <w:rFonts w:ascii="Arial" w:hAnsi="Arial" w:cs="Arial"/>
                <w:b/>
                <w:vertAlign w:val="superscript"/>
              </w:rPr>
              <w:t>(1)</w:t>
            </w:r>
          </w:p>
        </w:tc>
        <w:tc>
          <w:tcPr>
            <w:tcW w:w="2127" w:type="dxa"/>
            <w:tcBorders>
              <w:bottom w:val="nil"/>
            </w:tcBorders>
          </w:tcPr>
          <w:p w:rsidR="00EF6A76" w:rsidRPr="001D3DE9" w:rsidRDefault="00EF6A76" w:rsidP="001D3DE9">
            <w:pPr>
              <w:spacing w:before="120" w:after="0"/>
              <w:jc w:val="center"/>
              <w:rPr>
                <w:rFonts w:ascii="Arial" w:hAnsi="Arial" w:cs="Arial"/>
              </w:rPr>
            </w:pPr>
          </w:p>
        </w:tc>
        <w:tc>
          <w:tcPr>
            <w:tcW w:w="2126" w:type="dxa"/>
            <w:tcBorders>
              <w:bottom w:val="nil"/>
            </w:tcBorders>
          </w:tcPr>
          <w:p w:rsidR="00EF6A76" w:rsidRPr="001D3DE9" w:rsidRDefault="00EF6A76" w:rsidP="001D3DE9">
            <w:pPr>
              <w:spacing w:before="120" w:after="0"/>
              <w:jc w:val="center"/>
              <w:rPr>
                <w:rFonts w:ascii="Arial" w:hAnsi="Arial" w:cs="Arial"/>
              </w:rPr>
            </w:pPr>
          </w:p>
        </w:tc>
        <w:tc>
          <w:tcPr>
            <w:tcW w:w="2046" w:type="dxa"/>
            <w:tcBorders>
              <w:bottom w:val="nil"/>
            </w:tcBorders>
          </w:tcPr>
          <w:p w:rsidR="00EF6A76" w:rsidRPr="001D3DE9" w:rsidRDefault="00EF6A76" w:rsidP="001D3DE9">
            <w:pPr>
              <w:spacing w:before="120" w:after="0"/>
              <w:rPr>
                <w:rFonts w:ascii="Arial" w:hAnsi="Arial" w:cs="Arial"/>
                <w:sz w:val="24"/>
                <w:szCs w:val="24"/>
              </w:rPr>
            </w:pP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ITT population</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70.5</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37.0</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70.8</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 xml:space="preserve">% [95% CI] </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[54.8</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83.2]</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[23.2</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52.5]</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[55.9</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83.0]</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Evaluable patients</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73.2</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Pr>
                <w:rFonts w:ascii="Arial" w:hAnsi="Arial" w:cs="Arial"/>
              </w:rPr>
              <w:t>39</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80.5</w:t>
            </w: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 [95% CI]</w:t>
            </w:r>
          </w:p>
        </w:tc>
        <w:tc>
          <w:tcPr>
            <w:tcW w:w="2127"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[57.1</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85.8]</w:t>
            </w:r>
          </w:p>
        </w:tc>
        <w:tc>
          <w:tcPr>
            <w:tcW w:w="2126" w:type="dxa"/>
            <w:tcBorders>
              <w:top w:val="nil"/>
            </w:tcBorders>
          </w:tcPr>
          <w:p w:rsidR="00EF6A76" w:rsidRPr="001D3DE9" w:rsidRDefault="00B55E89" w:rsidP="001D3DE9">
            <w:pPr>
              <w:spacing w:before="120" w:after="0"/>
              <w:jc w:val="center"/>
              <w:rPr>
                <w:rFonts w:ascii="Arial" w:hAnsi="Arial" w:cs="Arial"/>
              </w:rPr>
            </w:pPr>
            <w:r>
              <w:rPr>
                <w:rFonts w:ascii="Arial" w:hAnsi="Arial" w:cs="Arial"/>
              </w:rPr>
              <w:t xml:space="preserve">[24.2 - </w:t>
            </w:r>
            <w:r w:rsidR="00EF6A76">
              <w:rPr>
                <w:rFonts w:ascii="Arial" w:hAnsi="Arial" w:cs="Arial"/>
              </w:rPr>
              <w:t>55.5]</w:t>
            </w:r>
          </w:p>
        </w:tc>
        <w:tc>
          <w:tcPr>
            <w:tcW w:w="2046"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[65.1</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91.2]</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Response rate</w:t>
            </w:r>
            <w:r w:rsidRPr="001D3DE9">
              <w:rPr>
                <w:rFonts w:ascii="Arial" w:hAnsi="Arial" w:cs="Arial"/>
                <w:b/>
                <w:vertAlign w:val="superscript"/>
              </w:rPr>
              <w:t>(1)</w:t>
            </w:r>
          </w:p>
        </w:tc>
        <w:tc>
          <w:tcPr>
            <w:tcW w:w="2127" w:type="dxa"/>
            <w:tcBorders>
              <w:bottom w:val="nil"/>
            </w:tcBorders>
          </w:tcPr>
          <w:p w:rsidR="00EF6A76" w:rsidRPr="001D3DE9" w:rsidRDefault="00EF6A76" w:rsidP="001D3DE9">
            <w:pPr>
              <w:spacing w:before="120" w:after="0"/>
              <w:jc w:val="center"/>
              <w:rPr>
                <w:rFonts w:ascii="Arial" w:hAnsi="Arial" w:cs="Arial"/>
              </w:rPr>
            </w:pPr>
          </w:p>
        </w:tc>
        <w:tc>
          <w:tcPr>
            <w:tcW w:w="2126" w:type="dxa"/>
            <w:tcBorders>
              <w:bottom w:val="nil"/>
            </w:tcBorders>
          </w:tcPr>
          <w:p w:rsidR="00EF6A76" w:rsidRPr="001D3DE9" w:rsidRDefault="00EF6A76" w:rsidP="001D3DE9">
            <w:pPr>
              <w:spacing w:before="120" w:after="0"/>
              <w:jc w:val="center"/>
              <w:rPr>
                <w:rFonts w:ascii="Arial" w:hAnsi="Arial" w:cs="Arial"/>
              </w:rPr>
            </w:pPr>
          </w:p>
        </w:tc>
        <w:tc>
          <w:tcPr>
            <w:tcW w:w="2046" w:type="dxa"/>
            <w:tcBorders>
              <w:bottom w:val="nil"/>
            </w:tcBorders>
          </w:tcPr>
          <w:p w:rsidR="00EF6A76" w:rsidRPr="001D3DE9" w:rsidRDefault="00EF6A76" w:rsidP="001D3DE9">
            <w:pPr>
              <w:spacing w:before="120" w:after="0"/>
              <w:rPr>
                <w:rFonts w:ascii="Arial" w:hAnsi="Arial" w:cs="Arial"/>
                <w:sz w:val="24"/>
                <w:szCs w:val="24"/>
              </w:rPr>
            </w:pP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ITT population</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31.8</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8.7</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35.4</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 xml:space="preserve">% [95% CI] </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[18.6</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47.6]</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[2.4</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20.8]</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[22.2</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50.5]</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Evaluable patients</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34.1</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7.3</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39.0</w:t>
            </w: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lastRenderedPageBreak/>
              <w:tab/>
              <w:t>% [95% CI]</w:t>
            </w:r>
          </w:p>
        </w:tc>
        <w:tc>
          <w:tcPr>
            <w:tcW w:w="2127"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[20.1</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50.6]</w:t>
            </w:r>
          </w:p>
        </w:tc>
        <w:tc>
          <w:tcPr>
            <w:tcW w:w="2126"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[1.</w:t>
            </w:r>
            <w:r>
              <w:rPr>
                <w:rFonts w:ascii="Arial" w:hAnsi="Arial" w:cs="Arial"/>
              </w:rPr>
              <w:t>5</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Pr>
                <w:rFonts w:ascii="Arial" w:hAnsi="Arial" w:cs="Arial"/>
              </w:rPr>
              <w:t>19</w:t>
            </w:r>
            <w:r w:rsidRPr="001D3DE9">
              <w:rPr>
                <w:rFonts w:ascii="Arial" w:hAnsi="Arial" w:cs="Arial"/>
              </w:rPr>
              <w:t>.9]</w:t>
            </w:r>
          </w:p>
        </w:tc>
        <w:tc>
          <w:tcPr>
            <w:tcW w:w="2046"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[24.2</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55.0]</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Median PFS (ITT)</w:t>
            </w:r>
            <w:r w:rsidRPr="001D3DE9">
              <w:rPr>
                <w:rFonts w:ascii="Arial" w:hAnsi="Arial" w:cs="Arial"/>
                <w:b/>
                <w:vertAlign w:val="superscript"/>
              </w:rPr>
              <w:t>(2)</w:t>
            </w:r>
            <w:r w:rsidRPr="001D3DE9">
              <w:rPr>
                <w:rFonts w:ascii="Arial" w:hAnsi="Arial" w:cs="Arial"/>
                <w:b/>
              </w:rPr>
              <w:t xml:space="preserve"> </w:t>
            </w:r>
          </w:p>
        </w:tc>
        <w:tc>
          <w:tcPr>
            <w:tcW w:w="2127" w:type="dxa"/>
            <w:tcBorders>
              <w:bottom w:val="nil"/>
            </w:tcBorders>
          </w:tcPr>
          <w:p w:rsidR="00EF6A76" w:rsidRPr="001D3DE9" w:rsidRDefault="00EF6A76" w:rsidP="001D3DE9">
            <w:pPr>
              <w:spacing w:before="120" w:after="0"/>
              <w:jc w:val="center"/>
              <w:rPr>
                <w:rFonts w:ascii="Arial" w:hAnsi="Arial" w:cs="Arial"/>
              </w:rPr>
            </w:pPr>
          </w:p>
        </w:tc>
        <w:tc>
          <w:tcPr>
            <w:tcW w:w="2126" w:type="dxa"/>
            <w:tcBorders>
              <w:bottom w:val="nil"/>
            </w:tcBorders>
          </w:tcPr>
          <w:p w:rsidR="00EF6A76" w:rsidRPr="001D3DE9" w:rsidRDefault="00EF6A76" w:rsidP="001D3DE9">
            <w:pPr>
              <w:spacing w:before="120" w:after="0"/>
              <w:jc w:val="center"/>
              <w:rPr>
                <w:rFonts w:ascii="Arial" w:hAnsi="Arial" w:cs="Arial"/>
              </w:rPr>
            </w:pPr>
          </w:p>
        </w:tc>
        <w:tc>
          <w:tcPr>
            <w:tcW w:w="2046" w:type="dxa"/>
            <w:tcBorders>
              <w:bottom w:val="nil"/>
            </w:tcBorders>
          </w:tcPr>
          <w:p w:rsidR="00EF6A76" w:rsidRPr="001D3DE9" w:rsidRDefault="00EF6A76" w:rsidP="001D3DE9">
            <w:pPr>
              <w:spacing w:before="120" w:after="0"/>
              <w:jc w:val="center"/>
              <w:rPr>
                <w:rFonts w:ascii="Arial" w:hAnsi="Arial" w:cs="Arial"/>
              </w:rPr>
            </w:pP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 xml:space="preserve">Months [95% CI)     </w:t>
            </w:r>
          </w:p>
        </w:tc>
        <w:tc>
          <w:tcPr>
            <w:tcW w:w="2127"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7.2 [5.3</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8.9]</w:t>
            </w:r>
          </w:p>
        </w:tc>
        <w:tc>
          <w:tcPr>
            <w:tcW w:w="2126"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3.4 [2.6</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5.6]</w:t>
            </w:r>
          </w:p>
        </w:tc>
        <w:tc>
          <w:tcPr>
            <w:tcW w:w="2046"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8.9 [7.2</w:t>
            </w:r>
            <w:r w:rsidR="00B55E89">
              <w:rPr>
                <w:rFonts w:ascii="Arial" w:hAnsi="Arial" w:cs="Arial"/>
              </w:rPr>
              <w:t xml:space="preserve"> </w:t>
            </w:r>
            <w:r w:rsidRPr="001D3DE9">
              <w:rPr>
                <w:rFonts w:ascii="Arial" w:hAnsi="Arial" w:cs="Arial"/>
              </w:rPr>
              <w:t>-</w:t>
            </w:r>
            <w:r w:rsidR="00B55E89">
              <w:rPr>
                <w:rFonts w:ascii="Arial" w:hAnsi="Arial" w:cs="Arial"/>
              </w:rPr>
              <w:t xml:space="preserve"> </w:t>
            </w:r>
            <w:r w:rsidRPr="001D3DE9">
              <w:rPr>
                <w:rFonts w:ascii="Arial" w:hAnsi="Arial" w:cs="Arial"/>
              </w:rPr>
              <w:t>12.0]</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Median TTF (ITT)</w:t>
            </w:r>
            <w:r w:rsidRPr="001D3DE9">
              <w:rPr>
                <w:rFonts w:ascii="Arial" w:hAnsi="Arial" w:cs="Arial"/>
                <w:b/>
                <w:vertAlign w:val="superscript"/>
              </w:rPr>
              <w:t>(2)</w:t>
            </w:r>
            <w:r w:rsidRPr="001D3DE9">
              <w:rPr>
                <w:rFonts w:ascii="Arial" w:hAnsi="Arial" w:cs="Arial"/>
                <w:b/>
              </w:rPr>
              <w:t xml:space="preserve">  </w:t>
            </w:r>
          </w:p>
        </w:tc>
        <w:tc>
          <w:tcPr>
            <w:tcW w:w="2127" w:type="dxa"/>
            <w:tcBorders>
              <w:bottom w:val="nil"/>
            </w:tcBorders>
          </w:tcPr>
          <w:p w:rsidR="00EF6A76" w:rsidRPr="001D3DE9" w:rsidRDefault="00EF6A76" w:rsidP="001D3DE9">
            <w:pPr>
              <w:spacing w:before="120" w:after="0"/>
              <w:jc w:val="center"/>
              <w:rPr>
                <w:rFonts w:ascii="Arial" w:hAnsi="Arial" w:cs="Arial"/>
              </w:rPr>
            </w:pPr>
          </w:p>
        </w:tc>
        <w:tc>
          <w:tcPr>
            <w:tcW w:w="2126" w:type="dxa"/>
            <w:tcBorders>
              <w:bottom w:val="nil"/>
            </w:tcBorders>
          </w:tcPr>
          <w:p w:rsidR="00EF6A76" w:rsidRPr="001D3DE9" w:rsidRDefault="00EF6A76" w:rsidP="001D3DE9">
            <w:pPr>
              <w:spacing w:before="120" w:after="0"/>
              <w:jc w:val="center"/>
              <w:rPr>
                <w:rFonts w:ascii="Arial" w:hAnsi="Arial" w:cs="Arial"/>
              </w:rPr>
            </w:pPr>
          </w:p>
        </w:tc>
        <w:tc>
          <w:tcPr>
            <w:tcW w:w="2046" w:type="dxa"/>
            <w:tcBorders>
              <w:bottom w:val="nil"/>
            </w:tcBorders>
          </w:tcPr>
          <w:p w:rsidR="00EF6A76" w:rsidRPr="001D3DE9" w:rsidRDefault="00EF6A76" w:rsidP="001D3DE9">
            <w:pPr>
              <w:spacing w:before="120" w:after="0"/>
              <w:jc w:val="center"/>
              <w:rPr>
                <w:rFonts w:ascii="Arial" w:hAnsi="Arial" w:cs="Arial"/>
              </w:rPr>
            </w:pP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 xml:space="preserve">Months [95% CI)     </w:t>
            </w:r>
          </w:p>
        </w:tc>
        <w:tc>
          <w:tcPr>
            <w:tcW w:w="2127" w:type="dxa"/>
            <w:tcBorders>
              <w:top w:val="nil"/>
            </w:tcBorders>
          </w:tcPr>
          <w:p w:rsidR="00EF6A76" w:rsidRPr="001D3DE9" w:rsidRDefault="00EF6A76" w:rsidP="001D3DE9">
            <w:pPr>
              <w:spacing w:before="120" w:after="0"/>
              <w:jc w:val="center"/>
              <w:rPr>
                <w:rFonts w:ascii="Arial" w:hAnsi="Arial" w:cs="Arial"/>
              </w:rPr>
            </w:pPr>
            <w:r w:rsidRPr="001D3DE9">
              <w:rPr>
                <w:rFonts w:ascii="Arial" w:hAnsi="Arial" w:cs="Arial"/>
              </w:rPr>
              <w:t>5.6 [4</w:t>
            </w:r>
            <w:r w:rsidR="00AF4A21">
              <w:rPr>
                <w:rFonts w:ascii="Arial" w:hAnsi="Arial" w:cs="Arial"/>
              </w:rPr>
              <w:t xml:space="preserve">.2 - </w:t>
            </w:r>
            <w:r w:rsidRPr="001D3DE9">
              <w:rPr>
                <w:rFonts w:ascii="Arial" w:hAnsi="Arial" w:cs="Arial"/>
              </w:rPr>
              <w:t>6.5]</w:t>
            </w:r>
          </w:p>
        </w:tc>
        <w:tc>
          <w:tcPr>
            <w:tcW w:w="2126" w:type="dxa"/>
            <w:tcBorders>
              <w:top w:val="nil"/>
            </w:tcBorders>
          </w:tcPr>
          <w:p w:rsidR="00EF6A76" w:rsidRPr="001D3DE9" w:rsidRDefault="00AF4A21" w:rsidP="001D3DE9">
            <w:pPr>
              <w:spacing w:before="120" w:after="0"/>
              <w:jc w:val="center"/>
              <w:rPr>
                <w:rFonts w:ascii="Arial" w:hAnsi="Arial" w:cs="Arial"/>
              </w:rPr>
            </w:pPr>
            <w:r>
              <w:rPr>
                <w:rFonts w:ascii="Arial" w:hAnsi="Arial" w:cs="Arial"/>
              </w:rPr>
              <w:t xml:space="preserve">3.0 [1.8 - </w:t>
            </w:r>
            <w:r w:rsidR="00EF6A76" w:rsidRPr="001D3DE9">
              <w:rPr>
                <w:rFonts w:ascii="Arial" w:hAnsi="Arial" w:cs="Arial"/>
              </w:rPr>
              <w:t>4.4]</w:t>
            </w:r>
          </w:p>
        </w:tc>
        <w:tc>
          <w:tcPr>
            <w:tcW w:w="2046" w:type="dxa"/>
            <w:tcBorders>
              <w:top w:val="nil"/>
            </w:tcBorders>
          </w:tcPr>
          <w:p w:rsidR="00EF6A76" w:rsidRPr="001D3DE9" w:rsidRDefault="00AF4A21" w:rsidP="001D3DE9">
            <w:pPr>
              <w:spacing w:before="120" w:after="0"/>
              <w:jc w:val="center"/>
              <w:rPr>
                <w:rFonts w:ascii="Arial" w:hAnsi="Arial" w:cs="Arial"/>
              </w:rPr>
            </w:pPr>
            <w:r>
              <w:rPr>
                <w:rFonts w:ascii="Arial" w:hAnsi="Arial" w:cs="Arial"/>
              </w:rPr>
              <w:t xml:space="preserve">4.3 [4.0 - </w:t>
            </w:r>
            <w:r w:rsidR="00EF6A76" w:rsidRPr="001D3DE9">
              <w:rPr>
                <w:rFonts w:ascii="Arial" w:hAnsi="Arial" w:cs="Arial"/>
              </w:rPr>
              <w:t>5.0]</w:t>
            </w:r>
          </w:p>
        </w:tc>
      </w:tr>
    </w:tbl>
    <w:p w:rsidR="00EF6A76" w:rsidRPr="00032BCA" w:rsidRDefault="00EF6A76" w:rsidP="00153446">
      <w:pPr>
        <w:spacing w:after="0"/>
        <w:rPr>
          <w:rFonts w:ascii="Arial" w:hAnsi="Arial" w:cs="Arial"/>
          <w:sz w:val="24"/>
          <w:szCs w:val="24"/>
        </w:rPr>
      </w:pPr>
    </w:p>
    <w:p w:rsidR="00EF6A76" w:rsidRPr="00032BCA" w:rsidRDefault="00EF6A76" w:rsidP="006B781A">
      <w:pPr>
        <w:spacing w:after="0"/>
        <w:rPr>
          <w:rFonts w:ascii="Arial" w:hAnsi="Arial" w:cs="Arial"/>
          <w:b/>
          <w:sz w:val="20"/>
          <w:szCs w:val="20"/>
        </w:rPr>
      </w:pPr>
      <w:r w:rsidRPr="00032BCA">
        <w:rPr>
          <w:rFonts w:ascii="Arial" w:hAnsi="Arial" w:cs="Arial"/>
          <w:b/>
          <w:sz w:val="20"/>
          <w:szCs w:val="20"/>
        </w:rPr>
        <w:t xml:space="preserve">(1) According to independent panel review  (2) According to investigator’s evaluation. </w:t>
      </w:r>
    </w:p>
    <w:p w:rsidR="00EF6A76" w:rsidRPr="00032BCA" w:rsidRDefault="00EF6A76" w:rsidP="00DC3F86">
      <w:pPr>
        <w:spacing w:after="0"/>
        <w:rPr>
          <w:rFonts w:ascii="Arial" w:hAnsi="Arial" w:cs="Arial"/>
          <w:b/>
          <w:sz w:val="20"/>
          <w:szCs w:val="20"/>
        </w:rPr>
      </w:pPr>
      <w:r w:rsidRPr="00032BCA">
        <w:rPr>
          <w:rFonts w:ascii="Arial" w:hAnsi="Arial" w:cs="Arial"/>
          <w:b/>
          <w:sz w:val="20"/>
          <w:szCs w:val="20"/>
        </w:rPr>
        <w:t>ITT = Intent-to-treat  PFS = Progression free survival  TTF = Time-to-treatment  failure.</w:t>
      </w:r>
    </w:p>
    <w:p w:rsidR="00EF6A76" w:rsidRPr="00032BCA" w:rsidRDefault="00EF6A76" w:rsidP="00153446">
      <w:pPr>
        <w:spacing w:after="0"/>
        <w:rPr>
          <w:rFonts w:ascii="Arial" w:hAnsi="Arial" w:cs="Arial"/>
          <w:sz w:val="24"/>
          <w:szCs w:val="24"/>
        </w:rPr>
      </w:pPr>
    </w:p>
    <w:p w:rsidR="00EF6A76" w:rsidRPr="00032BCA" w:rsidRDefault="00EF6A76" w:rsidP="00153446">
      <w:pPr>
        <w:spacing w:after="0"/>
        <w:rPr>
          <w:rFonts w:ascii="Arial" w:hAnsi="Arial" w:cs="Arial"/>
          <w:sz w:val="24"/>
          <w:szCs w:val="24"/>
        </w:rPr>
      </w:pPr>
      <w:r w:rsidRPr="00032BCA">
        <w:rPr>
          <w:rFonts w:ascii="Arial" w:hAnsi="Arial" w:cs="Arial"/>
          <w:sz w:val="24"/>
          <w:szCs w:val="24"/>
        </w:rPr>
        <w:t xml:space="preserve">The two combination arms,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plus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and </w:t>
      </w:r>
      <w:proofErr w:type="spellStart"/>
      <w:r w:rsidRPr="00032BCA">
        <w:rPr>
          <w:rFonts w:ascii="Arial" w:hAnsi="Arial" w:cs="Arial"/>
          <w:sz w:val="24"/>
          <w:szCs w:val="24"/>
        </w:rPr>
        <w:t>docetaxel</w:t>
      </w:r>
      <w:proofErr w:type="spellEnd"/>
      <w:r w:rsidRPr="00032BCA">
        <w:rPr>
          <w:rFonts w:ascii="Arial" w:hAnsi="Arial" w:cs="Arial"/>
          <w:sz w:val="24"/>
          <w:szCs w:val="24"/>
        </w:rPr>
        <w:t xml:space="preserve"> plus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produced similar disease control rates (70.5% versus 70.8% in the ITT population), similar response rates (31.8% versus 35.4%), similar progression-free survival (7.2 months versus 8.9 months) and similar time-to-treatment failure (5.6 months versus 4.3 months).  In comparison, the sequential regimen of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followed by </w:t>
      </w:r>
      <w:proofErr w:type="spellStart"/>
      <w:r w:rsidRPr="00032BCA">
        <w:rPr>
          <w:rFonts w:ascii="Arial" w:hAnsi="Arial" w:cs="Arial"/>
          <w:sz w:val="24"/>
          <w:szCs w:val="24"/>
        </w:rPr>
        <w:t>capecitabine</w:t>
      </w:r>
      <w:proofErr w:type="spellEnd"/>
      <w:r w:rsidRPr="00032BCA">
        <w:rPr>
          <w:rFonts w:ascii="Arial" w:hAnsi="Arial" w:cs="Arial"/>
          <w:sz w:val="24"/>
          <w:szCs w:val="24"/>
        </w:rPr>
        <w:t xml:space="preserve"> was inferior to the combination regimens for all the efficacy parameters considered.</w:t>
      </w:r>
    </w:p>
    <w:p w:rsidR="00EF6A76" w:rsidRPr="00032BCA" w:rsidRDefault="00EF6A76" w:rsidP="00153446">
      <w:pPr>
        <w:spacing w:after="0"/>
        <w:rPr>
          <w:rFonts w:ascii="Arial" w:hAnsi="Arial" w:cs="Arial"/>
          <w:sz w:val="24"/>
          <w:szCs w:val="24"/>
        </w:rPr>
      </w:pPr>
    </w:p>
    <w:p w:rsidR="00EF6A76" w:rsidRPr="00032BCA" w:rsidRDefault="00EF6A76" w:rsidP="00153446">
      <w:pPr>
        <w:spacing w:after="0"/>
        <w:rPr>
          <w:rFonts w:ascii="Arial" w:hAnsi="Arial" w:cs="Arial"/>
          <w:sz w:val="24"/>
          <w:szCs w:val="24"/>
        </w:rPr>
      </w:pPr>
      <w:r w:rsidRPr="00032BCA">
        <w:rPr>
          <w:rFonts w:ascii="Arial" w:hAnsi="Arial" w:cs="Arial"/>
          <w:sz w:val="24"/>
          <w:szCs w:val="24"/>
        </w:rPr>
        <w:t xml:space="preserve">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in combination with other </w:t>
      </w:r>
      <w:proofErr w:type="spellStart"/>
      <w:r w:rsidRPr="00032BCA">
        <w:rPr>
          <w:rFonts w:ascii="Arial" w:hAnsi="Arial" w:cs="Arial"/>
          <w:sz w:val="24"/>
          <w:szCs w:val="24"/>
        </w:rPr>
        <w:t>cytotoxics</w:t>
      </w:r>
      <w:proofErr w:type="spellEnd"/>
      <w:r w:rsidRPr="00032BCA">
        <w:rPr>
          <w:rFonts w:ascii="Arial" w:hAnsi="Arial" w:cs="Arial"/>
          <w:sz w:val="24"/>
          <w:szCs w:val="24"/>
        </w:rPr>
        <w:t xml:space="preserve"> was assessed in three phase I/II studies: with </w:t>
      </w:r>
      <w:proofErr w:type="spellStart"/>
      <w:r w:rsidRPr="00032BCA">
        <w:rPr>
          <w:rFonts w:ascii="Arial" w:hAnsi="Arial" w:cs="Arial"/>
          <w:sz w:val="24"/>
          <w:szCs w:val="24"/>
        </w:rPr>
        <w:t>epirubicin</w:t>
      </w:r>
      <w:proofErr w:type="spellEnd"/>
      <w:r w:rsidRPr="00032BCA">
        <w:rPr>
          <w:rFonts w:ascii="Arial" w:hAnsi="Arial" w:cs="Arial"/>
          <w:sz w:val="24"/>
          <w:szCs w:val="24"/>
        </w:rPr>
        <w:t xml:space="preserve"> (study CA 205); </w:t>
      </w:r>
      <w:proofErr w:type="spellStart"/>
      <w:r w:rsidRPr="00032BCA">
        <w:rPr>
          <w:rFonts w:ascii="Arial" w:hAnsi="Arial" w:cs="Arial"/>
          <w:sz w:val="24"/>
          <w:szCs w:val="24"/>
        </w:rPr>
        <w:t>docetaxel</w:t>
      </w:r>
      <w:proofErr w:type="spellEnd"/>
      <w:r w:rsidRPr="00032BCA">
        <w:rPr>
          <w:rFonts w:ascii="Arial" w:hAnsi="Arial" w:cs="Arial"/>
          <w:sz w:val="24"/>
          <w:szCs w:val="24"/>
        </w:rPr>
        <w:t xml:space="preserve"> (CA 101); and </w:t>
      </w:r>
      <w:proofErr w:type="spellStart"/>
      <w:r w:rsidRPr="00032BCA">
        <w:rPr>
          <w:rFonts w:ascii="Arial" w:hAnsi="Arial" w:cs="Arial"/>
          <w:sz w:val="24"/>
          <w:szCs w:val="24"/>
        </w:rPr>
        <w:t>paclitaxel</w:t>
      </w:r>
      <w:proofErr w:type="spellEnd"/>
      <w:r w:rsidRPr="00032BCA">
        <w:rPr>
          <w:rFonts w:ascii="Arial" w:hAnsi="Arial" w:cs="Arial"/>
          <w:sz w:val="24"/>
          <w:szCs w:val="24"/>
        </w:rPr>
        <w:t xml:space="preserve"> (CA 102).</w:t>
      </w:r>
    </w:p>
    <w:p w:rsidR="00EF6A76" w:rsidRPr="00032BCA" w:rsidRDefault="00EF6A76" w:rsidP="00153446">
      <w:pPr>
        <w:spacing w:after="0"/>
        <w:rPr>
          <w:rFonts w:ascii="Arial" w:hAnsi="Arial" w:cs="Arial"/>
          <w:sz w:val="24"/>
          <w:szCs w:val="24"/>
        </w:rPr>
      </w:pPr>
    </w:p>
    <w:p w:rsidR="00EF6A76" w:rsidRPr="00032BCA" w:rsidRDefault="00EF6A76" w:rsidP="00153446">
      <w:pPr>
        <w:spacing w:after="0"/>
        <w:rPr>
          <w:rFonts w:ascii="Arial" w:hAnsi="Arial" w:cs="Arial"/>
          <w:sz w:val="24"/>
          <w:szCs w:val="24"/>
        </w:rPr>
      </w:pPr>
      <w:r w:rsidRPr="00032BCA">
        <w:rPr>
          <w:rFonts w:ascii="Arial" w:hAnsi="Arial" w:cs="Arial"/>
          <w:sz w:val="24"/>
          <w:szCs w:val="24"/>
        </w:rPr>
        <w:t>The efficacy results of these studies are summarised in Table 5.</w:t>
      </w:r>
    </w:p>
    <w:p w:rsidR="00EF6A76" w:rsidRPr="00032BCA" w:rsidRDefault="00EF6A76" w:rsidP="00153446">
      <w:pPr>
        <w:spacing w:after="0"/>
        <w:rPr>
          <w:rFonts w:ascii="Arial" w:hAnsi="Arial" w:cs="Arial"/>
          <w:sz w:val="24"/>
          <w:szCs w:val="24"/>
        </w:rPr>
      </w:pPr>
    </w:p>
    <w:p w:rsidR="00EF6A76" w:rsidRPr="00032BCA" w:rsidRDefault="00EF6A76" w:rsidP="00C35743">
      <w:pPr>
        <w:spacing w:after="0"/>
        <w:rPr>
          <w:rFonts w:ascii="Arial" w:hAnsi="Arial" w:cs="Arial"/>
          <w:b/>
        </w:rPr>
      </w:pPr>
      <w:r w:rsidRPr="00032BCA">
        <w:rPr>
          <w:rFonts w:ascii="Arial" w:hAnsi="Arial" w:cs="Arial"/>
          <w:b/>
        </w:rPr>
        <w:t>Table 5: Summary of the efficacy results in the ITT population of studies CA 205,     CA 101 and CA 102.</w:t>
      </w:r>
    </w:p>
    <w:p w:rsidR="00EF6A76" w:rsidRPr="00032BCA" w:rsidRDefault="00EF6A76" w:rsidP="00C35743">
      <w:pPr>
        <w:spacing w:after="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2127"/>
        <w:gridCol w:w="2126"/>
        <w:gridCol w:w="2046"/>
      </w:tblGrid>
      <w:tr w:rsidR="00EF6A76" w:rsidRPr="00032BCA" w:rsidTr="001D3DE9">
        <w:tc>
          <w:tcPr>
            <w:tcW w:w="2943" w:type="dxa"/>
          </w:tcPr>
          <w:p w:rsidR="00EF6A76" w:rsidRPr="001D3DE9" w:rsidRDefault="00EF6A76" w:rsidP="001D3DE9">
            <w:pPr>
              <w:spacing w:before="120" w:after="0"/>
              <w:rPr>
                <w:rFonts w:ascii="Arial" w:hAnsi="Arial" w:cs="Arial"/>
                <w:sz w:val="24"/>
                <w:szCs w:val="24"/>
              </w:rPr>
            </w:pPr>
          </w:p>
        </w:tc>
        <w:tc>
          <w:tcPr>
            <w:tcW w:w="2127" w:type="dxa"/>
          </w:tcPr>
          <w:p w:rsidR="00EF6A76" w:rsidRPr="001D3DE9" w:rsidRDefault="00EF6A76" w:rsidP="001D3DE9">
            <w:pPr>
              <w:spacing w:before="120" w:after="0"/>
              <w:jc w:val="center"/>
              <w:rPr>
                <w:rFonts w:ascii="Arial" w:hAnsi="Arial" w:cs="Arial"/>
                <w:b/>
              </w:rPr>
            </w:pPr>
            <w:smartTag w:uri="urn:schemas-microsoft-com:office:smarttags" w:element="place">
              <w:smartTag w:uri="urn:schemas-microsoft-com:office:smarttags" w:element="City">
                <w:r w:rsidRPr="001D3DE9">
                  <w:rPr>
                    <w:rFonts w:ascii="Arial" w:hAnsi="Arial" w:cs="Arial"/>
                    <w:b/>
                  </w:rPr>
                  <w:t>Study</w:t>
                </w:r>
              </w:smartTag>
              <w:r w:rsidRPr="001D3DE9">
                <w:rPr>
                  <w:rFonts w:ascii="Arial" w:hAnsi="Arial" w:cs="Arial"/>
                  <w:b/>
                </w:rPr>
                <w:t xml:space="preserve"> </w:t>
              </w:r>
              <w:smartTag w:uri="urn:schemas-microsoft-com:office:smarttags" w:element="State">
                <w:r w:rsidRPr="001D3DE9">
                  <w:rPr>
                    <w:rFonts w:ascii="Arial" w:hAnsi="Arial" w:cs="Arial"/>
                    <w:b/>
                  </w:rPr>
                  <w:t>CA</w:t>
                </w:r>
              </w:smartTag>
            </w:smartTag>
            <w:r w:rsidRPr="001D3DE9">
              <w:rPr>
                <w:rFonts w:ascii="Arial" w:hAnsi="Arial" w:cs="Arial"/>
                <w:b/>
              </w:rPr>
              <w:t xml:space="preserve"> 205 IV/oral VRL  + </w:t>
            </w:r>
            <w:proofErr w:type="spellStart"/>
            <w:r w:rsidRPr="001D3DE9">
              <w:rPr>
                <w:rFonts w:ascii="Arial" w:hAnsi="Arial" w:cs="Arial"/>
                <w:b/>
              </w:rPr>
              <w:t>epirubicin</w:t>
            </w:r>
            <w:proofErr w:type="spellEnd"/>
          </w:p>
        </w:tc>
        <w:tc>
          <w:tcPr>
            <w:tcW w:w="2126" w:type="dxa"/>
          </w:tcPr>
          <w:p w:rsidR="00EF6A76" w:rsidRPr="001D3DE9" w:rsidRDefault="00EF6A76" w:rsidP="001D3DE9">
            <w:pPr>
              <w:spacing w:before="120" w:after="0"/>
              <w:jc w:val="center"/>
              <w:rPr>
                <w:rFonts w:ascii="Arial" w:hAnsi="Arial" w:cs="Arial"/>
                <w:b/>
              </w:rPr>
            </w:pPr>
            <w:smartTag w:uri="urn:schemas-microsoft-com:office:smarttags" w:element="place">
              <w:smartTag w:uri="urn:schemas-microsoft-com:office:smarttags" w:element="City">
                <w:r w:rsidRPr="001D3DE9">
                  <w:rPr>
                    <w:rFonts w:ascii="Arial" w:hAnsi="Arial" w:cs="Arial"/>
                    <w:b/>
                  </w:rPr>
                  <w:t>Study</w:t>
                </w:r>
              </w:smartTag>
              <w:r w:rsidRPr="001D3DE9">
                <w:rPr>
                  <w:rFonts w:ascii="Arial" w:hAnsi="Arial" w:cs="Arial"/>
                  <w:b/>
                </w:rPr>
                <w:t xml:space="preserve"> </w:t>
              </w:r>
              <w:smartTag w:uri="urn:schemas-microsoft-com:office:smarttags" w:element="State">
                <w:r w:rsidRPr="001D3DE9">
                  <w:rPr>
                    <w:rFonts w:ascii="Arial" w:hAnsi="Arial" w:cs="Arial"/>
                    <w:b/>
                  </w:rPr>
                  <w:t>CA</w:t>
                </w:r>
              </w:smartTag>
            </w:smartTag>
            <w:r w:rsidRPr="001D3DE9">
              <w:rPr>
                <w:rFonts w:ascii="Arial" w:hAnsi="Arial" w:cs="Arial"/>
                <w:b/>
              </w:rPr>
              <w:t xml:space="preserve"> 101 IV/oral VRL  + </w:t>
            </w:r>
            <w:proofErr w:type="spellStart"/>
            <w:r w:rsidRPr="001D3DE9">
              <w:rPr>
                <w:rFonts w:ascii="Arial" w:hAnsi="Arial" w:cs="Arial"/>
                <w:b/>
              </w:rPr>
              <w:t>docetaxel</w:t>
            </w:r>
            <w:proofErr w:type="spellEnd"/>
          </w:p>
        </w:tc>
        <w:tc>
          <w:tcPr>
            <w:tcW w:w="2046" w:type="dxa"/>
          </w:tcPr>
          <w:p w:rsidR="00EF6A76" w:rsidRPr="001D3DE9" w:rsidRDefault="00EF6A76" w:rsidP="001D3DE9">
            <w:pPr>
              <w:spacing w:before="120" w:after="0"/>
              <w:jc w:val="center"/>
              <w:rPr>
                <w:rFonts w:ascii="Arial" w:hAnsi="Arial" w:cs="Arial"/>
                <w:b/>
              </w:rPr>
            </w:pPr>
            <w:smartTag w:uri="urn:schemas-microsoft-com:office:smarttags" w:element="place">
              <w:smartTag w:uri="urn:schemas-microsoft-com:office:smarttags" w:element="City">
                <w:r w:rsidRPr="001D3DE9">
                  <w:rPr>
                    <w:rFonts w:ascii="Arial" w:hAnsi="Arial" w:cs="Arial"/>
                    <w:b/>
                  </w:rPr>
                  <w:t>Study</w:t>
                </w:r>
              </w:smartTag>
              <w:r w:rsidRPr="001D3DE9">
                <w:rPr>
                  <w:rFonts w:ascii="Arial" w:hAnsi="Arial" w:cs="Arial"/>
                  <w:b/>
                </w:rPr>
                <w:t xml:space="preserve"> </w:t>
              </w:r>
              <w:smartTag w:uri="urn:schemas-microsoft-com:office:smarttags" w:element="State">
                <w:r w:rsidRPr="001D3DE9">
                  <w:rPr>
                    <w:rFonts w:ascii="Arial" w:hAnsi="Arial" w:cs="Arial"/>
                    <w:b/>
                  </w:rPr>
                  <w:t>CA</w:t>
                </w:r>
              </w:smartTag>
            </w:smartTag>
            <w:r w:rsidRPr="001D3DE9">
              <w:rPr>
                <w:rFonts w:ascii="Arial" w:hAnsi="Arial" w:cs="Arial"/>
                <w:b/>
              </w:rPr>
              <w:t xml:space="preserve"> 102 oral VRL  + </w:t>
            </w:r>
            <w:proofErr w:type="spellStart"/>
            <w:r w:rsidRPr="001D3DE9">
              <w:rPr>
                <w:rFonts w:ascii="Arial" w:hAnsi="Arial" w:cs="Arial"/>
                <w:b/>
              </w:rPr>
              <w:t>paclitaxel</w:t>
            </w:r>
            <w:proofErr w:type="spellEnd"/>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sz w:val="24"/>
                <w:szCs w:val="24"/>
              </w:rPr>
            </w:pPr>
            <w:r w:rsidRPr="001D3DE9">
              <w:rPr>
                <w:rFonts w:ascii="Arial" w:hAnsi="Arial" w:cs="Arial"/>
                <w:b/>
                <w:lang w:eastAsia="en-AU"/>
              </w:rPr>
              <w:t>Number of patients</w:t>
            </w:r>
          </w:p>
        </w:tc>
        <w:tc>
          <w:tcPr>
            <w:tcW w:w="2127" w:type="dxa"/>
            <w:tcBorders>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49</w:t>
            </w:r>
          </w:p>
        </w:tc>
        <w:tc>
          <w:tcPr>
            <w:tcW w:w="2126" w:type="dxa"/>
            <w:tcBorders>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49</w:t>
            </w:r>
          </w:p>
        </w:tc>
        <w:tc>
          <w:tcPr>
            <w:tcW w:w="2046" w:type="dxa"/>
            <w:tcBorders>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48</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Complete response</w:t>
            </w:r>
          </w:p>
        </w:tc>
        <w:tc>
          <w:tcPr>
            <w:tcW w:w="2127"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w:t>
            </w:r>
          </w:p>
        </w:tc>
        <w:tc>
          <w:tcPr>
            <w:tcW w:w="2126"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1</w:t>
            </w:r>
          </w:p>
        </w:tc>
        <w:tc>
          <w:tcPr>
            <w:tcW w:w="2046" w:type="dxa"/>
            <w:tcBorders>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Response rate (%)</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51</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49</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33.3</w:t>
            </w:r>
          </w:p>
        </w:tc>
      </w:tr>
      <w:tr w:rsidR="00EF6A76" w:rsidRPr="00032BCA" w:rsidTr="001D3DE9">
        <w:tc>
          <w:tcPr>
            <w:tcW w:w="2943" w:type="dxa"/>
            <w:tcBorders>
              <w:top w:val="nil"/>
              <w:bottom w:val="nil"/>
            </w:tcBorders>
          </w:tcPr>
          <w:p w:rsidR="00EF6A76" w:rsidRPr="001D3DE9" w:rsidRDefault="00EF6A76" w:rsidP="00475B04">
            <w:pPr>
              <w:spacing w:before="120" w:after="0"/>
              <w:rPr>
                <w:rFonts w:ascii="Arial" w:hAnsi="Arial" w:cs="Arial"/>
                <w:b/>
              </w:rPr>
            </w:pPr>
            <w:r w:rsidRPr="001D3DE9">
              <w:rPr>
                <w:rFonts w:ascii="Arial" w:hAnsi="Arial" w:cs="Arial"/>
                <w:b/>
              </w:rPr>
              <w:tab/>
              <w:t xml:space="preserve">[95% CI] </w:t>
            </w:r>
          </w:p>
        </w:tc>
        <w:tc>
          <w:tcPr>
            <w:tcW w:w="2127" w:type="dxa"/>
            <w:tcBorders>
              <w:top w:val="nil"/>
              <w:bottom w:val="nil"/>
            </w:tcBorders>
          </w:tcPr>
          <w:p w:rsidR="00EF6A76" w:rsidRPr="001D3DE9" w:rsidRDefault="00CE0E2B" w:rsidP="001D3DE9">
            <w:pPr>
              <w:spacing w:before="120" w:after="0"/>
              <w:jc w:val="center"/>
              <w:rPr>
                <w:rFonts w:ascii="Arial" w:hAnsi="Arial" w:cs="Arial"/>
              </w:rPr>
            </w:pPr>
            <w:r>
              <w:rPr>
                <w:rFonts w:ascii="Arial" w:hAnsi="Arial" w:cs="Arial"/>
              </w:rPr>
              <w:t xml:space="preserve">[36.3 - </w:t>
            </w:r>
            <w:r w:rsidR="00EF6A76" w:rsidRPr="001D3DE9">
              <w:rPr>
                <w:rFonts w:ascii="Arial" w:hAnsi="Arial" w:cs="Arial"/>
              </w:rPr>
              <w:t>65.6]</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[34.4</w:t>
            </w:r>
            <w:r w:rsidR="00CE0E2B">
              <w:rPr>
                <w:rFonts w:ascii="Arial" w:hAnsi="Arial" w:cs="Arial"/>
              </w:rPr>
              <w:t xml:space="preserve"> - </w:t>
            </w:r>
            <w:r w:rsidRPr="001D3DE9">
              <w:rPr>
                <w:rFonts w:ascii="Arial" w:hAnsi="Arial" w:cs="Arial"/>
              </w:rPr>
              <w:t>63.7]</w:t>
            </w:r>
          </w:p>
        </w:tc>
        <w:tc>
          <w:tcPr>
            <w:tcW w:w="2046" w:type="dxa"/>
            <w:tcBorders>
              <w:top w:val="nil"/>
              <w:bottom w:val="nil"/>
            </w:tcBorders>
          </w:tcPr>
          <w:p w:rsidR="00EF6A76" w:rsidRPr="001D3DE9" w:rsidRDefault="00CE0E2B" w:rsidP="001D3DE9">
            <w:pPr>
              <w:spacing w:before="120" w:after="0"/>
              <w:jc w:val="center"/>
              <w:rPr>
                <w:rFonts w:ascii="Arial" w:hAnsi="Arial" w:cs="Arial"/>
              </w:rPr>
            </w:pPr>
            <w:r>
              <w:rPr>
                <w:rFonts w:ascii="Arial" w:hAnsi="Arial" w:cs="Arial"/>
              </w:rPr>
              <w:t xml:space="preserve">[20.4 - </w:t>
            </w:r>
            <w:r w:rsidR="00EF6A76" w:rsidRPr="001D3DE9">
              <w:rPr>
                <w:rFonts w:ascii="Arial" w:hAnsi="Arial" w:cs="Arial"/>
              </w:rPr>
              <w:t>48.4]</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Disease control rate (%)</w:t>
            </w:r>
          </w:p>
        </w:tc>
        <w:tc>
          <w:tcPr>
            <w:tcW w:w="2127"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86</w:t>
            </w:r>
          </w:p>
        </w:tc>
        <w:tc>
          <w:tcPr>
            <w:tcW w:w="212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82</w:t>
            </w:r>
          </w:p>
        </w:tc>
        <w:tc>
          <w:tcPr>
            <w:tcW w:w="2046" w:type="dxa"/>
            <w:tcBorders>
              <w:top w:val="nil"/>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69</w:t>
            </w:r>
          </w:p>
        </w:tc>
      </w:tr>
      <w:tr w:rsidR="00EF6A76" w:rsidRPr="00032BCA" w:rsidTr="001D3DE9">
        <w:tc>
          <w:tcPr>
            <w:tcW w:w="2943" w:type="dxa"/>
            <w:tcBorders>
              <w:top w:val="nil"/>
            </w:tcBorders>
          </w:tcPr>
          <w:p w:rsidR="00EF6A76" w:rsidRPr="001D3DE9" w:rsidRDefault="00EF6A76" w:rsidP="00475B04">
            <w:pPr>
              <w:spacing w:before="120" w:after="0"/>
              <w:rPr>
                <w:rFonts w:ascii="Arial" w:hAnsi="Arial" w:cs="Arial"/>
                <w:b/>
              </w:rPr>
            </w:pPr>
            <w:r w:rsidRPr="001D3DE9">
              <w:rPr>
                <w:rFonts w:ascii="Arial" w:hAnsi="Arial" w:cs="Arial"/>
                <w:b/>
              </w:rPr>
              <w:tab/>
              <w:t>[95% CI]</w:t>
            </w:r>
          </w:p>
        </w:tc>
        <w:tc>
          <w:tcPr>
            <w:tcW w:w="2127"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[76 - </w:t>
            </w:r>
            <w:r w:rsidR="00EF6A76" w:rsidRPr="001D3DE9">
              <w:rPr>
                <w:rFonts w:ascii="Arial" w:hAnsi="Arial" w:cs="Arial"/>
              </w:rPr>
              <w:t>96]</w:t>
            </w:r>
          </w:p>
        </w:tc>
        <w:tc>
          <w:tcPr>
            <w:tcW w:w="2126"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[71 - </w:t>
            </w:r>
            <w:r w:rsidR="00EF6A76" w:rsidRPr="001D3DE9">
              <w:rPr>
                <w:rFonts w:ascii="Arial" w:hAnsi="Arial" w:cs="Arial"/>
              </w:rPr>
              <w:t>93]</w:t>
            </w:r>
          </w:p>
        </w:tc>
        <w:tc>
          <w:tcPr>
            <w:tcW w:w="2046"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[55 - </w:t>
            </w:r>
            <w:r w:rsidR="00EF6A76" w:rsidRPr="001D3DE9">
              <w:rPr>
                <w:rFonts w:ascii="Arial" w:hAnsi="Arial" w:cs="Arial"/>
              </w:rPr>
              <w:t>82]</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Median duration of response (months)</w:t>
            </w:r>
          </w:p>
        </w:tc>
        <w:tc>
          <w:tcPr>
            <w:tcW w:w="2127"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7.7</w:t>
            </w:r>
          </w:p>
        </w:tc>
        <w:tc>
          <w:tcPr>
            <w:tcW w:w="2126"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9.4</w:t>
            </w:r>
          </w:p>
        </w:tc>
        <w:tc>
          <w:tcPr>
            <w:tcW w:w="2046" w:type="dxa"/>
            <w:tcBorders>
              <w:bottom w:val="nil"/>
            </w:tcBorders>
          </w:tcPr>
          <w:p w:rsidR="00EF6A76" w:rsidRPr="001D3DE9" w:rsidRDefault="00EF6A76" w:rsidP="001D3DE9">
            <w:pPr>
              <w:spacing w:before="120" w:after="0"/>
              <w:jc w:val="center"/>
              <w:rPr>
                <w:rFonts w:ascii="Arial" w:hAnsi="Arial" w:cs="Arial"/>
                <w:sz w:val="24"/>
                <w:szCs w:val="24"/>
              </w:rPr>
            </w:pPr>
            <w:r w:rsidRPr="001D3DE9">
              <w:rPr>
                <w:rFonts w:ascii="Arial" w:hAnsi="Arial" w:cs="Arial"/>
                <w:sz w:val="24"/>
                <w:szCs w:val="24"/>
              </w:rPr>
              <w:t>NA*</w:t>
            </w:r>
          </w:p>
        </w:tc>
      </w:tr>
      <w:tr w:rsidR="00EF6A76" w:rsidRPr="00032BCA" w:rsidTr="001D3DE9">
        <w:tc>
          <w:tcPr>
            <w:tcW w:w="2943" w:type="dxa"/>
            <w:tcBorders>
              <w:top w:val="nil"/>
              <w:bottom w:val="nil"/>
            </w:tcBorders>
          </w:tcPr>
          <w:p w:rsidR="00EF6A76" w:rsidRPr="001D3DE9" w:rsidRDefault="00EF6A76" w:rsidP="001D3DE9">
            <w:pPr>
              <w:spacing w:before="120" w:after="0"/>
              <w:rPr>
                <w:rFonts w:ascii="Arial" w:hAnsi="Arial" w:cs="Arial"/>
                <w:b/>
              </w:rPr>
            </w:pPr>
            <w:r w:rsidRPr="001D3DE9">
              <w:rPr>
                <w:rFonts w:ascii="Arial" w:hAnsi="Arial" w:cs="Arial"/>
                <w:b/>
              </w:rPr>
              <w:tab/>
              <w:t>[95% CI)</w:t>
            </w:r>
          </w:p>
        </w:tc>
        <w:tc>
          <w:tcPr>
            <w:tcW w:w="2127" w:type="dxa"/>
            <w:tcBorders>
              <w:top w:val="nil"/>
              <w:bottom w:val="nil"/>
            </w:tcBorders>
          </w:tcPr>
          <w:p w:rsidR="00EF6A76" w:rsidRPr="001D3DE9" w:rsidRDefault="00CE0E2B" w:rsidP="001D3DE9">
            <w:pPr>
              <w:spacing w:before="120" w:after="0"/>
              <w:jc w:val="center"/>
              <w:rPr>
                <w:rFonts w:ascii="Arial" w:hAnsi="Arial" w:cs="Arial"/>
              </w:rPr>
            </w:pPr>
            <w:r>
              <w:rPr>
                <w:rFonts w:ascii="Arial" w:hAnsi="Arial" w:cs="Arial"/>
              </w:rPr>
              <w:t xml:space="preserve">[6.9 - </w:t>
            </w:r>
            <w:r w:rsidR="00EF6A76" w:rsidRPr="001D3DE9">
              <w:rPr>
                <w:rFonts w:ascii="Arial" w:hAnsi="Arial" w:cs="Arial"/>
              </w:rPr>
              <w:t>12.1]</w:t>
            </w:r>
          </w:p>
        </w:tc>
        <w:tc>
          <w:tcPr>
            <w:tcW w:w="2126" w:type="dxa"/>
            <w:tcBorders>
              <w:top w:val="nil"/>
              <w:bottom w:val="nil"/>
            </w:tcBorders>
          </w:tcPr>
          <w:p w:rsidR="00EF6A76" w:rsidRPr="001D3DE9" w:rsidRDefault="00CE0E2B" w:rsidP="001D3DE9">
            <w:pPr>
              <w:spacing w:before="120" w:after="0"/>
              <w:jc w:val="center"/>
              <w:rPr>
                <w:rFonts w:ascii="Arial" w:hAnsi="Arial" w:cs="Arial"/>
              </w:rPr>
            </w:pPr>
            <w:r>
              <w:rPr>
                <w:rFonts w:ascii="Arial" w:hAnsi="Arial" w:cs="Arial"/>
              </w:rPr>
              <w:t xml:space="preserve">[5.1 - </w:t>
            </w:r>
            <w:r w:rsidR="00EF6A76" w:rsidRPr="001D3DE9">
              <w:rPr>
                <w:rFonts w:ascii="Arial" w:hAnsi="Arial" w:cs="Arial"/>
              </w:rPr>
              <w:t>12.4]</w:t>
            </w:r>
          </w:p>
        </w:tc>
        <w:tc>
          <w:tcPr>
            <w:tcW w:w="2046" w:type="dxa"/>
            <w:tcBorders>
              <w:top w:val="nil"/>
              <w:bottom w:val="nil"/>
            </w:tcBorders>
          </w:tcPr>
          <w:p w:rsidR="00EF6A76" w:rsidRPr="001D3DE9" w:rsidRDefault="00EF6A76" w:rsidP="001D3DE9">
            <w:pPr>
              <w:spacing w:before="120" w:after="0"/>
              <w:jc w:val="center"/>
              <w:rPr>
                <w:rFonts w:ascii="Arial" w:hAnsi="Arial" w:cs="Arial"/>
              </w:rPr>
            </w:pP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 xml:space="preserve">Median PFS (months) </w:t>
            </w:r>
          </w:p>
        </w:tc>
        <w:tc>
          <w:tcPr>
            <w:tcW w:w="2127"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8.1</w:t>
            </w:r>
          </w:p>
        </w:tc>
        <w:tc>
          <w:tcPr>
            <w:tcW w:w="2126"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5.5</w:t>
            </w:r>
          </w:p>
        </w:tc>
        <w:tc>
          <w:tcPr>
            <w:tcW w:w="2046"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5.0</w:t>
            </w: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lastRenderedPageBreak/>
              <w:tab/>
              <w:t xml:space="preserve"> [95% CI)     </w:t>
            </w:r>
          </w:p>
        </w:tc>
        <w:tc>
          <w:tcPr>
            <w:tcW w:w="2127"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[6.9 - </w:t>
            </w:r>
            <w:r w:rsidR="00EF6A76" w:rsidRPr="001D3DE9">
              <w:rPr>
                <w:rFonts w:ascii="Arial" w:hAnsi="Arial" w:cs="Arial"/>
              </w:rPr>
              <w:t>9.8]</w:t>
            </w:r>
          </w:p>
        </w:tc>
        <w:tc>
          <w:tcPr>
            <w:tcW w:w="2126"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[4.2 - </w:t>
            </w:r>
            <w:r w:rsidR="00EF6A76" w:rsidRPr="001D3DE9">
              <w:rPr>
                <w:rFonts w:ascii="Arial" w:hAnsi="Arial" w:cs="Arial"/>
              </w:rPr>
              <w:t>7.2]</w:t>
            </w:r>
          </w:p>
        </w:tc>
        <w:tc>
          <w:tcPr>
            <w:tcW w:w="2046"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[4.2 - </w:t>
            </w:r>
            <w:r w:rsidR="00EF6A76" w:rsidRPr="001D3DE9">
              <w:rPr>
                <w:rFonts w:ascii="Arial" w:hAnsi="Arial" w:cs="Arial"/>
              </w:rPr>
              <w:t>7.4]</w:t>
            </w:r>
          </w:p>
        </w:tc>
      </w:tr>
      <w:tr w:rsidR="00EF6A76" w:rsidRPr="00032BCA" w:rsidTr="001D3DE9">
        <w:tc>
          <w:tcPr>
            <w:tcW w:w="2943" w:type="dxa"/>
            <w:tcBorders>
              <w:bottom w:val="nil"/>
            </w:tcBorders>
          </w:tcPr>
          <w:p w:rsidR="00EF6A76" w:rsidRPr="001D3DE9" w:rsidRDefault="00EF6A76" w:rsidP="001D3DE9">
            <w:pPr>
              <w:spacing w:before="120" w:after="0"/>
              <w:rPr>
                <w:rFonts w:ascii="Arial" w:hAnsi="Arial" w:cs="Arial"/>
                <w:b/>
              </w:rPr>
            </w:pPr>
            <w:r w:rsidRPr="001D3DE9">
              <w:rPr>
                <w:rFonts w:ascii="Arial" w:hAnsi="Arial" w:cs="Arial"/>
                <w:b/>
              </w:rPr>
              <w:t xml:space="preserve">Median survival (months)  </w:t>
            </w:r>
          </w:p>
        </w:tc>
        <w:tc>
          <w:tcPr>
            <w:tcW w:w="2127"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19.9</w:t>
            </w:r>
          </w:p>
        </w:tc>
        <w:tc>
          <w:tcPr>
            <w:tcW w:w="2126"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33.1</w:t>
            </w:r>
          </w:p>
        </w:tc>
        <w:tc>
          <w:tcPr>
            <w:tcW w:w="2046" w:type="dxa"/>
            <w:tcBorders>
              <w:bottom w:val="nil"/>
            </w:tcBorders>
          </w:tcPr>
          <w:p w:rsidR="00EF6A76" w:rsidRPr="001D3DE9" w:rsidRDefault="00EF6A76" w:rsidP="001D3DE9">
            <w:pPr>
              <w:spacing w:before="120" w:after="0"/>
              <w:jc w:val="center"/>
              <w:rPr>
                <w:rFonts w:ascii="Arial" w:hAnsi="Arial" w:cs="Arial"/>
              </w:rPr>
            </w:pPr>
            <w:r w:rsidRPr="001D3DE9">
              <w:rPr>
                <w:rFonts w:ascii="Arial" w:hAnsi="Arial" w:cs="Arial"/>
              </w:rPr>
              <w:t>28.0</w:t>
            </w:r>
          </w:p>
        </w:tc>
      </w:tr>
      <w:tr w:rsidR="00EF6A76" w:rsidRPr="00032BCA" w:rsidTr="001D3DE9">
        <w:tc>
          <w:tcPr>
            <w:tcW w:w="2943" w:type="dxa"/>
            <w:tcBorders>
              <w:top w:val="nil"/>
            </w:tcBorders>
          </w:tcPr>
          <w:p w:rsidR="00EF6A76" w:rsidRPr="001D3DE9" w:rsidRDefault="00EF6A76" w:rsidP="001D3DE9">
            <w:pPr>
              <w:spacing w:before="120" w:after="0"/>
              <w:rPr>
                <w:rFonts w:ascii="Arial" w:hAnsi="Arial" w:cs="Arial"/>
                <w:b/>
              </w:rPr>
            </w:pPr>
            <w:r w:rsidRPr="001D3DE9">
              <w:rPr>
                <w:rFonts w:ascii="Arial" w:hAnsi="Arial" w:cs="Arial"/>
                <w:b/>
              </w:rPr>
              <w:tab/>
              <w:t xml:space="preserve">[95% CI)     </w:t>
            </w:r>
          </w:p>
        </w:tc>
        <w:tc>
          <w:tcPr>
            <w:tcW w:w="2127"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[15.3 - </w:t>
            </w:r>
            <w:r w:rsidR="00EF6A76" w:rsidRPr="001D3DE9">
              <w:rPr>
                <w:rFonts w:ascii="Arial" w:hAnsi="Arial" w:cs="Arial"/>
              </w:rPr>
              <w:t>25.3]</w:t>
            </w:r>
          </w:p>
        </w:tc>
        <w:tc>
          <w:tcPr>
            <w:tcW w:w="2126"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[21.1 - </w:t>
            </w:r>
            <w:r w:rsidR="00EF6A76">
              <w:rPr>
                <w:rFonts w:ascii="Arial" w:hAnsi="Arial" w:cs="Arial"/>
              </w:rPr>
              <w:t>53.0</w:t>
            </w:r>
            <w:r w:rsidR="00EF6A76" w:rsidRPr="001D3DE9">
              <w:rPr>
                <w:rFonts w:ascii="Arial" w:hAnsi="Arial" w:cs="Arial"/>
              </w:rPr>
              <w:t>]</w:t>
            </w:r>
          </w:p>
        </w:tc>
        <w:tc>
          <w:tcPr>
            <w:tcW w:w="2046" w:type="dxa"/>
            <w:tcBorders>
              <w:top w:val="nil"/>
            </w:tcBorders>
          </w:tcPr>
          <w:p w:rsidR="00EF6A76" w:rsidRPr="001D3DE9" w:rsidRDefault="00CE0E2B" w:rsidP="001D3DE9">
            <w:pPr>
              <w:spacing w:before="120" w:after="0"/>
              <w:jc w:val="center"/>
              <w:rPr>
                <w:rFonts w:ascii="Arial" w:hAnsi="Arial" w:cs="Arial"/>
              </w:rPr>
            </w:pPr>
            <w:r>
              <w:rPr>
                <w:rFonts w:ascii="Arial" w:hAnsi="Arial" w:cs="Arial"/>
              </w:rPr>
              <w:t xml:space="preserve">[22.4 - </w:t>
            </w:r>
            <w:r w:rsidR="00EF6A76" w:rsidRPr="001D3DE9">
              <w:rPr>
                <w:rFonts w:ascii="Arial" w:hAnsi="Arial" w:cs="Arial"/>
              </w:rPr>
              <w:t>not reached]</w:t>
            </w:r>
          </w:p>
        </w:tc>
      </w:tr>
    </w:tbl>
    <w:p w:rsidR="00EF6A76" w:rsidRPr="00032BCA" w:rsidRDefault="00EF6A76" w:rsidP="00C35743">
      <w:pPr>
        <w:spacing w:after="0"/>
        <w:rPr>
          <w:rFonts w:ascii="Arial" w:hAnsi="Arial" w:cs="Arial"/>
          <w:sz w:val="24"/>
          <w:szCs w:val="24"/>
        </w:rPr>
      </w:pPr>
    </w:p>
    <w:p w:rsidR="00EF6A76" w:rsidRPr="00032BCA" w:rsidRDefault="00EF6A76" w:rsidP="00256DC0">
      <w:pPr>
        <w:spacing w:after="0"/>
        <w:rPr>
          <w:rFonts w:ascii="Arial" w:hAnsi="Arial" w:cs="Arial"/>
          <w:sz w:val="24"/>
          <w:szCs w:val="24"/>
        </w:rPr>
      </w:pPr>
      <w:r w:rsidRPr="00032BCA">
        <w:rPr>
          <w:rFonts w:ascii="Arial" w:hAnsi="Arial" w:cs="Arial"/>
          <w:b/>
          <w:sz w:val="20"/>
          <w:szCs w:val="20"/>
        </w:rPr>
        <w:t xml:space="preserve">* Not calculated due to too many censored patients. </w:t>
      </w:r>
    </w:p>
    <w:p w:rsidR="00EF6A76" w:rsidRDefault="00EF6A76" w:rsidP="00256DC0">
      <w:pPr>
        <w:spacing w:after="0"/>
        <w:ind w:left="360"/>
        <w:rPr>
          <w:rFonts w:ascii="Arial" w:hAnsi="Arial" w:cs="Arial"/>
          <w:sz w:val="24"/>
          <w:szCs w:val="24"/>
        </w:rPr>
      </w:pPr>
    </w:p>
    <w:p w:rsidR="00EF6A76" w:rsidRDefault="00EF6A76" w:rsidP="00153446">
      <w:pPr>
        <w:spacing w:after="0"/>
        <w:rPr>
          <w:rFonts w:ascii="Arial" w:hAnsi="Arial" w:cs="Arial"/>
          <w:sz w:val="24"/>
          <w:szCs w:val="24"/>
        </w:rPr>
      </w:pPr>
      <w:r>
        <w:rPr>
          <w:rFonts w:ascii="Arial" w:hAnsi="Arial" w:cs="Arial"/>
          <w:sz w:val="24"/>
          <w:szCs w:val="24"/>
        </w:rPr>
        <w:t xml:space="preserve">The two regimens alternating oral and IV </w:t>
      </w:r>
      <w:proofErr w:type="spellStart"/>
      <w:r>
        <w:rPr>
          <w:rFonts w:ascii="Arial" w:hAnsi="Arial" w:cs="Arial"/>
          <w:sz w:val="24"/>
          <w:szCs w:val="24"/>
        </w:rPr>
        <w:t>vinorelbine</w:t>
      </w:r>
      <w:proofErr w:type="spellEnd"/>
      <w:r>
        <w:rPr>
          <w:rFonts w:ascii="Arial" w:hAnsi="Arial" w:cs="Arial"/>
          <w:sz w:val="24"/>
          <w:szCs w:val="24"/>
        </w:rPr>
        <w:t xml:space="preserve"> in combination with </w:t>
      </w:r>
      <w:proofErr w:type="spellStart"/>
      <w:r>
        <w:rPr>
          <w:rFonts w:ascii="Arial" w:hAnsi="Arial" w:cs="Arial"/>
          <w:sz w:val="24"/>
          <w:szCs w:val="24"/>
        </w:rPr>
        <w:t>epirubicin</w:t>
      </w:r>
      <w:proofErr w:type="spellEnd"/>
      <w:r>
        <w:rPr>
          <w:rFonts w:ascii="Arial" w:hAnsi="Arial" w:cs="Arial"/>
          <w:sz w:val="24"/>
          <w:szCs w:val="24"/>
        </w:rPr>
        <w:t xml:space="preserve"> or </w:t>
      </w:r>
      <w:proofErr w:type="spellStart"/>
      <w:r>
        <w:rPr>
          <w:rFonts w:ascii="Arial" w:hAnsi="Arial" w:cs="Arial"/>
          <w:sz w:val="24"/>
          <w:szCs w:val="24"/>
        </w:rPr>
        <w:t>docetaxel</w:t>
      </w:r>
      <w:proofErr w:type="spellEnd"/>
      <w:r>
        <w:rPr>
          <w:rFonts w:ascii="Arial" w:hAnsi="Arial" w:cs="Arial"/>
          <w:sz w:val="24"/>
          <w:szCs w:val="24"/>
        </w:rPr>
        <w:t xml:space="preserve"> gave similar response rates of approximately 50%.  Median durations of overall survival tended to be longer for the </w:t>
      </w:r>
      <w:proofErr w:type="spellStart"/>
      <w:r>
        <w:rPr>
          <w:rFonts w:ascii="Arial" w:hAnsi="Arial" w:cs="Arial"/>
          <w:sz w:val="24"/>
          <w:szCs w:val="24"/>
        </w:rPr>
        <w:t>taxane</w:t>
      </w:r>
      <w:proofErr w:type="spellEnd"/>
      <w:r>
        <w:rPr>
          <w:rFonts w:ascii="Arial" w:hAnsi="Arial" w:cs="Arial"/>
          <w:sz w:val="24"/>
          <w:szCs w:val="24"/>
        </w:rPr>
        <w:t xml:space="preserve"> combinations than for the combination with </w:t>
      </w:r>
      <w:proofErr w:type="spellStart"/>
      <w:r>
        <w:rPr>
          <w:rFonts w:ascii="Arial" w:hAnsi="Arial" w:cs="Arial"/>
          <w:sz w:val="24"/>
          <w:szCs w:val="24"/>
        </w:rPr>
        <w:t>epirubicin</w:t>
      </w:r>
      <w:proofErr w:type="spellEnd"/>
      <w:r>
        <w:rPr>
          <w:rFonts w:ascii="Arial" w:hAnsi="Arial" w:cs="Arial"/>
          <w:sz w:val="24"/>
          <w:szCs w:val="24"/>
        </w:rPr>
        <w:t>.</w:t>
      </w:r>
    </w:p>
    <w:p w:rsidR="00EF6A76" w:rsidRDefault="00EF6A76" w:rsidP="00153446">
      <w:pPr>
        <w:spacing w:after="0"/>
        <w:rPr>
          <w:rFonts w:ascii="Arial" w:hAnsi="Arial" w:cs="Arial"/>
          <w:sz w:val="24"/>
          <w:szCs w:val="24"/>
        </w:rPr>
      </w:pPr>
    </w:p>
    <w:p w:rsidR="00EF6A76" w:rsidRPr="000C5447" w:rsidRDefault="00EF6A76" w:rsidP="003F3B46">
      <w:pPr>
        <w:spacing w:after="0"/>
        <w:rPr>
          <w:rFonts w:ascii="Arial" w:hAnsi="Arial" w:cs="Arial"/>
          <w:b/>
          <w:sz w:val="24"/>
          <w:szCs w:val="24"/>
        </w:rPr>
      </w:pPr>
      <w:r w:rsidRPr="000C5447">
        <w:rPr>
          <w:rFonts w:ascii="Arial" w:hAnsi="Arial" w:cs="Arial"/>
          <w:b/>
          <w:sz w:val="24"/>
          <w:szCs w:val="24"/>
        </w:rPr>
        <w:t>INDICATIONS</w:t>
      </w:r>
    </w:p>
    <w:p w:rsidR="00EF6A76" w:rsidRDefault="00EF6A76" w:rsidP="003F3B46">
      <w:pPr>
        <w:spacing w:after="0"/>
        <w:rPr>
          <w:rFonts w:ascii="Arial" w:hAnsi="Arial" w:cs="Arial"/>
          <w:sz w:val="24"/>
          <w:szCs w:val="24"/>
        </w:rPr>
      </w:pPr>
    </w:p>
    <w:p w:rsidR="00EF6A76" w:rsidRPr="00032BCA" w:rsidRDefault="00EF6A76" w:rsidP="003F3B46">
      <w:pPr>
        <w:spacing w:after="0"/>
        <w:rPr>
          <w:rFonts w:ascii="Arial" w:hAnsi="Arial" w:cs="Arial"/>
          <w:b/>
          <w:sz w:val="24"/>
          <w:szCs w:val="24"/>
        </w:rPr>
      </w:pPr>
      <w:r w:rsidRPr="00032BCA">
        <w:rPr>
          <w:rFonts w:ascii="Arial" w:hAnsi="Arial" w:cs="Arial"/>
          <w:b/>
          <w:sz w:val="24"/>
          <w:szCs w:val="24"/>
        </w:rPr>
        <w:t>Non-small cell lung cancer</w:t>
      </w:r>
    </w:p>
    <w:p w:rsidR="00EF6A76" w:rsidRPr="00032BCA" w:rsidRDefault="00EF6A76" w:rsidP="003F3B46">
      <w:pPr>
        <w:spacing w:after="0"/>
        <w:rPr>
          <w:rFonts w:ascii="Arial" w:hAnsi="Arial" w:cs="Arial"/>
          <w:sz w:val="24"/>
          <w:szCs w:val="24"/>
        </w:rPr>
      </w:pPr>
      <w:r w:rsidRPr="00032BCA">
        <w:rPr>
          <w:rFonts w:ascii="Arial" w:hAnsi="Arial" w:cs="Arial"/>
          <w:sz w:val="24"/>
          <w:szCs w:val="24"/>
        </w:rPr>
        <w:t>NAVELBINE</w:t>
      </w:r>
      <w:r w:rsidRPr="00032BCA">
        <w:rPr>
          <w:rFonts w:ascii="Arial" w:hAnsi="Arial" w:cs="Arial"/>
          <w:sz w:val="24"/>
          <w:szCs w:val="24"/>
          <w:vertAlign w:val="superscript"/>
        </w:rPr>
        <w:t>®</w:t>
      </w:r>
      <w:r w:rsidRPr="00032BCA">
        <w:rPr>
          <w:rFonts w:ascii="Arial" w:hAnsi="Arial" w:cs="Arial"/>
          <w:sz w:val="24"/>
          <w:szCs w:val="24"/>
        </w:rPr>
        <w:t xml:space="preserve"> Oral  is indicated for the first line treatment of advanced non-small cell lung cancer, as a single agent or in combination.</w:t>
      </w:r>
    </w:p>
    <w:p w:rsidR="00EF6A76" w:rsidRPr="00032BCA" w:rsidRDefault="00EF6A76" w:rsidP="003F3B46">
      <w:pPr>
        <w:spacing w:after="0"/>
        <w:rPr>
          <w:rFonts w:ascii="Arial" w:hAnsi="Arial" w:cs="Arial"/>
          <w:sz w:val="24"/>
          <w:szCs w:val="24"/>
        </w:rPr>
      </w:pPr>
    </w:p>
    <w:p w:rsidR="00EF6A76" w:rsidRPr="00032BCA" w:rsidRDefault="00EF6A76" w:rsidP="003F3B46">
      <w:pPr>
        <w:spacing w:after="0"/>
        <w:rPr>
          <w:rFonts w:ascii="Arial" w:hAnsi="Arial" w:cs="Arial"/>
          <w:b/>
          <w:sz w:val="24"/>
          <w:szCs w:val="24"/>
        </w:rPr>
      </w:pPr>
      <w:r w:rsidRPr="00032BCA">
        <w:rPr>
          <w:rFonts w:ascii="Arial" w:hAnsi="Arial" w:cs="Arial"/>
          <w:b/>
          <w:sz w:val="24"/>
          <w:szCs w:val="24"/>
        </w:rPr>
        <w:t>Breast cancer</w:t>
      </w:r>
    </w:p>
    <w:p w:rsidR="00EF6A76" w:rsidRPr="00032BCA" w:rsidRDefault="00EF6A76" w:rsidP="003F3B46">
      <w:pPr>
        <w:spacing w:after="0"/>
        <w:rPr>
          <w:rFonts w:ascii="Arial" w:hAnsi="Arial" w:cs="Arial"/>
          <w:sz w:val="24"/>
          <w:szCs w:val="24"/>
        </w:rPr>
      </w:pPr>
      <w:r w:rsidRPr="00032BCA">
        <w:rPr>
          <w:rFonts w:ascii="Arial" w:hAnsi="Arial" w:cs="Arial"/>
          <w:sz w:val="24"/>
          <w:szCs w:val="24"/>
        </w:rPr>
        <w:t>NAVELBINE</w:t>
      </w:r>
      <w:r w:rsidRPr="00032BCA">
        <w:rPr>
          <w:rFonts w:ascii="Arial" w:hAnsi="Arial" w:cs="Arial"/>
          <w:sz w:val="24"/>
          <w:szCs w:val="24"/>
          <w:vertAlign w:val="superscript"/>
        </w:rPr>
        <w:t>®</w:t>
      </w:r>
      <w:r w:rsidRPr="00032BCA">
        <w:rPr>
          <w:rFonts w:ascii="Arial" w:hAnsi="Arial" w:cs="Arial"/>
          <w:sz w:val="24"/>
          <w:szCs w:val="24"/>
        </w:rPr>
        <w:t xml:space="preserve"> Oral  is indicated for the treatment of advanced breast cancer after </w:t>
      </w:r>
      <w:r>
        <w:rPr>
          <w:rFonts w:ascii="Arial" w:hAnsi="Arial" w:cs="Arial"/>
          <w:sz w:val="24"/>
          <w:szCs w:val="24"/>
        </w:rPr>
        <w:t xml:space="preserve">failure of </w:t>
      </w:r>
      <w:r w:rsidRPr="00032BCA">
        <w:rPr>
          <w:rFonts w:ascii="Arial" w:hAnsi="Arial" w:cs="Arial"/>
          <w:sz w:val="24"/>
          <w:szCs w:val="24"/>
        </w:rPr>
        <w:t>standard therapy as a single agent or in combination.</w:t>
      </w:r>
    </w:p>
    <w:p w:rsidR="00EF6A76" w:rsidRPr="00032BCA" w:rsidRDefault="00EF6A76" w:rsidP="003F3B46">
      <w:pPr>
        <w:spacing w:after="0"/>
        <w:rPr>
          <w:rFonts w:ascii="Arial" w:hAnsi="Arial" w:cs="Arial"/>
          <w:sz w:val="24"/>
          <w:szCs w:val="24"/>
        </w:rPr>
      </w:pPr>
    </w:p>
    <w:p w:rsidR="00EF6A76" w:rsidRPr="000C5447" w:rsidRDefault="00EF6A76" w:rsidP="003F3B46">
      <w:pPr>
        <w:spacing w:after="0"/>
        <w:rPr>
          <w:rFonts w:ascii="Arial" w:hAnsi="Arial" w:cs="Arial"/>
          <w:b/>
          <w:sz w:val="24"/>
          <w:szCs w:val="24"/>
        </w:rPr>
      </w:pPr>
      <w:r w:rsidRPr="000C5447">
        <w:rPr>
          <w:rFonts w:ascii="Arial" w:hAnsi="Arial" w:cs="Arial"/>
          <w:b/>
          <w:sz w:val="24"/>
          <w:szCs w:val="24"/>
        </w:rPr>
        <w:t>CONTRAINDICATIONS</w:t>
      </w:r>
    </w:p>
    <w:p w:rsidR="00EF6A76" w:rsidRDefault="00EF6A76" w:rsidP="003F3B46">
      <w:pPr>
        <w:spacing w:after="0"/>
        <w:rPr>
          <w:rFonts w:ascii="Arial" w:hAnsi="Arial" w:cs="Arial"/>
          <w:sz w:val="24"/>
          <w:szCs w:val="24"/>
        </w:rPr>
      </w:pPr>
    </w:p>
    <w:p w:rsidR="00EF6A76" w:rsidRDefault="00EF6A76" w:rsidP="004A6A7F">
      <w:pPr>
        <w:numPr>
          <w:ilvl w:val="0"/>
          <w:numId w:val="9"/>
        </w:numPr>
        <w:spacing w:after="0"/>
        <w:rPr>
          <w:rFonts w:ascii="Arial" w:hAnsi="Arial" w:cs="Arial"/>
          <w:sz w:val="24"/>
          <w:szCs w:val="24"/>
        </w:rPr>
      </w:pPr>
      <w:r w:rsidRPr="00BE18B0">
        <w:rPr>
          <w:rFonts w:ascii="Arial" w:hAnsi="Arial" w:cs="Arial"/>
          <w:sz w:val="24"/>
          <w:szCs w:val="24"/>
        </w:rPr>
        <w:t xml:space="preserve">Known hypersensitivity to </w:t>
      </w:r>
      <w:proofErr w:type="spellStart"/>
      <w:r w:rsidRPr="00BE18B0">
        <w:rPr>
          <w:rFonts w:ascii="Arial" w:hAnsi="Arial" w:cs="Arial"/>
          <w:sz w:val="24"/>
          <w:szCs w:val="24"/>
        </w:rPr>
        <w:t>vinorelbine</w:t>
      </w:r>
      <w:proofErr w:type="spellEnd"/>
      <w:r w:rsidRPr="00BE18B0">
        <w:rPr>
          <w:rFonts w:ascii="Arial" w:hAnsi="Arial" w:cs="Arial"/>
          <w:sz w:val="24"/>
          <w:szCs w:val="24"/>
        </w:rPr>
        <w:t xml:space="preserve"> or other </w:t>
      </w:r>
      <w:proofErr w:type="spellStart"/>
      <w:r w:rsidRPr="00BE18B0">
        <w:rPr>
          <w:rFonts w:ascii="Arial" w:hAnsi="Arial" w:cs="Arial"/>
          <w:sz w:val="24"/>
          <w:szCs w:val="24"/>
        </w:rPr>
        <w:t>vinca</w:t>
      </w:r>
      <w:proofErr w:type="spellEnd"/>
      <w:r w:rsidRPr="00BE18B0">
        <w:rPr>
          <w:rFonts w:ascii="Arial" w:hAnsi="Arial" w:cs="Arial"/>
          <w:sz w:val="24"/>
          <w:szCs w:val="24"/>
        </w:rPr>
        <w:t xml:space="preserve"> alkaloids </w:t>
      </w:r>
    </w:p>
    <w:p w:rsidR="00EF6A76" w:rsidRPr="00BE18B0" w:rsidRDefault="00EF6A76" w:rsidP="004A6A7F">
      <w:pPr>
        <w:numPr>
          <w:ilvl w:val="0"/>
          <w:numId w:val="9"/>
        </w:numPr>
        <w:spacing w:after="0"/>
        <w:rPr>
          <w:rFonts w:ascii="Arial" w:hAnsi="Arial" w:cs="Arial"/>
          <w:sz w:val="24"/>
          <w:szCs w:val="24"/>
        </w:rPr>
      </w:pPr>
      <w:r w:rsidRPr="00BE18B0">
        <w:rPr>
          <w:rFonts w:ascii="Arial" w:hAnsi="Arial" w:cs="Arial"/>
          <w:sz w:val="24"/>
          <w:szCs w:val="24"/>
        </w:rPr>
        <w:t>Disease significantly affecting absorption.</w:t>
      </w:r>
    </w:p>
    <w:p w:rsidR="00EF6A76" w:rsidRDefault="00EF6A76" w:rsidP="004A6A7F">
      <w:pPr>
        <w:numPr>
          <w:ilvl w:val="0"/>
          <w:numId w:val="9"/>
        </w:numPr>
        <w:spacing w:after="0"/>
        <w:rPr>
          <w:rFonts w:ascii="Arial" w:hAnsi="Arial" w:cs="Arial"/>
          <w:sz w:val="24"/>
          <w:szCs w:val="24"/>
        </w:rPr>
      </w:pPr>
      <w:r>
        <w:rPr>
          <w:rFonts w:ascii="Arial" w:hAnsi="Arial" w:cs="Arial"/>
          <w:sz w:val="24"/>
          <w:szCs w:val="24"/>
        </w:rPr>
        <w:t>Previous significant surgical resection of stomach or small bowel.</w:t>
      </w:r>
    </w:p>
    <w:p w:rsidR="00EF6A76" w:rsidRDefault="00EF6A76" w:rsidP="004A6A7F">
      <w:pPr>
        <w:numPr>
          <w:ilvl w:val="0"/>
          <w:numId w:val="9"/>
        </w:numPr>
        <w:spacing w:after="0"/>
        <w:rPr>
          <w:rFonts w:ascii="Arial" w:hAnsi="Arial" w:cs="Arial"/>
          <w:sz w:val="24"/>
          <w:szCs w:val="24"/>
        </w:rPr>
      </w:pPr>
      <w:proofErr w:type="spellStart"/>
      <w:r>
        <w:rPr>
          <w:rFonts w:ascii="Arial" w:hAnsi="Arial" w:cs="Arial"/>
          <w:sz w:val="24"/>
          <w:szCs w:val="24"/>
        </w:rPr>
        <w:t>Neutrophil</w:t>
      </w:r>
      <w:proofErr w:type="spellEnd"/>
      <w:r>
        <w:rPr>
          <w:rFonts w:ascii="Arial" w:hAnsi="Arial" w:cs="Arial"/>
          <w:sz w:val="24"/>
          <w:szCs w:val="24"/>
        </w:rPr>
        <w:t xml:space="preserve"> counts &lt; 1500 cells/mm</w:t>
      </w:r>
      <w:r w:rsidRPr="00035DDE">
        <w:rPr>
          <w:rFonts w:ascii="Arial" w:hAnsi="Arial" w:cs="Arial"/>
          <w:sz w:val="24"/>
          <w:szCs w:val="24"/>
          <w:vertAlign w:val="superscript"/>
        </w:rPr>
        <w:t>3</w:t>
      </w:r>
      <w:r>
        <w:rPr>
          <w:rFonts w:ascii="Arial" w:hAnsi="Arial" w:cs="Arial"/>
          <w:sz w:val="24"/>
          <w:szCs w:val="24"/>
        </w:rPr>
        <w:t xml:space="preserve">, or current or recent severe infection due to </w:t>
      </w:r>
      <w:proofErr w:type="spellStart"/>
      <w:r>
        <w:rPr>
          <w:rFonts w:ascii="Arial" w:hAnsi="Arial" w:cs="Arial"/>
          <w:sz w:val="24"/>
          <w:szCs w:val="24"/>
        </w:rPr>
        <w:t>neutropenia</w:t>
      </w:r>
      <w:proofErr w:type="spellEnd"/>
      <w:r>
        <w:rPr>
          <w:rFonts w:ascii="Arial" w:hAnsi="Arial" w:cs="Arial"/>
          <w:sz w:val="24"/>
          <w:szCs w:val="24"/>
        </w:rPr>
        <w:t xml:space="preserve"> (within 2 weeks).</w:t>
      </w:r>
    </w:p>
    <w:p w:rsidR="00EF6A76" w:rsidRDefault="00EF6A76" w:rsidP="004A6A7F">
      <w:pPr>
        <w:numPr>
          <w:ilvl w:val="0"/>
          <w:numId w:val="9"/>
        </w:numPr>
        <w:spacing w:after="0"/>
        <w:rPr>
          <w:rFonts w:ascii="Arial" w:hAnsi="Arial" w:cs="Arial"/>
          <w:sz w:val="24"/>
          <w:szCs w:val="24"/>
        </w:rPr>
      </w:pPr>
      <w:r>
        <w:rPr>
          <w:rFonts w:ascii="Arial" w:hAnsi="Arial" w:cs="Arial"/>
          <w:sz w:val="24"/>
          <w:szCs w:val="24"/>
        </w:rPr>
        <w:t>Pregnancy.</w:t>
      </w:r>
    </w:p>
    <w:p w:rsidR="00EF6A76" w:rsidRDefault="00EF6A76" w:rsidP="004A6A7F">
      <w:pPr>
        <w:numPr>
          <w:ilvl w:val="0"/>
          <w:numId w:val="9"/>
        </w:numPr>
        <w:spacing w:after="0"/>
        <w:rPr>
          <w:rFonts w:ascii="Arial" w:hAnsi="Arial" w:cs="Arial"/>
          <w:sz w:val="24"/>
          <w:szCs w:val="24"/>
        </w:rPr>
      </w:pPr>
      <w:r>
        <w:rPr>
          <w:rFonts w:ascii="Arial" w:hAnsi="Arial" w:cs="Arial"/>
          <w:sz w:val="24"/>
          <w:szCs w:val="24"/>
        </w:rPr>
        <w:t>Lactation</w:t>
      </w:r>
    </w:p>
    <w:p w:rsidR="00EF6A76" w:rsidRDefault="00EF6A76" w:rsidP="004A6A7F">
      <w:pPr>
        <w:numPr>
          <w:ilvl w:val="0"/>
          <w:numId w:val="9"/>
        </w:numPr>
        <w:spacing w:after="0"/>
        <w:rPr>
          <w:rFonts w:ascii="Arial" w:hAnsi="Arial" w:cs="Arial"/>
          <w:sz w:val="24"/>
          <w:szCs w:val="24"/>
        </w:rPr>
      </w:pPr>
      <w:r>
        <w:rPr>
          <w:rFonts w:ascii="Arial" w:hAnsi="Arial" w:cs="Arial"/>
          <w:sz w:val="24"/>
          <w:szCs w:val="24"/>
        </w:rPr>
        <w:t>Patients requiring long-term oxygen therapy.</w:t>
      </w:r>
    </w:p>
    <w:p w:rsidR="00EF6A76" w:rsidRDefault="00EF6A76" w:rsidP="004A6A7F">
      <w:pPr>
        <w:numPr>
          <w:ilvl w:val="0"/>
          <w:numId w:val="9"/>
        </w:numPr>
        <w:spacing w:after="0"/>
        <w:rPr>
          <w:rFonts w:ascii="Arial" w:hAnsi="Arial" w:cs="Arial"/>
          <w:sz w:val="24"/>
          <w:szCs w:val="24"/>
        </w:rPr>
      </w:pPr>
      <w:r>
        <w:rPr>
          <w:rFonts w:ascii="Arial" w:hAnsi="Arial" w:cs="Arial"/>
          <w:sz w:val="24"/>
          <w:szCs w:val="24"/>
        </w:rPr>
        <w:t>Severe hepatic insufficiency.</w:t>
      </w:r>
    </w:p>
    <w:p w:rsidR="00EF6A76" w:rsidRDefault="00EF6A76" w:rsidP="006602F3">
      <w:pPr>
        <w:spacing w:after="0"/>
        <w:rPr>
          <w:rFonts w:ascii="Arial" w:hAnsi="Arial" w:cs="Arial"/>
          <w:sz w:val="24"/>
          <w:szCs w:val="24"/>
        </w:rPr>
      </w:pPr>
    </w:p>
    <w:p w:rsidR="00EF6A76" w:rsidRPr="004749B8" w:rsidRDefault="00EF6A76" w:rsidP="003F3B46">
      <w:pPr>
        <w:spacing w:after="0"/>
        <w:rPr>
          <w:rFonts w:ascii="Arial" w:hAnsi="Arial" w:cs="Arial"/>
          <w:b/>
          <w:sz w:val="24"/>
          <w:szCs w:val="24"/>
        </w:rPr>
      </w:pPr>
      <w:r w:rsidRPr="004749B8">
        <w:rPr>
          <w:rFonts w:ascii="Arial" w:hAnsi="Arial" w:cs="Arial"/>
          <w:b/>
          <w:sz w:val="24"/>
          <w:szCs w:val="24"/>
        </w:rPr>
        <w:t>PRECAUTIONS</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b/>
          <w:sz w:val="24"/>
          <w:szCs w:val="24"/>
        </w:rPr>
      </w:pPr>
      <w:r>
        <w:rPr>
          <w:rFonts w:ascii="Arial" w:hAnsi="Arial" w:cs="Arial"/>
          <w:b/>
          <w:sz w:val="24"/>
          <w:szCs w:val="24"/>
        </w:rPr>
        <w:t>Administration</w:t>
      </w:r>
    </w:p>
    <w:p w:rsidR="00EF6A76" w:rsidRPr="00286A88" w:rsidRDefault="00EF6A76" w:rsidP="00286A88">
      <w:pPr>
        <w:spacing w:after="0"/>
        <w:rPr>
          <w:rFonts w:ascii="Arial" w:hAnsi="Arial" w:cs="Arial"/>
          <w:b/>
          <w:sz w:val="24"/>
          <w:szCs w:val="24"/>
        </w:rPr>
      </w:pPr>
    </w:p>
    <w:p w:rsidR="00EF6A76" w:rsidRDefault="00EF6A76" w:rsidP="00286A88">
      <w:pPr>
        <w:spacing w:after="0"/>
        <w:rPr>
          <w:rFonts w:ascii="Arial" w:hAnsi="Arial" w:cs="Arial"/>
          <w:sz w:val="24"/>
          <w:szCs w:val="24"/>
        </w:rPr>
      </w:pPr>
      <w:r w:rsidRPr="0020163F">
        <w:rPr>
          <w:rFonts w:ascii="Arial" w:hAnsi="Arial" w:cs="Arial"/>
          <w:sz w:val="24"/>
          <w:szCs w:val="24"/>
        </w:rPr>
        <w:t>NAVELBINE</w:t>
      </w:r>
      <w:r w:rsidRPr="0020163F">
        <w:rPr>
          <w:rFonts w:ascii="Arial" w:hAnsi="Arial" w:cs="Arial"/>
          <w:sz w:val="24"/>
          <w:szCs w:val="24"/>
          <w:vertAlign w:val="superscript"/>
        </w:rPr>
        <w:t>®</w:t>
      </w:r>
      <w:r w:rsidRPr="0020163F">
        <w:rPr>
          <w:rFonts w:ascii="Arial" w:hAnsi="Arial" w:cs="Arial"/>
          <w:sz w:val="24"/>
          <w:szCs w:val="24"/>
        </w:rPr>
        <w:t xml:space="preserve"> Oral</w:t>
      </w:r>
      <w:r>
        <w:rPr>
          <w:rFonts w:ascii="Arial" w:hAnsi="Arial" w:cs="Arial"/>
          <w:sz w:val="24"/>
          <w:szCs w:val="24"/>
        </w:rPr>
        <w:t xml:space="preserve"> should be administered under the supervision of a physician experienced in the use of cancer chemotherapeutic agents.  If the patient chews or </w:t>
      </w:r>
      <w:r>
        <w:rPr>
          <w:rFonts w:ascii="Arial" w:hAnsi="Arial" w:cs="Arial"/>
          <w:sz w:val="24"/>
          <w:szCs w:val="24"/>
        </w:rPr>
        <w:lastRenderedPageBreak/>
        <w:t>sucks the capsule by mistake, rinse mouth with water or preferably a normal saline solution.</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Pr>
          <w:rFonts w:ascii="Arial" w:hAnsi="Arial" w:cs="Arial"/>
          <w:sz w:val="24"/>
          <w:szCs w:val="24"/>
        </w:rPr>
        <w:t>In the event of the capsule being cut or damaged, the liquid content is an irritant, and so may cause damage if in contact with skin, mucosa or eyes.  Damaged capsules should not be swallowed and should be returned to the pharmacy or to the physician in order to be properly destroyed.  If any contact occurs, immediate thorough washing with water or preferably with normal saline solution should be undertaken.</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Pr>
          <w:rFonts w:ascii="Arial" w:hAnsi="Arial" w:cs="Arial"/>
          <w:sz w:val="24"/>
          <w:szCs w:val="24"/>
        </w:rPr>
        <w:t xml:space="preserve">If vomiting occurs within a few hours of drug intake, administration of the dose should not be repeated.  Prophylactic treatment with </w:t>
      </w:r>
      <w:proofErr w:type="spellStart"/>
      <w:r>
        <w:rPr>
          <w:rFonts w:ascii="Arial" w:hAnsi="Arial" w:cs="Arial"/>
          <w:sz w:val="24"/>
          <w:szCs w:val="24"/>
        </w:rPr>
        <w:t>metoclopramide</w:t>
      </w:r>
      <w:proofErr w:type="spellEnd"/>
      <w:r>
        <w:rPr>
          <w:rFonts w:ascii="Arial" w:hAnsi="Arial" w:cs="Arial"/>
          <w:sz w:val="24"/>
          <w:szCs w:val="24"/>
        </w:rPr>
        <w:t xml:space="preserve"> </w:t>
      </w:r>
      <w:r w:rsidRPr="0042681F">
        <w:rPr>
          <w:rFonts w:ascii="Arial" w:hAnsi="Arial" w:cs="Arial"/>
          <w:sz w:val="24"/>
          <w:szCs w:val="24"/>
        </w:rPr>
        <w:t xml:space="preserve">or </w:t>
      </w:r>
      <w:r w:rsidRPr="000C0721">
        <w:rPr>
          <w:rFonts w:ascii="Arial" w:hAnsi="Arial" w:cs="Arial"/>
          <w:sz w:val="24"/>
          <w:szCs w:val="24"/>
        </w:rPr>
        <w:t xml:space="preserve">oral </w:t>
      </w:r>
      <w:proofErr w:type="spellStart"/>
      <w:r w:rsidRPr="000C0721">
        <w:rPr>
          <w:rFonts w:ascii="Arial" w:hAnsi="Arial" w:cs="Arial"/>
          <w:sz w:val="24"/>
          <w:szCs w:val="24"/>
        </w:rPr>
        <w:t>antiemetics</w:t>
      </w:r>
      <w:proofErr w:type="spellEnd"/>
      <w:r>
        <w:rPr>
          <w:rFonts w:ascii="Arial" w:hAnsi="Arial" w:cs="Arial"/>
          <w:sz w:val="24"/>
          <w:szCs w:val="24"/>
        </w:rPr>
        <w:t xml:space="preserve"> may reduce the incidence.  It is recommended that the capsule be taken with food.</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b/>
          <w:sz w:val="24"/>
          <w:szCs w:val="24"/>
        </w:rPr>
      </w:pPr>
      <w:proofErr w:type="spellStart"/>
      <w:r w:rsidRPr="00334A9D">
        <w:rPr>
          <w:rFonts w:ascii="Arial" w:hAnsi="Arial" w:cs="Arial"/>
          <w:b/>
          <w:sz w:val="24"/>
          <w:szCs w:val="24"/>
        </w:rPr>
        <w:t>Myelosuppresion</w:t>
      </w:r>
      <w:proofErr w:type="spellEnd"/>
    </w:p>
    <w:p w:rsidR="00EF6A76" w:rsidRPr="00334A9D" w:rsidRDefault="00EF6A76" w:rsidP="00286A88">
      <w:pPr>
        <w:spacing w:after="0"/>
        <w:rPr>
          <w:rFonts w:ascii="Arial" w:hAnsi="Arial" w:cs="Arial"/>
          <w:b/>
          <w:sz w:val="24"/>
          <w:szCs w:val="24"/>
        </w:rPr>
      </w:pPr>
    </w:p>
    <w:p w:rsidR="00EF6A76" w:rsidRDefault="00EF6A76" w:rsidP="00286A88">
      <w:pPr>
        <w:spacing w:after="0"/>
        <w:rPr>
          <w:rFonts w:ascii="Arial" w:hAnsi="Arial" w:cs="Arial"/>
          <w:sz w:val="24"/>
          <w:szCs w:val="24"/>
        </w:rPr>
      </w:pPr>
      <w:proofErr w:type="spellStart"/>
      <w:r>
        <w:rPr>
          <w:rFonts w:ascii="Arial" w:hAnsi="Arial" w:cs="Arial"/>
          <w:sz w:val="24"/>
          <w:szCs w:val="24"/>
        </w:rPr>
        <w:t>Neutropenia</w:t>
      </w:r>
      <w:proofErr w:type="spellEnd"/>
      <w:r>
        <w:rPr>
          <w:rFonts w:ascii="Arial" w:hAnsi="Arial" w:cs="Arial"/>
          <w:sz w:val="24"/>
          <w:szCs w:val="24"/>
        </w:rPr>
        <w:t xml:space="preserve"> is dose-limiting.  Complete blood counts with differentials should be performed and results reviewed prior to administering each dose of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  Patients treated with</w:t>
      </w:r>
      <w:r>
        <w:rPr>
          <w:rFonts w:ascii="Arial" w:hAnsi="Arial" w:cs="Arial"/>
          <w:sz w:val="24"/>
          <w:szCs w:val="24"/>
        </w:rPr>
        <w:t xml:space="preserve">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should be frequently monitored for </w:t>
      </w:r>
      <w:proofErr w:type="spellStart"/>
      <w:r>
        <w:rPr>
          <w:rFonts w:ascii="Arial" w:hAnsi="Arial" w:cs="Arial"/>
          <w:sz w:val="24"/>
          <w:szCs w:val="24"/>
        </w:rPr>
        <w:t>myelosuppresion</w:t>
      </w:r>
      <w:proofErr w:type="spellEnd"/>
      <w:r>
        <w:rPr>
          <w:rFonts w:ascii="Arial" w:hAnsi="Arial" w:cs="Arial"/>
          <w:sz w:val="24"/>
          <w:szCs w:val="24"/>
        </w:rPr>
        <w:t xml:space="preserve"> both during and after therapy.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should not be administered to patients with </w:t>
      </w:r>
      <w:proofErr w:type="spellStart"/>
      <w:r>
        <w:rPr>
          <w:rFonts w:ascii="Arial" w:hAnsi="Arial" w:cs="Arial"/>
          <w:sz w:val="24"/>
          <w:szCs w:val="24"/>
        </w:rPr>
        <w:t>neutrophil</w:t>
      </w:r>
      <w:proofErr w:type="spellEnd"/>
      <w:r>
        <w:rPr>
          <w:rFonts w:ascii="Arial" w:hAnsi="Arial" w:cs="Arial"/>
          <w:sz w:val="24"/>
          <w:szCs w:val="24"/>
        </w:rPr>
        <w:t xml:space="preserve"> counts &lt; 1500 cells/mm</w:t>
      </w:r>
      <w:r w:rsidRPr="00334A9D">
        <w:rPr>
          <w:rFonts w:ascii="Arial" w:hAnsi="Arial" w:cs="Arial"/>
          <w:sz w:val="24"/>
          <w:szCs w:val="24"/>
          <w:vertAlign w:val="superscript"/>
        </w:rPr>
        <w:t>3</w:t>
      </w:r>
      <w:r>
        <w:rPr>
          <w:rFonts w:ascii="Arial" w:hAnsi="Arial" w:cs="Arial"/>
          <w:sz w:val="24"/>
          <w:szCs w:val="24"/>
        </w:rPr>
        <w:t xml:space="preserve">.  Patients developing severe </w:t>
      </w:r>
      <w:proofErr w:type="spellStart"/>
      <w:r w:rsidRPr="00334A9D">
        <w:rPr>
          <w:rFonts w:ascii="Arial" w:hAnsi="Arial" w:cs="Arial"/>
          <w:sz w:val="24"/>
          <w:szCs w:val="24"/>
        </w:rPr>
        <w:t>neutropenia</w:t>
      </w:r>
      <w:proofErr w:type="spellEnd"/>
      <w:r w:rsidRPr="00334A9D">
        <w:rPr>
          <w:rFonts w:ascii="Arial" w:hAnsi="Arial" w:cs="Arial"/>
          <w:sz w:val="24"/>
          <w:szCs w:val="24"/>
        </w:rPr>
        <w:t xml:space="preserve"> should be mon</w:t>
      </w:r>
      <w:r>
        <w:rPr>
          <w:rFonts w:ascii="Arial" w:hAnsi="Arial" w:cs="Arial"/>
          <w:sz w:val="24"/>
          <w:szCs w:val="24"/>
        </w:rPr>
        <w:t xml:space="preserve">itored carefully for evidence of infection and/or fever.  If patients present signs or symptoms suggestive of infection, a prompt investigation should be carried out (see DOSAGE AND ADMINISTRATION for recommended dose adjustments for </w:t>
      </w:r>
      <w:proofErr w:type="spellStart"/>
      <w:r>
        <w:rPr>
          <w:rFonts w:ascii="Arial" w:hAnsi="Arial" w:cs="Arial"/>
          <w:sz w:val="24"/>
          <w:szCs w:val="24"/>
        </w:rPr>
        <w:t>neutropenia</w:t>
      </w:r>
      <w:proofErr w:type="spellEnd"/>
      <w:r>
        <w:rPr>
          <w:rFonts w:ascii="Arial" w:hAnsi="Arial" w:cs="Arial"/>
          <w:sz w:val="24"/>
          <w:szCs w:val="24"/>
        </w:rPr>
        <w:t>).</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should be used with extreme caution in patients whose bone marrow reserve may have been compromised by prior irradiation or chemotherapy, or whose marrow function is recovering from the effects of previous chemotherapy (see DOSAGE AND ADMINISTRATION).</w:t>
      </w:r>
    </w:p>
    <w:p w:rsidR="00EF6A76" w:rsidRDefault="00EF6A76" w:rsidP="00286A88">
      <w:pPr>
        <w:spacing w:after="0"/>
        <w:rPr>
          <w:rFonts w:ascii="Arial" w:hAnsi="Arial" w:cs="Arial"/>
          <w:sz w:val="24"/>
          <w:szCs w:val="24"/>
        </w:rPr>
      </w:pPr>
    </w:p>
    <w:p w:rsidR="00EF6A76" w:rsidRDefault="00EF6A76" w:rsidP="003B0FB8">
      <w:pPr>
        <w:spacing w:after="0"/>
        <w:rPr>
          <w:rFonts w:ascii="Arial" w:hAnsi="Arial" w:cs="Arial"/>
          <w:sz w:val="24"/>
          <w:szCs w:val="24"/>
        </w:rPr>
      </w:pPr>
      <w:r>
        <w:rPr>
          <w:rFonts w:ascii="Arial" w:hAnsi="Arial" w:cs="Arial"/>
          <w:sz w:val="24"/>
          <w:szCs w:val="24"/>
        </w:rPr>
        <w:t>During clinical trials, where treatment was initiated at a weekly dose of 80 mg/m</w:t>
      </w:r>
      <w:r w:rsidRPr="003B0FB8">
        <w:rPr>
          <w:rFonts w:ascii="Arial" w:hAnsi="Arial" w:cs="Arial"/>
          <w:sz w:val="24"/>
          <w:szCs w:val="24"/>
          <w:vertAlign w:val="superscript"/>
        </w:rPr>
        <w:t>2</w:t>
      </w:r>
      <w:r>
        <w:rPr>
          <w:rFonts w:ascii="Arial" w:hAnsi="Arial" w:cs="Arial"/>
          <w:sz w:val="24"/>
          <w:szCs w:val="24"/>
        </w:rPr>
        <w:t xml:space="preserve"> (corresponding to an IV dose of 30 mg/m</w:t>
      </w:r>
      <w:r w:rsidRPr="003B0FB8">
        <w:rPr>
          <w:rFonts w:ascii="Arial" w:hAnsi="Arial" w:cs="Arial"/>
          <w:sz w:val="24"/>
          <w:szCs w:val="24"/>
          <w:vertAlign w:val="superscript"/>
        </w:rPr>
        <w:t>2</w:t>
      </w:r>
      <w:r>
        <w:rPr>
          <w:rFonts w:ascii="Arial" w:hAnsi="Arial" w:cs="Arial"/>
          <w:sz w:val="24"/>
          <w:szCs w:val="24"/>
        </w:rPr>
        <w:t xml:space="preserve"> in terms of systemic exposure), febrile </w:t>
      </w:r>
      <w:proofErr w:type="spellStart"/>
      <w:r>
        <w:rPr>
          <w:rFonts w:ascii="Arial" w:hAnsi="Arial" w:cs="Arial"/>
          <w:sz w:val="24"/>
          <w:szCs w:val="24"/>
        </w:rPr>
        <w:t>neutropenia</w:t>
      </w:r>
      <w:proofErr w:type="spellEnd"/>
      <w:r>
        <w:rPr>
          <w:rFonts w:ascii="Arial" w:hAnsi="Arial" w:cs="Arial"/>
          <w:sz w:val="24"/>
          <w:szCs w:val="24"/>
        </w:rPr>
        <w:t xml:space="preserve">, in some cases fatal, was encountered in about 15% of patients.  Therefore, it is </w:t>
      </w:r>
      <w:r w:rsidRPr="00032BCA">
        <w:rPr>
          <w:rFonts w:ascii="Arial" w:hAnsi="Arial" w:cs="Arial"/>
          <w:sz w:val="24"/>
          <w:szCs w:val="24"/>
        </w:rPr>
        <w:t>recommended</w:t>
      </w:r>
      <w:r>
        <w:rPr>
          <w:rFonts w:ascii="Arial" w:hAnsi="Arial" w:cs="Arial"/>
          <w:sz w:val="24"/>
          <w:szCs w:val="24"/>
        </w:rPr>
        <w:t xml:space="preserve"> that the starting dose should be 60 mg/m</w:t>
      </w:r>
      <w:r w:rsidRPr="003B0FB8">
        <w:rPr>
          <w:rFonts w:ascii="Arial" w:hAnsi="Arial" w:cs="Arial"/>
          <w:sz w:val="24"/>
          <w:szCs w:val="24"/>
          <w:vertAlign w:val="superscript"/>
        </w:rPr>
        <w:t>2</w:t>
      </w:r>
      <w:r>
        <w:rPr>
          <w:rFonts w:ascii="Arial" w:hAnsi="Arial" w:cs="Arial"/>
          <w:sz w:val="24"/>
          <w:szCs w:val="24"/>
        </w:rPr>
        <w:t xml:space="preserve"> and increased to 80 mg/m</w:t>
      </w:r>
      <w:r w:rsidRPr="003B0FB8">
        <w:rPr>
          <w:rFonts w:ascii="Arial" w:hAnsi="Arial" w:cs="Arial"/>
          <w:sz w:val="24"/>
          <w:szCs w:val="24"/>
          <w:vertAlign w:val="superscript"/>
        </w:rPr>
        <w:t>2</w:t>
      </w:r>
      <w:r>
        <w:rPr>
          <w:rFonts w:ascii="Arial" w:hAnsi="Arial" w:cs="Arial"/>
          <w:sz w:val="24"/>
          <w:szCs w:val="24"/>
        </w:rPr>
        <w:t xml:space="preserve"> only if the dose is tolerated (see DOSAGE AND ADMINISTRATION).</w:t>
      </w:r>
    </w:p>
    <w:p w:rsidR="00EF6A76" w:rsidRPr="00334A9D" w:rsidRDefault="00EF6A76" w:rsidP="00286A88">
      <w:pPr>
        <w:spacing w:after="0"/>
        <w:rPr>
          <w:rFonts w:ascii="Arial" w:hAnsi="Arial" w:cs="Arial"/>
          <w:sz w:val="24"/>
          <w:szCs w:val="24"/>
        </w:rPr>
      </w:pPr>
    </w:p>
    <w:p w:rsidR="00EF6A76" w:rsidRDefault="00EF6A76" w:rsidP="00286A88">
      <w:pPr>
        <w:spacing w:after="0"/>
        <w:rPr>
          <w:rFonts w:ascii="Arial" w:hAnsi="Arial" w:cs="Arial"/>
          <w:b/>
          <w:sz w:val="24"/>
          <w:szCs w:val="24"/>
        </w:rPr>
      </w:pPr>
      <w:r>
        <w:rPr>
          <w:rFonts w:ascii="Arial" w:hAnsi="Arial" w:cs="Arial"/>
          <w:b/>
          <w:sz w:val="24"/>
          <w:szCs w:val="24"/>
        </w:rPr>
        <w:t>Laboratory tests</w:t>
      </w:r>
    </w:p>
    <w:p w:rsidR="00EF6A76" w:rsidRPr="00505ACB" w:rsidRDefault="00EF6A76" w:rsidP="00286A88">
      <w:pPr>
        <w:spacing w:after="0"/>
        <w:rPr>
          <w:rFonts w:ascii="Arial" w:hAnsi="Arial" w:cs="Arial"/>
          <w:b/>
          <w:sz w:val="24"/>
          <w:szCs w:val="24"/>
        </w:rPr>
      </w:pPr>
    </w:p>
    <w:p w:rsidR="00EF6A76" w:rsidRDefault="00EF6A76" w:rsidP="00286A88">
      <w:pPr>
        <w:spacing w:after="0"/>
        <w:rPr>
          <w:rFonts w:ascii="Arial" w:hAnsi="Arial" w:cs="Arial"/>
          <w:sz w:val="24"/>
          <w:szCs w:val="24"/>
        </w:rPr>
      </w:pPr>
      <w:r>
        <w:rPr>
          <w:rFonts w:ascii="Arial" w:hAnsi="Arial" w:cs="Arial"/>
          <w:sz w:val="24"/>
          <w:szCs w:val="24"/>
        </w:rPr>
        <w:t xml:space="preserve">Since dose-limiting clinical toxicity is the result of depression of the white blood cell count, it is imperative that complete blood counts with differentials be obtained and </w:t>
      </w:r>
      <w:r>
        <w:rPr>
          <w:rFonts w:ascii="Arial" w:hAnsi="Arial" w:cs="Arial"/>
          <w:sz w:val="24"/>
          <w:szCs w:val="24"/>
        </w:rPr>
        <w:lastRenderedPageBreak/>
        <w:t xml:space="preserve">reviewed on the day of treatment prior to each dose of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If the </w:t>
      </w:r>
      <w:proofErr w:type="spellStart"/>
      <w:r>
        <w:rPr>
          <w:rFonts w:ascii="Arial" w:hAnsi="Arial" w:cs="Arial"/>
          <w:sz w:val="24"/>
          <w:szCs w:val="24"/>
        </w:rPr>
        <w:t>neutrophil</w:t>
      </w:r>
      <w:proofErr w:type="spellEnd"/>
      <w:r>
        <w:rPr>
          <w:rFonts w:ascii="Arial" w:hAnsi="Arial" w:cs="Arial"/>
          <w:sz w:val="24"/>
          <w:szCs w:val="24"/>
        </w:rPr>
        <w:t xml:space="preserve"> count is below 1500/mm</w:t>
      </w:r>
      <w:r w:rsidRPr="00206361">
        <w:rPr>
          <w:rFonts w:ascii="Arial" w:hAnsi="Arial" w:cs="Arial"/>
          <w:sz w:val="24"/>
          <w:szCs w:val="24"/>
          <w:vertAlign w:val="superscript"/>
        </w:rPr>
        <w:t>3</w:t>
      </w:r>
      <w:r>
        <w:rPr>
          <w:rFonts w:ascii="Arial" w:hAnsi="Arial" w:cs="Arial"/>
          <w:sz w:val="24"/>
          <w:szCs w:val="24"/>
        </w:rPr>
        <w:t xml:space="preserve"> and/or the platelet count is </w:t>
      </w:r>
      <w:r w:rsidRPr="00E23F29">
        <w:rPr>
          <w:rFonts w:ascii="Arial" w:hAnsi="Arial" w:cs="Arial"/>
          <w:sz w:val="24"/>
          <w:szCs w:val="24"/>
        </w:rPr>
        <w:t>between 75,000 and</w:t>
      </w:r>
      <w:r w:rsidRPr="00206361">
        <w:rPr>
          <w:rFonts w:ascii="Arial" w:hAnsi="Arial" w:cs="Arial"/>
          <w:strike/>
          <w:color w:val="0033CC"/>
          <w:sz w:val="24"/>
          <w:szCs w:val="24"/>
        </w:rPr>
        <w:t xml:space="preserve"> </w:t>
      </w:r>
      <w:r w:rsidRPr="00E23F29">
        <w:rPr>
          <w:rFonts w:ascii="Arial" w:hAnsi="Arial" w:cs="Arial"/>
          <w:sz w:val="24"/>
          <w:szCs w:val="24"/>
        </w:rPr>
        <w:t xml:space="preserve">below </w:t>
      </w:r>
      <w:r>
        <w:rPr>
          <w:rFonts w:ascii="Arial" w:hAnsi="Arial" w:cs="Arial"/>
          <w:sz w:val="24"/>
          <w:szCs w:val="24"/>
        </w:rPr>
        <w:t>100,000/mm</w:t>
      </w:r>
      <w:r w:rsidRPr="00206361">
        <w:rPr>
          <w:rFonts w:ascii="Arial" w:hAnsi="Arial" w:cs="Arial"/>
          <w:sz w:val="24"/>
          <w:szCs w:val="24"/>
          <w:vertAlign w:val="superscript"/>
        </w:rPr>
        <w:t>3</w:t>
      </w:r>
      <w:r>
        <w:rPr>
          <w:rFonts w:ascii="Arial" w:hAnsi="Arial" w:cs="Arial"/>
          <w:sz w:val="24"/>
          <w:szCs w:val="24"/>
        </w:rPr>
        <w:t>, then treatment should be delayed until recovery.</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b/>
          <w:sz w:val="24"/>
          <w:szCs w:val="24"/>
        </w:rPr>
      </w:pPr>
      <w:r>
        <w:rPr>
          <w:rFonts w:ascii="Arial" w:hAnsi="Arial" w:cs="Arial"/>
          <w:b/>
          <w:sz w:val="24"/>
          <w:szCs w:val="24"/>
        </w:rPr>
        <w:t>General</w:t>
      </w:r>
    </w:p>
    <w:p w:rsidR="00EF6A76" w:rsidRPr="00E6401E" w:rsidRDefault="00EF6A76" w:rsidP="00286A88">
      <w:pPr>
        <w:spacing w:after="0"/>
        <w:rPr>
          <w:rFonts w:ascii="Arial" w:hAnsi="Arial" w:cs="Arial"/>
          <w:b/>
          <w:sz w:val="24"/>
          <w:szCs w:val="24"/>
        </w:rPr>
      </w:pPr>
    </w:p>
    <w:p w:rsidR="00EF6A76" w:rsidRDefault="00EF6A76" w:rsidP="00286A88">
      <w:pPr>
        <w:spacing w:after="0"/>
        <w:rPr>
          <w:rFonts w:ascii="Arial" w:hAnsi="Arial" w:cs="Arial"/>
          <w:sz w:val="24"/>
          <w:szCs w:val="24"/>
        </w:rPr>
      </w:pPr>
      <w:r>
        <w:rPr>
          <w:rFonts w:ascii="Arial" w:hAnsi="Arial" w:cs="Arial"/>
          <w:sz w:val="24"/>
          <w:szCs w:val="24"/>
        </w:rPr>
        <w:t xml:space="preserve">Most drug-related adverse events of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are reversible.  If severe adverse events occur,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should be reduced </w:t>
      </w:r>
      <w:r w:rsidRPr="00E87E5B">
        <w:rPr>
          <w:rFonts w:ascii="Arial" w:hAnsi="Arial" w:cs="Arial"/>
          <w:sz w:val="24"/>
          <w:szCs w:val="24"/>
        </w:rPr>
        <w:t>in dosage</w:t>
      </w:r>
      <w:r w:rsidRPr="00E87E5B">
        <w:rPr>
          <w:rFonts w:ascii="Arial" w:hAnsi="Arial" w:cs="Arial"/>
          <w:color w:val="0033CC"/>
          <w:sz w:val="24"/>
          <w:szCs w:val="24"/>
        </w:rPr>
        <w:t xml:space="preserve"> </w:t>
      </w:r>
      <w:r w:rsidRPr="00206361">
        <w:rPr>
          <w:rFonts w:ascii="Arial" w:hAnsi="Arial" w:cs="Arial"/>
          <w:sz w:val="24"/>
          <w:szCs w:val="24"/>
        </w:rPr>
        <w:t>or discontinued</w:t>
      </w:r>
      <w:r>
        <w:rPr>
          <w:rFonts w:ascii="Arial" w:hAnsi="Arial" w:cs="Arial"/>
          <w:sz w:val="24"/>
          <w:szCs w:val="24"/>
        </w:rPr>
        <w:t xml:space="preserve"> and appropriate corrective measures taken.  Reinstitution of therapy with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should be carried out with caution and alertness as to possible recurrence of toxicity.</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Pr>
          <w:rFonts w:ascii="Arial" w:hAnsi="Arial" w:cs="Arial"/>
          <w:sz w:val="24"/>
          <w:szCs w:val="24"/>
        </w:rPr>
        <w:t xml:space="preserve">Patients presenting with </w:t>
      </w:r>
      <w:proofErr w:type="spellStart"/>
      <w:r>
        <w:rPr>
          <w:rFonts w:ascii="Arial" w:hAnsi="Arial" w:cs="Arial"/>
          <w:sz w:val="24"/>
          <w:szCs w:val="24"/>
        </w:rPr>
        <w:t>ischaemic</w:t>
      </w:r>
      <w:proofErr w:type="spellEnd"/>
      <w:r>
        <w:rPr>
          <w:rFonts w:ascii="Arial" w:hAnsi="Arial" w:cs="Arial"/>
          <w:sz w:val="24"/>
          <w:szCs w:val="24"/>
        </w:rPr>
        <w:t xml:space="preserve"> cardiac disease should be carefully monitored (see ADVERSE REACTIONS).</w:t>
      </w:r>
    </w:p>
    <w:p w:rsidR="00EF6A76" w:rsidRDefault="00EF6A76" w:rsidP="00286A88">
      <w:pPr>
        <w:spacing w:after="0"/>
        <w:rPr>
          <w:rFonts w:ascii="Arial" w:hAnsi="Arial" w:cs="Arial"/>
          <w:sz w:val="24"/>
          <w:szCs w:val="24"/>
        </w:rPr>
      </w:pPr>
    </w:p>
    <w:p w:rsidR="00EF6A76" w:rsidRPr="004045E0" w:rsidRDefault="00EF6A76" w:rsidP="00286A88">
      <w:pPr>
        <w:spacing w:after="0"/>
        <w:rPr>
          <w:rFonts w:ascii="Arial" w:hAnsi="Arial" w:cs="Arial"/>
          <w:sz w:val="24"/>
          <w:szCs w:val="24"/>
        </w:rPr>
      </w:pPr>
      <w:r>
        <w:rPr>
          <w:rFonts w:ascii="Arial" w:hAnsi="Arial" w:cs="Arial"/>
          <w:sz w:val="24"/>
          <w:szCs w:val="24"/>
        </w:rPr>
        <w:t xml:space="preserve">Acute shortness of breath and severe </w:t>
      </w:r>
      <w:proofErr w:type="spellStart"/>
      <w:r>
        <w:rPr>
          <w:rFonts w:ascii="Arial" w:hAnsi="Arial" w:cs="Arial"/>
          <w:sz w:val="24"/>
          <w:szCs w:val="24"/>
        </w:rPr>
        <w:t>bronchospasm</w:t>
      </w:r>
      <w:proofErr w:type="spellEnd"/>
      <w:r>
        <w:rPr>
          <w:rFonts w:ascii="Arial" w:hAnsi="Arial" w:cs="Arial"/>
          <w:sz w:val="24"/>
          <w:szCs w:val="24"/>
        </w:rPr>
        <w:t xml:space="preserve"> have been reported infrequently along with rare cases of interstitial </w:t>
      </w:r>
      <w:proofErr w:type="spellStart"/>
      <w:r>
        <w:rPr>
          <w:rFonts w:ascii="Arial" w:hAnsi="Arial" w:cs="Arial"/>
          <w:sz w:val="24"/>
          <w:szCs w:val="24"/>
        </w:rPr>
        <w:t>pneumopathy</w:t>
      </w:r>
      <w:proofErr w:type="spellEnd"/>
      <w:r>
        <w:rPr>
          <w:rFonts w:ascii="Arial" w:hAnsi="Arial" w:cs="Arial"/>
          <w:sz w:val="24"/>
          <w:szCs w:val="24"/>
        </w:rPr>
        <w:t xml:space="preserve"> following the administration of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w:t>
      </w:r>
      <w:r>
        <w:rPr>
          <w:rFonts w:ascii="Arial" w:hAnsi="Arial" w:cs="Arial"/>
          <w:sz w:val="24"/>
          <w:szCs w:val="24"/>
        </w:rPr>
        <w:t xml:space="preserve">and other </w:t>
      </w:r>
      <w:proofErr w:type="spellStart"/>
      <w:r>
        <w:rPr>
          <w:rFonts w:ascii="Arial" w:hAnsi="Arial" w:cs="Arial"/>
          <w:sz w:val="24"/>
          <w:szCs w:val="24"/>
        </w:rPr>
        <w:t>vinca</w:t>
      </w:r>
      <w:proofErr w:type="spellEnd"/>
      <w:r>
        <w:rPr>
          <w:rFonts w:ascii="Arial" w:hAnsi="Arial" w:cs="Arial"/>
          <w:sz w:val="24"/>
          <w:szCs w:val="24"/>
        </w:rPr>
        <w:t xml:space="preserve"> alkaloids, most commonly when the </w:t>
      </w:r>
      <w:proofErr w:type="spellStart"/>
      <w:r>
        <w:rPr>
          <w:rFonts w:ascii="Arial" w:hAnsi="Arial" w:cs="Arial"/>
          <w:sz w:val="24"/>
          <w:szCs w:val="24"/>
        </w:rPr>
        <w:t>vinca</w:t>
      </w:r>
      <w:proofErr w:type="spellEnd"/>
      <w:r>
        <w:rPr>
          <w:rFonts w:ascii="Arial" w:hAnsi="Arial" w:cs="Arial"/>
          <w:sz w:val="24"/>
          <w:szCs w:val="24"/>
        </w:rPr>
        <w:t xml:space="preserve"> alkaloid was used in combination with </w:t>
      </w:r>
      <w:proofErr w:type="spellStart"/>
      <w:r>
        <w:rPr>
          <w:rFonts w:ascii="Arial" w:hAnsi="Arial" w:cs="Arial"/>
          <w:sz w:val="24"/>
          <w:szCs w:val="24"/>
        </w:rPr>
        <w:t>mitomycin</w:t>
      </w:r>
      <w:proofErr w:type="spellEnd"/>
      <w:r>
        <w:rPr>
          <w:rFonts w:ascii="Arial" w:hAnsi="Arial" w:cs="Arial"/>
          <w:sz w:val="24"/>
          <w:szCs w:val="24"/>
        </w:rPr>
        <w:t>.  These adverse events may require treatment with supplemental oxygen, bronchodilators and/or corticosteroids, particularly when there is a pre-existing pulmonary dysfunction.</w:t>
      </w:r>
    </w:p>
    <w:p w:rsidR="00EF6A76" w:rsidRDefault="00EF6A76" w:rsidP="00286A88">
      <w:pPr>
        <w:spacing w:after="0"/>
        <w:rPr>
          <w:rFonts w:ascii="Arial" w:hAnsi="Arial" w:cs="Arial"/>
          <w:sz w:val="24"/>
          <w:szCs w:val="24"/>
        </w:rPr>
      </w:pPr>
    </w:p>
    <w:p w:rsidR="00EF6A76" w:rsidRPr="004274F9" w:rsidRDefault="00EF6A76" w:rsidP="00286A88">
      <w:pPr>
        <w:spacing w:after="0"/>
        <w:rPr>
          <w:rFonts w:ascii="Arial" w:hAnsi="Arial" w:cs="Arial"/>
          <w:sz w:val="24"/>
          <w:szCs w:val="24"/>
        </w:rPr>
      </w:pPr>
      <w:r w:rsidRPr="004274F9">
        <w:rPr>
          <w:rFonts w:ascii="Arial" w:hAnsi="Arial" w:cs="Arial"/>
          <w:sz w:val="24"/>
          <w:szCs w:val="24"/>
        </w:rPr>
        <w:t xml:space="preserve"> </w:t>
      </w:r>
      <w:proofErr w:type="spellStart"/>
      <w:r>
        <w:rPr>
          <w:rFonts w:ascii="Arial" w:hAnsi="Arial" w:cs="Arial"/>
          <w:sz w:val="24"/>
          <w:szCs w:val="24"/>
        </w:rPr>
        <w:t>Vinorelbine</w:t>
      </w:r>
      <w:proofErr w:type="spellEnd"/>
      <w:r>
        <w:rPr>
          <w:rFonts w:ascii="Arial" w:hAnsi="Arial" w:cs="Arial"/>
          <w:sz w:val="24"/>
          <w:szCs w:val="24"/>
        </w:rPr>
        <w:t xml:space="preserve"> is contraindicated in patients with severe hepatic insufficiency.  </w:t>
      </w:r>
      <w:r w:rsidRPr="00BB0C45">
        <w:rPr>
          <w:rFonts w:ascii="Arial" w:hAnsi="Arial" w:cs="Arial"/>
          <w:sz w:val="24"/>
          <w:szCs w:val="24"/>
        </w:rPr>
        <w:t xml:space="preserve">There is limited experience in patients with mild or moderate hepatic impairment, however available data suggest that dose modification is not required.  </w:t>
      </w:r>
      <w:r>
        <w:rPr>
          <w:rFonts w:ascii="Arial" w:hAnsi="Arial" w:cs="Arial"/>
          <w:sz w:val="24"/>
          <w:szCs w:val="24"/>
        </w:rPr>
        <w:t>Haematological toxicity should be closely monitored.</w:t>
      </w:r>
      <w:r w:rsidRPr="004274F9">
        <w:rPr>
          <w:rFonts w:ascii="Arial" w:hAnsi="Arial" w:cs="Arial"/>
          <w:sz w:val="24"/>
          <w:szCs w:val="24"/>
        </w:rPr>
        <w:t xml:space="preserve"> </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should not be given concomitantly with radiotherapy if the treatment field includes the liver.</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Pr>
          <w:rFonts w:ascii="Arial" w:hAnsi="Arial" w:cs="Arial"/>
          <w:sz w:val="24"/>
          <w:szCs w:val="24"/>
        </w:rPr>
        <w:t>Because of the low level of renal excretion, no dose modification is necessary in patients with renal impairment.</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sz w:val="24"/>
          <w:szCs w:val="24"/>
        </w:rPr>
      </w:pPr>
      <w:r>
        <w:rPr>
          <w:rFonts w:ascii="Arial" w:hAnsi="Arial" w:cs="Arial"/>
          <w:sz w:val="24"/>
          <w:szCs w:val="24"/>
        </w:rPr>
        <w:t xml:space="preserve">Due to the presence of </w:t>
      </w:r>
      <w:proofErr w:type="spellStart"/>
      <w:r>
        <w:rPr>
          <w:rFonts w:ascii="Arial" w:hAnsi="Arial" w:cs="Arial"/>
          <w:sz w:val="24"/>
          <w:szCs w:val="24"/>
        </w:rPr>
        <w:t>sorbitol</w:t>
      </w:r>
      <w:proofErr w:type="spellEnd"/>
      <w:r>
        <w:rPr>
          <w:rFonts w:ascii="Arial" w:hAnsi="Arial" w:cs="Arial"/>
          <w:sz w:val="24"/>
          <w:szCs w:val="24"/>
        </w:rPr>
        <w:t>, patients with the rare hereditary problem of fructose intolerance should not take this medicine.</w:t>
      </w:r>
    </w:p>
    <w:p w:rsidR="00EF6A76" w:rsidRDefault="00EF6A76" w:rsidP="00286A88">
      <w:pPr>
        <w:spacing w:after="0"/>
        <w:rPr>
          <w:rFonts w:ascii="Arial" w:hAnsi="Arial" w:cs="Arial"/>
          <w:sz w:val="24"/>
          <w:szCs w:val="24"/>
        </w:rPr>
      </w:pPr>
    </w:p>
    <w:p w:rsidR="0083239F" w:rsidRDefault="0083239F" w:rsidP="0083239F">
      <w:pPr>
        <w:spacing w:after="0"/>
        <w:rPr>
          <w:rFonts w:ascii="Arial" w:hAnsi="Arial" w:cs="Arial"/>
          <w:b/>
          <w:sz w:val="24"/>
          <w:szCs w:val="24"/>
        </w:rPr>
      </w:pPr>
      <w:r w:rsidRPr="00E35101">
        <w:rPr>
          <w:rFonts w:ascii="Arial" w:hAnsi="Arial" w:cs="Arial"/>
          <w:b/>
          <w:sz w:val="24"/>
          <w:szCs w:val="24"/>
        </w:rPr>
        <w:t>Effects on fertility</w:t>
      </w:r>
    </w:p>
    <w:p w:rsidR="0083239F" w:rsidRPr="00E35101" w:rsidRDefault="0083239F" w:rsidP="0083239F">
      <w:pPr>
        <w:spacing w:after="0"/>
        <w:rPr>
          <w:rFonts w:ascii="Arial" w:hAnsi="Arial" w:cs="Arial"/>
          <w:b/>
          <w:sz w:val="24"/>
          <w:szCs w:val="24"/>
        </w:rPr>
      </w:pPr>
    </w:p>
    <w:p w:rsidR="0083239F" w:rsidRDefault="0083239F" w:rsidP="0083239F">
      <w:pPr>
        <w:spacing w:after="0"/>
        <w:rPr>
          <w:rFonts w:ascii="Arial" w:hAnsi="Arial" w:cs="Arial"/>
          <w:sz w:val="24"/>
          <w:szCs w:val="24"/>
        </w:rPr>
      </w:pPr>
      <w:r>
        <w:rPr>
          <w:rFonts w:ascii="Arial" w:hAnsi="Arial" w:cs="Arial"/>
          <w:sz w:val="24"/>
          <w:szCs w:val="24"/>
        </w:rPr>
        <w:t>Adverse effects on the male reproductive system were observed in repeat-dose toxicity studies in animals, including decreased spermatogenesis in rats dosed twice weekly at 2.1 – 7.2 mg/m</w:t>
      </w:r>
      <w:r w:rsidRPr="00AE118C">
        <w:rPr>
          <w:rFonts w:ascii="Arial" w:hAnsi="Arial" w:cs="Arial"/>
          <w:sz w:val="24"/>
          <w:szCs w:val="24"/>
          <w:vertAlign w:val="superscript"/>
        </w:rPr>
        <w:t>2</w:t>
      </w:r>
      <w:r>
        <w:rPr>
          <w:rFonts w:ascii="Arial" w:hAnsi="Arial" w:cs="Arial"/>
          <w:sz w:val="24"/>
          <w:szCs w:val="24"/>
        </w:rPr>
        <w:t xml:space="preserve"> for 13 weeks, reduced prostate/seminal vesicle secretion in rats dosed twice weekly at 3 mg/m</w:t>
      </w:r>
      <w:r w:rsidRPr="00AE118C">
        <w:rPr>
          <w:rFonts w:ascii="Arial" w:hAnsi="Arial" w:cs="Arial"/>
          <w:sz w:val="24"/>
          <w:szCs w:val="24"/>
          <w:vertAlign w:val="superscript"/>
        </w:rPr>
        <w:t>2</w:t>
      </w:r>
      <w:r>
        <w:rPr>
          <w:rFonts w:ascii="Arial" w:hAnsi="Arial" w:cs="Arial"/>
          <w:sz w:val="24"/>
          <w:szCs w:val="24"/>
        </w:rPr>
        <w:t xml:space="preserve"> for 26 weeks, reduced testicular weight in </w:t>
      </w:r>
      <w:r>
        <w:rPr>
          <w:rFonts w:ascii="Arial" w:hAnsi="Arial" w:cs="Arial"/>
          <w:sz w:val="24"/>
          <w:szCs w:val="24"/>
        </w:rPr>
        <w:lastRenderedPageBreak/>
        <w:t>mice dosed at 19 mg/m</w:t>
      </w:r>
      <w:r w:rsidRPr="00AE118C">
        <w:rPr>
          <w:rFonts w:ascii="Arial" w:hAnsi="Arial" w:cs="Arial"/>
          <w:sz w:val="24"/>
          <w:szCs w:val="24"/>
          <w:vertAlign w:val="superscript"/>
        </w:rPr>
        <w:t>2</w:t>
      </w:r>
      <w:r>
        <w:rPr>
          <w:rFonts w:ascii="Arial" w:hAnsi="Arial" w:cs="Arial"/>
          <w:sz w:val="24"/>
          <w:szCs w:val="24"/>
        </w:rPr>
        <w:t xml:space="preserve">/day for three 5-day cycles and reduced </w:t>
      </w:r>
      <w:proofErr w:type="spellStart"/>
      <w:r>
        <w:rPr>
          <w:rFonts w:ascii="Arial" w:hAnsi="Arial" w:cs="Arial"/>
          <w:sz w:val="24"/>
          <w:szCs w:val="24"/>
        </w:rPr>
        <w:t>epididymal</w:t>
      </w:r>
      <w:proofErr w:type="spellEnd"/>
      <w:r>
        <w:rPr>
          <w:rFonts w:ascii="Arial" w:hAnsi="Arial" w:cs="Arial"/>
          <w:sz w:val="24"/>
          <w:szCs w:val="24"/>
        </w:rPr>
        <w:t xml:space="preserve"> weight in dogs dosed at 5 mg/m</w:t>
      </w:r>
      <w:r w:rsidRPr="00AE118C">
        <w:rPr>
          <w:rFonts w:ascii="Arial" w:hAnsi="Arial" w:cs="Arial"/>
          <w:sz w:val="24"/>
          <w:szCs w:val="24"/>
          <w:vertAlign w:val="superscript"/>
        </w:rPr>
        <w:t>2</w:t>
      </w:r>
      <w:r>
        <w:rPr>
          <w:rFonts w:ascii="Arial" w:hAnsi="Arial" w:cs="Arial"/>
          <w:sz w:val="24"/>
          <w:szCs w:val="24"/>
        </w:rPr>
        <w:t xml:space="preserve"> for 26 weeks.  </w:t>
      </w: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did not affect fertility when administered to male and female rats prior to and during mating; however, the doses used in these studies (9 mg/m</w:t>
      </w:r>
      <w:r w:rsidRPr="00551AA9">
        <w:rPr>
          <w:rFonts w:ascii="Arial" w:hAnsi="Arial" w:cs="Arial"/>
          <w:sz w:val="24"/>
          <w:szCs w:val="24"/>
          <w:vertAlign w:val="superscript"/>
        </w:rPr>
        <w:t>2</w:t>
      </w:r>
      <w:r>
        <w:rPr>
          <w:rFonts w:ascii="Arial" w:hAnsi="Arial" w:cs="Arial"/>
          <w:sz w:val="24"/>
          <w:szCs w:val="24"/>
        </w:rPr>
        <w:t xml:space="preserve"> once weekly or up to 4.2 mg/m</w:t>
      </w:r>
      <w:r w:rsidRPr="00551AA9">
        <w:rPr>
          <w:rFonts w:ascii="Arial" w:hAnsi="Arial" w:cs="Arial"/>
          <w:sz w:val="24"/>
          <w:szCs w:val="24"/>
          <w:vertAlign w:val="superscript"/>
        </w:rPr>
        <w:t>2</w:t>
      </w:r>
      <w:r>
        <w:rPr>
          <w:rFonts w:ascii="Arial" w:hAnsi="Arial" w:cs="Arial"/>
          <w:sz w:val="24"/>
          <w:szCs w:val="24"/>
        </w:rPr>
        <w:t xml:space="preserve"> at 3-day intervals) were lower than the human dose.</w:t>
      </w:r>
    </w:p>
    <w:p w:rsidR="0083239F" w:rsidRDefault="0083239F" w:rsidP="0083239F">
      <w:pPr>
        <w:spacing w:after="0"/>
        <w:rPr>
          <w:rFonts w:ascii="Arial" w:hAnsi="Arial" w:cs="Arial"/>
          <w:sz w:val="24"/>
          <w:szCs w:val="24"/>
        </w:rPr>
      </w:pPr>
    </w:p>
    <w:p w:rsidR="0083239F" w:rsidRDefault="0083239F" w:rsidP="0083239F">
      <w:pPr>
        <w:spacing w:after="0"/>
        <w:rPr>
          <w:rFonts w:ascii="Arial" w:hAnsi="Arial" w:cs="Arial"/>
          <w:b/>
          <w:sz w:val="24"/>
          <w:szCs w:val="24"/>
        </w:rPr>
      </w:pPr>
      <w:r w:rsidRPr="00E35101">
        <w:rPr>
          <w:rFonts w:ascii="Arial" w:hAnsi="Arial" w:cs="Arial"/>
          <w:b/>
          <w:sz w:val="24"/>
          <w:szCs w:val="24"/>
        </w:rPr>
        <w:t>Use in pregnancy</w:t>
      </w:r>
    </w:p>
    <w:p w:rsidR="0083239F" w:rsidRDefault="0083239F" w:rsidP="0083239F">
      <w:pPr>
        <w:spacing w:after="0"/>
        <w:rPr>
          <w:rFonts w:ascii="Arial" w:hAnsi="Arial" w:cs="Arial"/>
          <w:b/>
          <w:sz w:val="24"/>
          <w:szCs w:val="24"/>
        </w:rPr>
      </w:pPr>
    </w:p>
    <w:p w:rsidR="0083239F" w:rsidRPr="00F37587" w:rsidRDefault="0083239F" w:rsidP="0083239F">
      <w:pPr>
        <w:spacing w:after="0"/>
        <w:rPr>
          <w:rFonts w:ascii="Arial" w:hAnsi="Arial" w:cs="Arial"/>
          <w:sz w:val="24"/>
          <w:szCs w:val="24"/>
        </w:rPr>
      </w:pPr>
      <w:r w:rsidRPr="00F37587">
        <w:rPr>
          <w:rFonts w:ascii="Arial" w:hAnsi="Arial" w:cs="Arial"/>
          <w:sz w:val="24"/>
          <w:szCs w:val="24"/>
        </w:rPr>
        <w:t xml:space="preserve">Category </w:t>
      </w:r>
      <w:r>
        <w:rPr>
          <w:rFonts w:ascii="Arial" w:hAnsi="Arial" w:cs="Arial"/>
          <w:sz w:val="24"/>
          <w:szCs w:val="24"/>
        </w:rPr>
        <w:t>D</w:t>
      </w:r>
    </w:p>
    <w:p w:rsidR="0083239F" w:rsidRDefault="0083239F" w:rsidP="0083239F">
      <w:pPr>
        <w:spacing w:after="0"/>
        <w:rPr>
          <w:rFonts w:ascii="Arial" w:hAnsi="Arial" w:cs="Arial"/>
          <w:b/>
          <w:sz w:val="24"/>
          <w:szCs w:val="24"/>
        </w:rPr>
      </w:pPr>
    </w:p>
    <w:p w:rsidR="0083239F" w:rsidRDefault="0083239F" w:rsidP="0083239F">
      <w:pPr>
        <w:spacing w:after="0"/>
        <w:rPr>
          <w:rFonts w:ascii="Arial" w:hAnsi="Arial" w:cs="Arial"/>
          <w:sz w:val="24"/>
          <w:szCs w:val="24"/>
        </w:rPr>
      </w:pP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may cause </w:t>
      </w:r>
      <w:proofErr w:type="spellStart"/>
      <w:r>
        <w:rPr>
          <w:rFonts w:ascii="Arial" w:hAnsi="Arial" w:cs="Arial"/>
          <w:sz w:val="24"/>
          <w:szCs w:val="24"/>
        </w:rPr>
        <w:t>fetal</w:t>
      </w:r>
      <w:proofErr w:type="spellEnd"/>
      <w:r>
        <w:rPr>
          <w:rFonts w:ascii="Arial" w:hAnsi="Arial" w:cs="Arial"/>
          <w:sz w:val="24"/>
          <w:szCs w:val="24"/>
        </w:rPr>
        <w:t xml:space="preserve"> harm if administered to a pregnant woman.  When given every three days during organogenesis, </w:t>
      </w: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has been shown to be </w:t>
      </w:r>
      <w:proofErr w:type="spellStart"/>
      <w:r>
        <w:rPr>
          <w:rFonts w:ascii="Arial" w:hAnsi="Arial" w:cs="Arial"/>
          <w:sz w:val="24"/>
          <w:szCs w:val="24"/>
        </w:rPr>
        <w:t>teratogenic</w:t>
      </w:r>
      <w:proofErr w:type="spellEnd"/>
      <w:r>
        <w:rPr>
          <w:rFonts w:ascii="Arial" w:hAnsi="Arial" w:cs="Arial"/>
          <w:sz w:val="24"/>
          <w:szCs w:val="24"/>
        </w:rPr>
        <w:t xml:space="preserve"> in rats and rabbits at doses of 3 and 7.7 mg/m</w:t>
      </w:r>
      <w:r w:rsidRPr="0059600C">
        <w:rPr>
          <w:rFonts w:ascii="Arial" w:hAnsi="Arial" w:cs="Arial"/>
          <w:sz w:val="24"/>
          <w:szCs w:val="24"/>
          <w:vertAlign w:val="superscript"/>
        </w:rPr>
        <w:t>2</w:t>
      </w:r>
      <w:r>
        <w:rPr>
          <w:rFonts w:ascii="Arial" w:hAnsi="Arial" w:cs="Arial"/>
          <w:sz w:val="24"/>
          <w:szCs w:val="24"/>
        </w:rPr>
        <w:t xml:space="preserve"> respectively.  A single 9 mg/m</w:t>
      </w:r>
      <w:r w:rsidRPr="0059600C">
        <w:rPr>
          <w:rFonts w:ascii="Arial" w:hAnsi="Arial" w:cs="Arial"/>
          <w:sz w:val="24"/>
          <w:szCs w:val="24"/>
          <w:vertAlign w:val="superscript"/>
        </w:rPr>
        <w:t>2</w:t>
      </w:r>
      <w:r>
        <w:rPr>
          <w:rFonts w:ascii="Arial" w:hAnsi="Arial" w:cs="Arial"/>
          <w:sz w:val="24"/>
          <w:szCs w:val="24"/>
        </w:rPr>
        <w:t xml:space="preserve"> dose of </w:t>
      </w: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caused embryonic deaths in mice.  Doses causing adverse </w:t>
      </w:r>
      <w:proofErr w:type="spellStart"/>
      <w:r>
        <w:rPr>
          <w:rFonts w:ascii="Arial" w:hAnsi="Arial" w:cs="Arial"/>
          <w:sz w:val="24"/>
          <w:szCs w:val="24"/>
        </w:rPr>
        <w:t>fetal</w:t>
      </w:r>
      <w:proofErr w:type="spellEnd"/>
      <w:r>
        <w:rPr>
          <w:rFonts w:ascii="Arial" w:hAnsi="Arial" w:cs="Arial"/>
          <w:sz w:val="24"/>
          <w:szCs w:val="24"/>
        </w:rPr>
        <w:t xml:space="preserve"> effects in animals were lower than the human dose.  There are no studies in pregnant women.  If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is used during pregnancy, of if the patient becomes pregnant while receiving this drug, the patient should be apprised of the potential hazard to the foetus.  Women of childbearing potential should be advised to avoid becoming pregnant during therapy with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w:t>
      </w:r>
    </w:p>
    <w:p w:rsidR="0083239F" w:rsidRDefault="0083239F" w:rsidP="0083239F">
      <w:pPr>
        <w:spacing w:after="0"/>
        <w:rPr>
          <w:rFonts w:ascii="Arial" w:hAnsi="Arial" w:cs="Arial"/>
          <w:sz w:val="24"/>
          <w:szCs w:val="24"/>
        </w:rPr>
      </w:pPr>
    </w:p>
    <w:p w:rsidR="0083239F" w:rsidRDefault="0083239F" w:rsidP="0083239F">
      <w:pPr>
        <w:spacing w:after="0"/>
        <w:rPr>
          <w:rFonts w:ascii="Arial" w:hAnsi="Arial" w:cs="Arial"/>
          <w:b/>
          <w:sz w:val="24"/>
          <w:szCs w:val="24"/>
        </w:rPr>
      </w:pPr>
      <w:r w:rsidRPr="00E35101">
        <w:rPr>
          <w:rFonts w:ascii="Arial" w:hAnsi="Arial" w:cs="Arial"/>
          <w:b/>
          <w:sz w:val="24"/>
          <w:szCs w:val="24"/>
        </w:rPr>
        <w:t xml:space="preserve">Use in </w:t>
      </w:r>
      <w:r>
        <w:rPr>
          <w:rFonts w:ascii="Arial" w:hAnsi="Arial" w:cs="Arial"/>
          <w:b/>
          <w:sz w:val="24"/>
          <w:szCs w:val="24"/>
        </w:rPr>
        <w:t>lactation</w:t>
      </w:r>
    </w:p>
    <w:p w:rsidR="0083239F" w:rsidRDefault="0083239F" w:rsidP="0083239F">
      <w:pPr>
        <w:spacing w:after="0"/>
        <w:rPr>
          <w:rFonts w:ascii="Arial" w:hAnsi="Arial" w:cs="Arial"/>
          <w:b/>
          <w:sz w:val="24"/>
          <w:szCs w:val="24"/>
        </w:rPr>
      </w:pPr>
    </w:p>
    <w:p w:rsidR="0083239F" w:rsidRDefault="0083239F" w:rsidP="0083239F">
      <w:pPr>
        <w:spacing w:after="0"/>
        <w:rPr>
          <w:rFonts w:ascii="Arial" w:hAnsi="Arial" w:cs="Arial"/>
          <w:sz w:val="24"/>
          <w:szCs w:val="24"/>
        </w:rPr>
      </w:pPr>
      <w:r>
        <w:rPr>
          <w:rFonts w:ascii="Arial" w:hAnsi="Arial" w:cs="Arial"/>
          <w:sz w:val="24"/>
          <w:szCs w:val="24"/>
        </w:rPr>
        <w:t xml:space="preserve">It is not known whether </w:t>
      </w:r>
      <w:proofErr w:type="spellStart"/>
      <w:r>
        <w:rPr>
          <w:rFonts w:ascii="Arial" w:hAnsi="Arial" w:cs="Arial"/>
          <w:sz w:val="24"/>
          <w:szCs w:val="24"/>
        </w:rPr>
        <w:t>vinorelbine</w:t>
      </w:r>
      <w:proofErr w:type="spellEnd"/>
      <w:r>
        <w:rPr>
          <w:rFonts w:ascii="Arial" w:hAnsi="Arial" w:cs="Arial"/>
          <w:sz w:val="24"/>
          <w:szCs w:val="24"/>
        </w:rPr>
        <w:t xml:space="preserve"> is excreted in milk of animals or humans.  A study in rats showed that growth of the offspring was suppressed when </w:t>
      </w: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was administered to lactating dams at 6 mg/m</w:t>
      </w:r>
      <w:r w:rsidRPr="0012377F">
        <w:rPr>
          <w:rFonts w:ascii="Arial" w:hAnsi="Arial" w:cs="Arial"/>
          <w:sz w:val="24"/>
          <w:szCs w:val="24"/>
          <w:vertAlign w:val="superscript"/>
        </w:rPr>
        <w:t>2</w:t>
      </w:r>
      <w:r>
        <w:rPr>
          <w:rFonts w:ascii="Arial" w:hAnsi="Arial" w:cs="Arial"/>
          <w:sz w:val="24"/>
          <w:szCs w:val="24"/>
        </w:rPr>
        <w:t xml:space="preserve"> every three days.  Because many drugs are excreted in human milk and because of the potential serious adverse reactions in nursing infants from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w:t>
      </w:r>
      <w:r w:rsidRPr="00133EB4">
        <w:rPr>
          <w:rFonts w:ascii="Arial" w:hAnsi="Arial" w:cs="Arial"/>
          <w:sz w:val="24"/>
          <w:szCs w:val="24"/>
        </w:rPr>
        <w:t>it is recommended that</w:t>
      </w:r>
      <w:r>
        <w:rPr>
          <w:rFonts w:ascii="Arial" w:hAnsi="Arial" w:cs="Arial"/>
          <w:sz w:val="24"/>
          <w:szCs w:val="24"/>
        </w:rPr>
        <w:t xml:space="preserve"> nursing be discontinued in women </w:t>
      </w:r>
      <w:r w:rsidRPr="00133EB4">
        <w:rPr>
          <w:rFonts w:ascii="Arial" w:hAnsi="Arial" w:cs="Arial"/>
          <w:sz w:val="24"/>
          <w:szCs w:val="24"/>
        </w:rPr>
        <w:t>who are receiving therapy</w:t>
      </w:r>
      <w:r>
        <w:rPr>
          <w:rFonts w:ascii="Arial" w:hAnsi="Arial" w:cs="Arial"/>
          <w:sz w:val="24"/>
          <w:szCs w:val="24"/>
        </w:rPr>
        <w:t xml:space="preserve"> with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w:t>
      </w:r>
    </w:p>
    <w:p w:rsidR="0083239F" w:rsidRDefault="0083239F" w:rsidP="0083239F">
      <w:pPr>
        <w:spacing w:after="0"/>
        <w:rPr>
          <w:rFonts w:ascii="Arial" w:hAnsi="Arial" w:cs="Arial"/>
          <w:sz w:val="24"/>
          <w:szCs w:val="24"/>
        </w:rPr>
      </w:pPr>
    </w:p>
    <w:p w:rsidR="0083239F" w:rsidRPr="005D0477" w:rsidRDefault="0083239F" w:rsidP="0083239F">
      <w:pPr>
        <w:spacing w:after="0"/>
        <w:rPr>
          <w:rFonts w:ascii="Arial" w:hAnsi="Arial" w:cs="Arial"/>
          <w:b/>
          <w:sz w:val="24"/>
          <w:szCs w:val="24"/>
        </w:rPr>
      </w:pPr>
      <w:r w:rsidRPr="005D0477">
        <w:rPr>
          <w:rFonts w:ascii="Arial" w:hAnsi="Arial" w:cs="Arial"/>
          <w:b/>
          <w:sz w:val="24"/>
          <w:szCs w:val="24"/>
        </w:rPr>
        <w:t>Paediatric use</w:t>
      </w:r>
    </w:p>
    <w:p w:rsidR="0083239F" w:rsidRDefault="0083239F" w:rsidP="0083239F">
      <w:pPr>
        <w:spacing w:after="0"/>
        <w:rPr>
          <w:rFonts w:ascii="Arial" w:hAnsi="Arial" w:cs="Arial"/>
          <w:sz w:val="24"/>
          <w:szCs w:val="24"/>
        </w:rPr>
      </w:pPr>
      <w:r>
        <w:rPr>
          <w:rFonts w:ascii="Arial" w:hAnsi="Arial" w:cs="Arial"/>
          <w:sz w:val="24"/>
          <w:szCs w:val="24"/>
        </w:rPr>
        <w:t>Safety and effectiveness have not been established.</w:t>
      </w:r>
    </w:p>
    <w:p w:rsidR="0083239F" w:rsidRDefault="0083239F" w:rsidP="0083239F">
      <w:pPr>
        <w:spacing w:after="0"/>
        <w:rPr>
          <w:rFonts w:ascii="Arial" w:hAnsi="Arial" w:cs="Arial"/>
          <w:sz w:val="24"/>
          <w:szCs w:val="24"/>
        </w:rPr>
      </w:pPr>
    </w:p>
    <w:p w:rsidR="0083239F" w:rsidRPr="00016AF5" w:rsidRDefault="0083239F" w:rsidP="0083239F">
      <w:pPr>
        <w:spacing w:after="0"/>
        <w:rPr>
          <w:rFonts w:ascii="Arial" w:hAnsi="Arial" w:cs="Arial"/>
          <w:b/>
          <w:sz w:val="24"/>
          <w:szCs w:val="24"/>
        </w:rPr>
      </w:pPr>
      <w:r>
        <w:rPr>
          <w:rFonts w:ascii="Arial" w:hAnsi="Arial" w:cs="Arial"/>
          <w:b/>
          <w:sz w:val="24"/>
          <w:szCs w:val="24"/>
        </w:rPr>
        <w:t>Use in the elderly</w:t>
      </w:r>
    </w:p>
    <w:p w:rsidR="0083239F" w:rsidRDefault="0083239F" w:rsidP="0083239F">
      <w:pPr>
        <w:spacing w:after="0"/>
        <w:rPr>
          <w:rFonts w:ascii="Arial" w:hAnsi="Arial" w:cs="Arial"/>
          <w:sz w:val="24"/>
          <w:szCs w:val="24"/>
        </w:rPr>
      </w:pPr>
      <w:r>
        <w:rPr>
          <w:rFonts w:ascii="Arial" w:hAnsi="Arial" w:cs="Arial"/>
          <w:sz w:val="24"/>
          <w:szCs w:val="24"/>
        </w:rPr>
        <w:t>Clinical experience has not identified differences in responses between the elderly and younger patients, but greater sensitivity of some older individuals cannot be ruled out.</w:t>
      </w:r>
    </w:p>
    <w:p w:rsidR="0083239F" w:rsidRDefault="0083239F" w:rsidP="0083239F">
      <w:pPr>
        <w:spacing w:after="0"/>
        <w:rPr>
          <w:rFonts w:ascii="Arial" w:hAnsi="Arial" w:cs="Arial"/>
          <w:sz w:val="24"/>
          <w:szCs w:val="24"/>
        </w:rPr>
      </w:pPr>
    </w:p>
    <w:p w:rsidR="0083239F" w:rsidRPr="002C52E9" w:rsidRDefault="0083239F" w:rsidP="00286A88">
      <w:pPr>
        <w:spacing w:after="0"/>
        <w:rPr>
          <w:rFonts w:ascii="Arial" w:hAnsi="Arial" w:cs="Arial"/>
          <w:b/>
          <w:sz w:val="24"/>
          <w:szCs w:val="24"/>
        </w:rPr>
      </w:pPr>
      <w:proofErr w:type="spellStart"/>
      <w:r>
        <w:rPr>
          <w:rFonts w:ascii="Arial" w:hAnsi="Arial" w:cs="Arial"/>
          <w:b/>
          <w:sz w:val="24"/>
          <w:szCs w:val="24"/>
        </w:rPr>
        <w:t>Genotoxicity</w:t>
      </w:r>
      <w:proofErr w:type="spellEnd"/>
    </w:p>
    <w:p w:rsidR="00EF6A76" w:rsidRDefault="00EF6A76" w:rsidP="00286A88">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w:t>
      </w:r>
      <w:proofErr w:type="spellStart"/>
      <w:r>
        <w:rPr>
          <w:rFonts w:ascii="Arial" w:hAnsi="Arial" w:cs="Arial"/>
          <w:sz w:val="24"/>
          <w:szCs w:val="24"/>
        </w:rPr>
        <w:t>tartrate</w:t>
      </w:r>
      <w:proofErr w:type="spellEnd"/>
      <w:r>
        <w:rPr>
          <w:rFonts w:ascii="Arial" w:hAnsi="Arial" w:cs="Arial"/>
          <w:sz w:val="24"/>
          <w:szCs w:val="24"/>
        </w:rPr>
        <w:t xml:space="preserve"> has been shown to affect chromosome number and possibly structure </w:t>
      </w:r>
      <w:r w:rsidRPr="004873E9">
        <w:rPr>
          <w:rFonts w:ascii="Arial" w:hAnsi="Arial" w:cs="Arial"/>
          <w:i/>
          <w:sz w:val="24"/>
          <w:szCs w:val="24"/>
        </w:rPr>
        <w:t>in vivo</w:t>
      </w:r>
      <w:r>
        <w:rPr>
          <w:rFonts w:ascii="Arial" w:hAnsi="Arial" w:cs="Arial"/>
          <w:sz w:val="24"/>
          <w:szCs w:val="24"/>
        </w:rPr>
        <w:t xml:space="preserve"> (polyploidy in bone marrow cells from Chinese hamsters and a positive micronucleus test in mice).</w:t>
      </w:r>
    </w:p>
    <w:p w:rsidR="00EF6A76" w:rsidRDefault="00EF6A76" w:rsidP="00286A88">
      <w:pPr>
        <w:spacing w:after="0"/>
        <w:rPr>
          <w:rFonts w:ascii="Arial" w:hAnsi="Arial" w:cs="Arial"/>
          <w:sz w:val="24"/>
          <w:szCs w:val="24"/>
        </w:rPr>
      </w:pPr>
    </w:p>
    <w:p w:rsidR="0083239F" w:rsidRDefault="00EF6A76" w:rsidP="00286A88">
      <w:pPr>
        <w:spacing w:after="0"/>
        <w:rPr>
          <w:rFonts w:ascii="Arial" w:hAnsi="Arial" w:cs="Arial"/>
          <w:sz w:val="24"/>
          <w:szCs w:val="24"/>
        </w:rPr>
      </w:pPr>
      <w:r>
        <w:rPr>
          <w:rFonts w:ascii="Arial" w:hAnsi="Arial" w:cs="Arial"/>
          <w:sz w:val="24"/>
          <w:szCs w:val="24"/>
        </w:rPr>
        <w:t xml:space="preserve">It was not mutagenic or </w:t>
      </w:r>
      <w:proofErr w:type="spellStart"/>
      <w:r>
        <w:rPr>
          <w:rFonts w:ascii="Arial" w:hAnsi="Arial" w:cs="Arial"/>
          <w:sz w:val="24"/>
          <w:szCs w:val="24"/>
        </w:rPr>
        <w:t>cytotoxic</w:t>
      </w:r>
      <w:proofErr w:type="spellEnd"/>
      <w:r>
        <w:rPr>
          <w:rFonts w:ascii="Arial" w:hAnsi="Arial" w:cs="Arial"/>
          <w:sz w:val="24"/>
          <w:szCs w:val="24"/>
        </w:rPr>
        <w:t xml:space="preserve"> in a reverse </w:t>
      </w:r>
      <w:proofErr w:type="spellStart"/>
      <w:r>
        <w:rPr>
          <w:rFonts w:ascii="Arial" w:hAnsi="Arial" w:cs="Arial"/>
          <w:sz w:val="24"/>
          <w:szCs w:val="24"/>
        </w:rPr>
        <w:t>histidine</w:t>
      </w:r>
      <w:proofErr w:type="spellEnd"/>
      <w:r>
        <w:rPr>
          <w:rFonts w:ascii="Arial" w:hAnsi="Arial" w:cs="Arial"/>
          <w:sz w:val="24"/>
          <w:szCs w:val="24"/>
        </w:rPr>
        <w:t xml:space="preserve"> mutation (</w:t>
      </w:r>
      <w:smartTag w:uri="urn:schemas-microsoft-com:office:smarttags" w:element="place">
        <w:smartTag w:uri="urn:schemas-microsoft-com:office:smarttags" w:element="City">
          <w:r>
            <w:rPr>
              <w:rFonts w:ascii="Arial" w:hAnsi="Arial" w:cs="Arial"/>
              <w:sz w:val="24"/>
              <w:szCs w:val="24"/>
            </w:rPr>
            <w:t>Ames</w:t>
          </w:r>
        </w:smartTag>
      </w:smartTag>
      <w:r>
        <w:rPr>
          <w:rFonts w:ascii="Arial" w:hAnsi="Arial" w:cs="Arial"/>
          <w:sz w:val="24"/>
          <w:szCs w:val="24"/>
        </w:rPr>
        <w:t xml:space="preserve">) test but showed mutagenic potential in a mouse forward mutation (TK locus) test. </w:t>
      </w:r>
    </w:p>
    <w:p w:rsidR="0083239F" w:rsidRDefault="0083239F" w:rsidP="00286A88">
      <w:pPr>
        <w:spacing w:after="0"/>
        <w:rPr>
          <w:rFonts w:ascii="Arial" w:hAnsi="Arial" w:cs="Arial"/>
          <w:sz w:val="24"/>
          <w:szCs w:val="24"/>
        </w:rPr>
      </w:pPr>
    </w:p>
    <w:p w:rsidR="0083239F" w:rsidRPr="00737B8B" w:rsidRDefault="0083239F" w:rsidP="00286A88">
      <w:pPr>
        <w:spacing w:after="0"/>
        <w:rPr>
          <w:rFonts w:ascii="Arial" w:hAnsi="Arial" w:cs="Arial"/>
          <w:b/>
          <w:sz w:val="24"/>
          <w:szCs w:val="24"/>
        </w:rPr>
      </w:pPr>
      <w:r w:rsidRPr="00737B8B">
        <w:rPr>
          <w:rFonts w:ascii="Arial" w:hAnsi="Arial" w:cs="Arial"/>
          <w:b/>
          <w:sz w:val="24"/>
          <w:szCs w:val="24"/>
        </w:rPr>
        <w:t>Carcinogenicity</w:t>
      </w:r>
    </w:p>
    <w:p w:rsidR="00EF6A76" w:rsidRDefault="00EF6A76" w:rsidP="00286A88">
      <w:pPr>
        <w:spacing w:after="0"/>
        <w:rPr>
          <w:rFonts w:ascii="Arial" w:hAnsi="Arial" w:cs="Arial"/>
          <w:sz w:val="24"/>
          <w:szCs w:val="24"/>
        </w:rPr>
      </w:pPr>
      <w:r>
        <w:rPr>
          <w:rFonts w:ascii="Arial" w:hAnsi="Arial" w:cs="Arial"/>
          <w:sz w:val="24"/>
          <w:szCs w:val="24"/>
        </w:rPr>
        <w:t xml:space="preserve"> Carcinogenicity studies in mice and rats showed no </w:t>
      </w:r>
      <w:proofErr w:type="spellStart"/>
      <w:r>
        <w:rPr>
          <w:rFonts w:ascii="Arial" w:hAnsi="Arial" w:cs="Arial"/>
          <w:sz w:val="24"/>
          <w:szCs w:val="24"/>
        </w:rPr>
        <w:t>tumourigenic</w:t>
      </w:r>
      <w:proofErr w:type="spellEnd"/>
      <w:r>
        <w:rPr>
          <w:rFonts w:ascii="Arial" w:hAnsi="Arial" w:cs="Arial"/>
          <w:sz w:val="24"/>
          <w:szCs w:val="24"/>
        </w:rPr>
        <w:t xml:space="preserve"> activity at dose levels up to 2.4 mg/m</w:t>
      </w:r>
      <w:r w:rsidRPr="004873E9">
        <w:rPr>
          <w:rFonts w:ascii="Arial" w:hAnsi="Arial" w:cs="Arial"/>
          <w:sz w:val="24"/>
          <w:szCs w:val="24"/>
          <w:vertAlign w:val="superscript"/>
        </w:rPr>
        <w:t>2</w:t>
      </w:r>
      <w:r>
        <w:rPr>
          <w:rFonts w:ascii="Arial" w:hAnsi="Arial" w:cs="Arial"/>
          <w:sz w:val="24"/>
          <w:szCs w:val="24"/>
        </w:rPr>
        <w:t xml:space="preserve"> given by IV injection every two weeks for 18 months or two years respectively.  However, the positive findings in genetic toxicity assays suggest that the drug may have carcinogenic potential at the higher dose level used in humans.</w:t>
      </w:r>
    </w:p>
    <w:p w:rsidR="00EF6A76" w:rsidRDefault="00EF6A76" w:rsidP="00286A88">
      <w:pPr>
        <w:spacing w:after="0"/>
        <w:rPr>
          <w:rFonts w:ascii="Arial" w:hAnsi="Arial" w:cs="Arial"/>
          <w:sz w:val="24"/>
          <w:szCs w:val="24"/>
        </w:rPr>
      </w:pPr>
    </w:p>
    <w:p w:rsidR="00EF6A76" w:rsidRDefault="00EF6A76" w:rsidP="00286A88">
      <w:pPr>
        <w:spacing w:after="0"/>
        <w:rPr>
          <w:rFonts w:ascii="Arial" w:hAnsi="Arial" w:cs="Arial"/>
          <w:b/>
          <w:sz w:val="24"/>
          <w:szCs w:val="24"/>
          <w:u w:val="double"/>
        </w:rPr>
      </w:pPr>
      <w:r w:rsidRPr="00D457A2">
        <w:rPr>
          <w:rFonts w:ascii="Arial" w:hAnsi="Arial" w:cs="Arial"/>
          <w:b/>
          <w:sz w:val="24"/>
          <w:szCs w:val="24"/>
        </w:rPr>
        <w:t xml:space="preserve">Interactions with other </w:t>
      </w:r>
      <w:r w:rsidRPr="00032BCA">
        <w:rPr>
          <w:rFonts w:ascii="Arial" w:hAnsi="Arial" w:cs="Arial"/>
          <w:b/>
          <w:sz w:val="24"/>
          <w:szCs w:val="24"/>
        </w:rPr>
        <w:t>medicines</w:t>
      </w:r>
    </w:p>
    <w:p w:rsidR="00EF6A76" w:rsidRDefault="00EF6A76" w:rsidP="00286A88">
      <w:pPr>
        <w:spacing w:after="0"/>
        <w:rPr>
          <w:rFonts w:ascii="Arial" w:hAnsi="Arial" w:cs="Arial"/>
          <w:sz w:val="24"/>
          <w:szCs w:val="24"/>
        </w:rPr>
      </w:pPr>
    </w:p>
    <w:p w:rsidR="00EF6A76" w:rsidRPr="00160FE1" w:rsidRDefault="00EF6A76" w:rsidP="00151E44">
      <w:pPr>
        <w:spacing w:after="0"/>
        <w:rPr>
          <w:rFonts w:ascii="Arial" w:hAnsi="Arial" w:cs="Arial"/>
          <w:color w:val="0033CC"/>
          <w:sz w:val="24"/>
          <w:szCs w:val="24"/>
          <w:u w:val="double"/>
        </w:rPr>
      </w:pPr>
      <w:r>
        <w:rPr>
          <w:rFonts w:ascii="Arial" w:hAnsi="Arial" w:cs="Arial"/>
          <w:sz w:val="24"/>
          <w:szCs w:val="24"/>
        </w:rPr>
        <w:t xml:space="preserve">Acute pulmonary reactions have been reported with </w:t>
      </w:r>
      <w:r w:rsidRPr="00334A9D">
        <w:rPr>
          <w:rFonts w:ascii="Arial" w:hAnsi="Arial" w:cs="Arial"/>
          <w:sz w:val="24"/>
          <w:szCs w:val="24"/>
        </w:rPr>
        <w:t>NAVELBINE</w:t>
      </w:r>
      <w:r w:rsidRPr="00334A9D">
        <w:rPr>
          <w:rFonts w:ascii="Arial" w:hAnsi="Arial" w:cs="Arial"/>
          <w:sz w:val="24"/>
          <w:szCs w:val="24"/>
          <w:vertAlign w:val="superscript"/>
        </w:rPr>
        <w:t>®</w:t>
      </w:r>
      <w:r>
        <w:rPr>
          <w:rFonts w:ascii="Arial" w:hAnsi="Arial" w:cs="Arial"/>
          <w:sz w:val="24"/>
          <w:szCs w:val="24"/>
        </w:rPr>
        <w:t xml:space="preserve"> and other </w:t>
      </w:r>
      <w:proofErr w:type="spellStart"/>
      <w:r>
        <w:rPr>
          <w:rFonts w:ascii="Arial" w:hAnsi="Arial" w:cs="Arial"/>
          <w:sz w:val="24"/>
          <w:szCs w:val="24"/>
        </w:rPr>
        <w:t>vinca</w:t>
      </w:r>
      <w:proofErr w:type="spellEnd"/>
      <w:r>
        <w:rPr>
          <w:rFonts w:ascii="Arial" w:hAnsi="Arial" w:cs="Arial"/>
          <w:sz w:val="24"/>
          <w:szCs w:val="24"/>
        </w:rPr>
        <w:t xml:space="preserve"> alkaloids used in conjunction with </w:t>
      </w:r>
      <w:proofErr w:type="spellStart"/>
      <w:r>
        <w:rPr>
          <w:rFonts w:ascii="Arial" w:hAnsi="Arial" w:cs="Arial"/>
          <w:sz w:val="24"/>
          <w:szCs w:val="24"/>
        </w:rPr>
        <w:t>mitomycin</w:t>
      </w:r>
      <w:proofErr w:type="spellEnd"/>
      <w:r>
        <w:rPr>
          <w:rFonts w:ascii="Arial" w:hAnsi="Arial" w:cs="Arial"/>
          <w:sz w:val="24"/>
          <w:szCs w:val="24"/>
        </w:rPr>
        <w:t xml:space="preserve">.  </w:t>
      </w:r>
      <w:r w:rsidRPr="00160FE1">
        <w:rPr>
          <w:rFonts w:ascii="Arial" w:hAnsi="Arial" w:cs="Arial"/>
          <w:sz w:val="24"/>
          <w:szCs w:val="24"/>
        </w:rPr>
        <w:t>NAVELBINE</w:t>
      </w:r>
      <w:r w:rsidRPr="00160FE1">
        <w:rPr>
          <w:rFonts w:ascii="Arial" w:hAnsi="Arial" w:cs="Arial"/>
          <w:sz w:val="24"/>
          <w:szCs w:val="24"/>
          <w:vertAlign w:val="superscript"/>
        </w:rPr>
        <w:t>®</w:t>
      </w:r>
      <w:r w:rsidRPr="00160FE1">
        <w:rPr>
          <w:rFonts w:ascii="Arial" w:hAnsi="Arial" w:cs="Arial"/>
          <w:sz w:val="24"/>
          <w:szCs w:val="24"/>
        </w:rPr>
        <w:t xml:space="preserve"> Oral should be </w:t>
      </w:r>
      <w:r>
        <w:rPr>
          <w:rFonts w:ascii="Arial" w:hAnsi="Arial" w:cs="Arial"/>
          <w:sz w:val="24"/>
          <w:szCs w:val="24"/>
        </w:rPr>
        <w:t>administered</w:t>
      </w:r>
      <w:r w:rsidRPr="00160FE1">
        <w:rPr>
          <w:rFonts w:ascii="Arial" w:hAnsi="Arial" w:cs="Arial"/>
          <w:sz w:val="24"/>
          <w:szCs w:val="24"/>
        </w:rPr>
        <w:t xml:space="preserve"> with caution in combination with </w:t>
      </w:r>
      <w:proofErr w:type="spellStart"/>
      <w:r>
        <w:rPr>
          <w:rFonts w:ascii="Arial" w:hAnsi="Arial" w:cs="Arial"/>
          <w:sz w:val="24"/>
          <w:szCs w:val="24"/>
        </w:rPr>
        <w:t>mitomycin</w:t>
      </w:r>
      <w:proofErr w:type="spellEnd"/>
      <w:r>
        <w:rPr>
          <w:rFonts w:ascii="Arial" w:hAnsi="Arial" w:cs="Arial"/>
          <w:sz w:val="24"/>
          <w:szCs w:val="24"/>
        </w:rPr>
        <w:t xml:space="preserve">.  </w:t>
      </w:r>
    </w:p>
    <w:p w:rsidR="00EF6A76" w:rsidRDefault="00EF6A76" w:rsidP="00286A88">
      <w:pPr>
        <w:spacing w:after="0"/>
        <w:rPr>
          <w:rFonts w:ascii="Arial" w:hAnsi="Arial" w:cs="Arial"/>
          <w:sz w:val="24"/>
          <w:szCs w:val="24"/>
        </w:rPr>
      </w:pPr>
    </w:p>
    <w:p w:rsidR="00EF6A76" w:rsidRDefault="00EF6A76" w:rsidP="00151E44">
      <w:pPr>
        <w:spacing w:after="0"/>
        <w:rPr>
          <w:rFonts w:ascii="Arial" w:hAnsi="Arial" w:cs="Arial"/>
          <w:sz w:val="24"/>
          <w:szCs w:val="24"/>
        </w:rPr>
      </w:pPr>
      <w:r>
        <w:rPr>
          <w:rFonts w:ascii="Arial" w:hAnsi="Arial" w:cs="Arial"/>
          <w:sz w:val="24"/>
          <w:szCs w:val="24"/>
        </w:rPr>
        <w:t xml:space="preserve">The combination of </w:t>
      </w:r>
      <w:r w:rsidRPr="00160FE1">
        <w:rPr>
          <w:rFonts w:ascii="Arial" w:hAnsi="Arial" w:cs="Arial"/>
          <w:sz w:val="24"/>
          <w:szCs w:val="24"/>
        </w:rPr>
        <w:t>NAVELBINE</w:t>
      </w:r>
      <w:r w:rsidRPr="00160FE1">
        <w:rPr>
          <w:rFonts w:ascii="Arial" w:hAnsi="Arial" w:cs="Arial"/>
          <w:sz w:val="24"/>
          <w:szCs w:val="24"/>
          <w:vertAlign w:val="superscript"/>
        </w:rPr>
        <w:t>®</w:t>
      </w:r>
      <w:r w:rsidRPr="00160FE1">
        <w:rPr>
          <w:rFonts w:ascii="Arial" w:hAnsi="Arial" w:cs="Arial"/>
          <w:sz w:val="24"/>
          <w:szCs w:val="24"/>
        </w:rPr>
        <w:t xml:space="preserve"> Oral</w:t>
      </w:r>
      <w:r>
        <w:rPr>
          <w:rFonts w:ascii="Arial" w:hAnsi="Arial" w:cs="Arial"/>
          <w:sz w:val="24"/>
          <w:szCs w:val="24"/>
        </w:rPr>
        <w:t xml:space="preserve"> </w:t>
      </w:r>
      <w:r w:rsidRPr="00151E44">
        <w:rPr>
          <w:rFonts w:ascii="Arial" w:hAnsi="Arial" w:cs="Arial"/>
          <w:sz w:val="24"/>
          <w:szCs w:val="24"/>
        </w:rPr>
        <w:t>and</w:t>
      </w:r>
      <w:r>
        <w:rPr>
          <w:rFonts w:ascii="Arial" w:hAnsi="Arial" w:cs="Arial"/>
          <w:sz w:val="24"/>
          <w:szCs w:val="24"/>
        </w:rPr>
        <w:t xml:space="preserve"> other drugs with known bone marrow toxicity is likely to exacerbate the </w:t>
      </w:r>
      <w:proofErr w:type="spellStart"/>
      <w:r>
        <w:rPr>
          <w:rFonts w:ascii="Arial" w:hAnsi="Arial" w:cs="Arial"/>
          <w:sz w:val="24"/>
          <w:szCs w:val="24"/>
        </w:rPr>
        <w:t>myelosuppressive</w:t>
      </w:r>
      <w:proofErr w:type="spellEnd"/>
      <w:r>
        <w:rPr>
          <w:rFonts w:ascii="Arial" w:hAnsi="Arial" w:cs="Arial"/>
          <w:sz w:val="24"/>
          <w:szCs w:val="24"/>
        </w:rPr>
        <w:t xml:space="preserve"> adverse effects.</w:t>
      </w:r>
    </w:p>
    <w:p w:rsidR="00EF6A76" w:rsidRDefault="00EF6A76" w:rsidP="00286A88">
      <w:pPr>
        <w:spacing w:after="0"/>
        <w:rPr>
          <w:rFonts w:ascii="Arial" w:hAnsi="Arial" w:cs="Arial"/>
          <w:sz w:val="24"/>
          <w:szCs w:val="24"/>
        </w:rPr>
      </w:pPr>
    </w:p>
    <w:p w:rsidR="00EF6A76" w:rsidRDefault="00EF6A76" w:rsidP="00151E44">
      <w:pPr>
        <w:spacing w:after="0"/>
        <w:rPr>
          <w:rFonts w:ascii="Arial" w:hAnsi="Arial" w:cs="Arial"/>
          <w:sz w:val="24"/>
          <w:szCs w:val="24"/>
        </w:rPr>
      </w:pPr>
      <w:r>
        <w:rPr>
          <w:rFonts w:ascii="Arial" w:hAnsi="Arial" w:cs="Arial"/>
          <w:sz w:val="24"/>
          <w:szCs w:val="24"/>
        </w:rPr>
        <w:t xml:space="preserve">In the absence of specific studies evaluating drug-drug interaction with </w:t>
      </w:r>
      <w:proofErr w:type="spellStart"/>
      <w:r>
        <w:rPr>
          <w:rFonts w:ascii="Arial" w:hAnsi="Arial" w:cs="Arial"/>
          <w:sz w:val="24"/>
          <w:szCs w:val="24"/>
        </w:rPr>
        <w:t>warfarin</w:t>
      </w:r>
      <w:proofErr w:type="spellEnd"/>
      <w:r>
        <w:rPr>
          <w:rFonts w:ascii="Arial" w:hAnsi="Arial" w:cs="Arial"/>
          <w:sz w:val="24"/>
          <w:szCs w:val="24"/>
        </w:rPr>
        <w:t xml:space="preserve">, the patient should be cautiously monitored when </w:t>
      </w:r>
      <w:proofErr w:type="spellStart"/>
      <w:r>
        <w:rPr>
          <w:rFonts w:ascii="Arial" w:hAnsi="Arial" w:cs="Arial"/>
          <w:sz w:val="24"/>
          <w:szCs w:val="24"/>
        </w:rPr>
        <w:t>vinorelbine</w:t>
      </w:r>
      <w:proofErr w:type="spellEnd"/>
      <w:r>
        <w:rPr>
          <w:rFonts w:ascii="Arial" w:hAnsi="Arial" w:cs="Arial"/>
          <w:sz w:val="24"/>
          <w:szCs w:val="24"/>
        </w:rPr>
        <w:t xml:space="preserve"> is given in combination with </w:t>
      </w:r>
      <w:proofErr w:type="spellStart"/>
      <w:r>
        <w:rPr>
          <w:rFonts w:ascii="Arial" w:hAnsi="Arial" w:cs="Arial"/>
          <w:sz w:val="24"/>
          <w:szCs w:val="24"/>
        </w:rPr>
        <w:t>warfarin</w:t>
      </w:r>
      <w:proofErr w:type="spellEnd"/>
      <w:r>
        <w:rPr>
          <w:rFonts w:ascii="Arial" w:hAnsi="Arial" w:cs="Arial"/>
          <w:sz w:val="24"/>
          <w:szCs w:val="24"/>
        </w:rPr>
        <w:t>.</w:t>
      </w:r>
    </w:p>
    <w:p w:rsidR="00EF6A76" w:rsidRDefault="00EF6A76" w:rsidP="00151E44">
      <w:pPr>
        <w:spacing w:after="0"/>
        <w:rPr>
          <w:rFonts w:ascii="Arial" w:hAnsi="Arial" w:cs="Arial"/>
          <w:sz w:val="24"/>
          <w:szCs w:val="24"/>
        </w:rPr>
      </w:pPr>
    </w:p>
    <w:p w:rsidR="00EF6A76" w:rsidRDefault="00EF6A76" w:rsidP="00151E44">
      <w:pPr>
        <w:spacing w:after="0"/>
        <w:rPr>
          <w:rFonts w:ascii="Arial" w:hAnsi="Arial" w:cs="Arial"/>
          <w:sz w:val="24"/>
          <w:szCs w:val="24"/>
        </w:rPr>
      </w:pPr>
      <w:r>
        <w:rPr>
          <w:rFonts w:ascii="Arial" w:hAnsi="Arial" w:cs="Arial"/>
          <w:sz w:val="24"/>
          <w:szCs w:val="24"/>
        </w:rPr>
        <w:t xml:space="preserve">Although the pharmacokinetics of </w:t>
      </w:r>
      <w:proofErr w:type="spellStart"/>
      <w:r>
        <w:rPr>
          <w:rFonts w:ascii="Arial" w:hAnsi="Arial" w:cs="Arial"/>
          <w:sz w:val="24"/>
          <w:szCs w:val="24"/>
        </w:rPr>
        <w:t>vinorelbine</w:t>
      </w:r>
      <w:proofErr w:type="spellEnd"/>
      <w:r>
        <w:rPr>
          <w:rFonts w:ascii="Arial" w:hAnsi="Arial" w:cs="Arial"/>
          <w:sz w:val="24"/>
          <w:szCs w:val="24"/>
        </w:rPr>
        <w:t xml:space="preserve"> are not influenced by the concurrent administration of </w:t>
      </w:r>
      <w:proofErr w:type="spellStart"/>
      <w:r>
        <w:rPr>
          <w:rFonts w:ascii="Arial" w:hAnsi="Arial" w:cs="Arial"/>
          <w:sz w:val="24"/>
          <w:szCs w:val="24"/>
        </w:rPr>
        <w:t>cisplatin</w:t>
      </w:r>
      <w:proofErr w:type="spellEnd"/>
      <w:r>
        <w:rPr>
          <w:rFonts w:ascii="Arial" w:hAnsi="Arial" w:cs="Arial"/>
          <w:sz w:val="24"/>
          <w:szCs w:val="24"/>
        </w:rPr>
        <w:t xml:space="preserve">, the incidence of toxicities, specifically </w:t>
      </w:r>
      <w:proofErr w:type="spellStart"/>
      <w:r>
        <w:rPr>
          <w:rFonts w:ascii="Arial" w:hAnsi="Arial" w:cs="Arial"/>
          <w:sz w:val="24"/>
          <w:szCs w:val="24"/>
        </w:rPr>
        <w:t>granulocytopenia</w:t>
      </w:r>
      <w:proofErr w:type="spellEnd"/>
      <w:r>
        <w:rPr>
          <w:rFonts w:ascii="Arial" w:hAnsi="Arial" w:cs="Arial"/>
          <w:sz w:val="24"/>
          <w:szCs w:val="24"/>
        </w:rPr>
        <w:t xml:space="preserve">, with the combination of </w:t>
      </w:r>
      <w:r w:rsidRPr="00160FE1">
        <w:rPr>
          <w:rFonts w:ascii="Arial" w:hAnsi="Arial" w:cs="Arial"/>
          <w:sz w:val="24"/>
          <w:szCs w:val="24"/>
        </w:rPr>
        <w:t>NAVELBINE</w:t>
      </w:r>
      <w:r w:rsidRPr="00160FE1">
        <w:rPr>
          <w:rFonts w:ascii="Arial" w:hAnsi="Arial" w:cs="Arial"/>
          <w:sz w:val="24"/>
          <w:szCs w:val="24"/>
          <w:vertAlign w:val="superscript"/>
        </w:rPr>
        <w:t>®</w:t>
      </w:r>
      <w:r w:rsidRPr="00160FE1">
        <w:rPr>
          <w:rFonts w:ascii="Arial" w:hAnsi="Arial" w:cs="Arial"/>
          <w:sz w:val="24"/>
          <w:szCs w:val="24"/>
        </w:rPr>
        <w:t xml:space="preserve"> Oral</w:t>
      </w:r>
      <w:r>
        <w:rPr>
          <w:rFonts w:ascii="Arial" w:hAnsi="Arial" w:cs="Arial"/>
          <w:sz w:val="24"/>
          <w:szCs w:val="24"/>
        </w:rPr>
        <w:t xml:space="preserve"> and </w:t>
      </w:r>
      <w:proofErr w:type="spellStart"/>
      <w:r>
        <w:rPr>
          <w:rFonts w:ascii="Arial" w:hAnsi="Arial" w:cs="Arial"/>
          <w:sz w:val="24"/>
          <w:szCs w:val="24"/>
        </w:rPr>
        <w:t>cisplatin</w:t>
      </w:r>
      <w:proofErr w:type="spellEnd"/>
      <w:r>
        <w:rPr>
          <w:rFonts w:ascii="Arial" w:hAnsi="Arial" w:cs="Arial"/>
          <w:sz w:val="24"/>
          <w:szCs w:val="24"/>
        </w:rPr>
        <w:t xml:space="preserve"> is significantly higher than with single-agent </w:t>
      </w:r>
      <w:r w:rsidRPr="00160FE1">
        <w:rPr>
          <w:rFonts w:ascii="Arial" w:hAnsi="Arial" w:cs="Arial"/>
          <w:sz w:val="24"/>
          <w:szCs w:val="24"/>
        </w:rPr>
        <w:t>NAVELBINE</w:t>
      </w:r>
      <w:r w:rsidRPr="00160FE1">
        <w:rPr>
          <w:rFonts w:ascii="Arial" w:hAnsi="Arial" w:cs="Arial"/>
          <w:sz w:val="24"/>
          <w:szCs w:val="24"/>
          <w:vertAlign w:val="superscript"/>
        </w:rPr>
        <w:t>®</w:t>
      </w:r>
      <w:r w:rsidRPr="00160FE1">
        <w:rPr>
          <w:rFonts w:ascii="Arial" w:hAnsi="Arial" w:cs="Arial"/>
          <w:sz w:val="24"/>
          <w:szCs w:val="24"/>
        </w:rPr>
        <w:t xml:space="preserve"> Oral</w:t>
      </w:r>
      <w:r>
        <w:rPr>
          <w:rFonts w:ascii="Arial" w:hAnsi="Arial" w:cs="Arial"/>
          <w:sz w:val="24"/>
          <w:szCs w:val="24"/>
        </w:rPr>
        <w:t>.</w:t>
      </w:r>
    </w:p>
    <w:p w:rsidR="00EF6A76" w:rsidRDefault="00EF6A76" w:rsidP="00151E44">
      <w:pPr>
        <w:spacing w:after="0"/>
        <w:rPr>
          <w:rFonts w:ascii="Arial" w:hAnsi="Arial" w:cs="Arial"/>
          <w:sz w:val="24"/>
          <w:szCs w:val="24"/>
        </w:rPr>
      </w:pPr>
    </w:p>
    <w:p w:rsidR="00EF6A76" w:rsidRDefault="00EF6A76" w:rsidP="009433DD">
      <w:pPr>
        <w:spacing w:after="0"/>
        <w:rPr>
          <w:rFonts w:ascii="Arial" w:hAnsi="Arial" w:cs="Arial"/>
          <w:sz w:val="24"/>
          <w:szCs w:val="24"/>
        </w:rPr>
      </w:pPr>
      <w:r>
        <w:rPr>
          <w:rFonts w:ascii="Arial" w:hAnsi="Arial" w:cs="Arial"/>
          <w:sz w:val="24"/>
          <w:szCs w:val="24"/>
        </w:rPr>
        <w:t xml:space="preserve">In studies with rats, the anticoagulant effect of </w:t>
      </w:r>
      <w:proofErr w:type="spellStart"/>
      <w:r>
        <w:rPr>
          <w:rFonts w:ascii="Arial" w:hAnsi="Arial" w:cs="Arial"/>
          <w:sz w:val="24"/>
          <w:szCs w:val="24"/>
        </w:rPr>
        <w:t>phenindione</w:t>
      </w:r>
      <w:proofErr w:type="spellEnd"/>
      <w:r>
        <w:rPr>
          <w:rFonts w:ascii="Arial" w:hAnsi="Arial" w:cs="Arial"/>
          <w:sz w:val="24"/>
          <w:szCs w:val="24"/>
        </w:rPr>
        <w:t xml:space="preserve"> was potentiated when given in combination with </w:t>
      </w:r>
      <w:r w:rsidRPr="00AB318E">
        <w:rPr>
          <w:rFonts w:ascii="Arial" w:hAnsi="Arial" w:cs="Arial"/>
          <w:sz w:val="24"/>
          <w:szCs w:val="24"/>
        </w:rPr>
        <w:t>a</w:t>
      </w:r>
      <w:r>
        <w:rPr>
          <w:rFonts w:ascii="Arial" w:hAnsi="Arial" w:cs="Arial"/>
          <w:sz w:val="24"/>
          <w:szCs w:val="24"/>
        </w:rPr>
        <w:t xml:space="preserve"> high dose of </w:t>
      </w:r>
      <w:proofErr w:type="spellStart"/>
      <w:r>
        <w:rPr>
          <w:rFonts w:ascii="Arial" w:hAnsi="Arial" w:cs="Arial"/>
          <w:sz w:val="24"/>
          <w:szCs w:val="24"/>
        </w:rPr>
        <w:t>vinorelbine</w:t>
      </w:r>
      <w:proofErr w:type="spellEnd"/>
      <w:r>
        <w:rPr>
          <w:rFonts w:ascii="Arial" w:hAnsi="Arial" w:cs="Arial"/>
          <w:sz w:val="24"/>
          <w:szCs w:val="24"/>
        </w:rPr>
        <w:t xml:space="preserve"> (30 mg/m</w:t>
      </w:r>
      <w:r w:rsidRPr="00762206">
        <w:rPr>
          <w:rFonts w:ascii="Arial" w:hAnsi="Arial" w:cs="Arial"/>
          <w:sz w:val="24"/>
          <w:szCs w:val="24"/>
          <w:vertAlign w:val="superscript"/>
        </w:rPr>
        <w:t>2</w:t>
      </w:r>
      <w:r>
        <w:rPr>
          <w:rFonts w:ascii="Arial" w:hAnsi="Arial" w:cs="Arial"/>
          <w:sz w:val="24"/>
          <w:szCs w:val="24"/>
        </w:rPr>
        <w:t>/day for 4 consecutive days or 15 mg/m</w:t>
      </w:r>
      <w:r w:rsidRPr="00762206">
        <w:rPr>
          <w:rFonts w:ascii="Arial" w:hAnsi="Arial" w:cs="Arial"/>
          <w:sz w:val="24"/>
          <w:szCs w:val="24"/>
          <w:vertAlign w:val="superscript"/>
        </w:rPr>
        <w:t>2</w:t>
      </w:r>
      <w:r>
        <w:rPr>
          <w:rFonts w:ascii="Arial" w:hAnsi="Arial" w:cs="Arial"/>
          <w:sz w:val="24"/>
          <w:szCs w:val="24"/>
        </w:rPr>
        <w:t xml:space="preserve">/day for 5 consecutive days) but combination treatment with sodium </w:t>
      </w:r>
      <w:proofErr w:type="spellStart"/>
      <w:r>
        <w:rPr>
          <w:rFonts w:ascii="Arial" w:hAnsi="Arial" w:cs="Arial"/>
          <w:sz w:val="24"/>
          <w:szCs w:val="24"/>
        </w:rPr>
        <w:t>valproate</w:t>
      </w:r>
      <w:proofErr w:type="spellEnd"/>
      <w:r>
        <w:rPr>
          <w:rFonts w:ascii="Arial" w:hAnsi="Arial" w:cs="Arial"/>
          <w:sz w:val="24"/>
          <w:szCs w:val="24"/>
        </w:rPr>
        <w:t xml:space="preserve"> did not cause any increase in anticonvulsant activity.</w:t>
      </w:r>
    </w:p>
    <w:p w:rsidR="00EF6A76" w:rsidRDefault="00EF6A76" w:rsidP="009433DD">
      <w:pPr>
        <w:spacing w:after="0"/>
        <w:rPr>
          <w:rFonts w:ascii="Arial" w:hAnsi="Arial" w:cs="Arial"/>
          <w:sz w:val="24"/>
          <w:szCs w:val="24"/>
        </w:rPr>
      </w:pPr>
    </w:p>
    <w:p w:rsidR="00EF6A76" w:rsidRDefault="00EF6A76" w:rsidP="009433DD">
      <w:pPr>
        <w:spacing w:after="0"/>
        <w:rPr>
          <w:rFonts w:ascii="Arial" w:hAnsi="Arial" w:cs="Arial"/>
          <w:sz w:val="24"/>
          <w:szCs w:val="24"/>
        </w:rPr>
      </w:pPr>
      <w:proofErr w:type="spellStart"/>
      <w:r>
        <w:rPr>
          <w:rFonts w:ascii="Arial" w:hAnsi="Arial" w:cs="Arial"/>
          <w:sz w:val="24"/>
          <w:szCs w:val="24"/>
        </w:rPr>
        <w:t>Vinorelbine</w:t>
      </w:r>
      <w:proofErr w:type="spellEnd"/>
      <w:r>
        <w:rPr>
          <w:rFonts w:ascii="Arial" w:hAnsi="Arial" w:cs="Arial"/>
          <w:sz w:val="24"/>
          <w:szCs w:val="24"/>
        </w:rPr>
        <w:t xml:space="preserve"> is metabolised by </w:t>
      </w:r>
      <w:proofErr w:type="spellStart"/>
      <w:r>
        <w:rPr>
          <w:rFonts w:ascii="Arial" w:hAnsi="Arial" w:cs="Arial"/>
          <w:sz w:val="24"/>
          <w:szCs w:val="24"/>
        </w:rPr>
        <w:t>cytochrome</w:t>
      </w:r>
      <w:proofErr w:type="spellEnd"/>
      <w:r>
        <w:rPr>
          <w:rFonts w:ascii="Arial" w:hAnsi="Arial" w:cs="Arial"/>
          <w:sz w:val="24"/>
          <w:szCs w:val="24"/>
        </w:rPr>
        <w:t xml:space="preserve"> CYP3A4.  Although interaction studies have not been performed, it is expected that inhibitors of CYP3A4 such as </w:t>
      </w:r>
      <w:proofErr w:type="spellStart"/>
      <w:r>
        <w:rPr>
          <w:rFonts w:ascii="Arial" w:hAnsi="Arial" w:cs="Arial"/>
          <w:sz w:val="24"/>
          <w:szCs w:val="24"/>
        </w:rPr>
        <w:t>ketoconazole</w:t>
      </w:r>
      <w:proofErr w:type="spellEnd"/>
      <w:r>
        <w:rPr>
          <w:rFonts w:ascii="Arial" w:hAnsi="Arial" w:cs="Arial"/>
          <w:sz w:val="24"/>
          <w:szCs w:val="24"/>
        </w:rPr>
        <w:t xml:space="preserve">, </w:t>
      </w:r>
      <w:proofErr w:type="spellStart"/>
      <w:r>
        <w:rPr>
          <w:rFonts w:ascii="Arial" w:hAnsi="Arial" w:cs="Arial"/>
          <w:sz w:val="24"/>
          <w:szCs w:val="24"/>
        </w:rPr>
        <w:t>itraconazole</w:t>
      </w:r>
      <w:proofErr w:type="spellEnd"/>
      <w:r>
        <w:rPr>
          <w:rFonts w:ascii="Arial" w:hAnsi="Arial" w:cs="Arial"/>
          <w:sz w:val="24"/>
          <w:szCs w:val="24"/>
        </w:rPr>
        <w:t xml:space="preserve">, </w:t>
      </w:r>
      <w:proofErr w:type="spellStart"/>
      <w:r>
        <w:rPr>
          <w:rFonts w:ascii="Arial" w:hAnsi="Arial" w:cs="Arial"/>
          <w:sz w:val="24"/>
          <w:szCs w:val="24"/>
        </w:rPr>
        <w:t>ritonavir</w:t>
      </w:r>
      <w:proofErr w:type="spellEnd"/>
      <w:r>
        <w:rPr>
          <w:rFonts w:ascii="Arial" w:hAnsi="Arial" w:cs="Arial"/>
          <w:sz w:val="24"/>
          <w:szCs w:val="24"/>
        </w:rPr>
        <w:t xml:space="preserve"> etc. would result in elevated blood concentrations of </w:t>
      </w:r>
      <w:proofErr w:type="spellStart"/>
      <w:r>
        <w:rPr>
          <w:rFonts w:ascii="Arial" w:hAnsi="Arial" w:cs="Arial"/>
          <w:sz w:val="24"/>
          <w:szCs w:val="24"/>
        </w:rPr>
        <w:t>vinorelbine</w:t>
      </w:r>
      <w:proofErr w:type="spellEnd"/>
      <w:r>
        <w:rPr>
          <w:rFonts w:ascii="Arial" w:hAnsi="Arial" w:cs="Arial"/>
          <w:sz w:val="24"/>
          <w:szCs w:val="24"/>
        </w:rPr>
        <w:t xml:space="preserve">.  Inducers of CYP3A4 such as </w:t>
      </w:r>
      <w:proofErr w:type="spellStart"/>
      <w:r>
        <w:rPr>
          <w:rFonts w:ascii="Arial" w:hAnsi="Arial" w:cs="Arial"/>
          <w:sz w:val="24"/>
          <w:szCs w:val="24"/>
        </w:rPr>
        <w:t>rifampicin</w:t>
      </w:r>
      <w:proofErr w:type="spellEnd"/>
      <w:r>
        <w:rPr>
          <w:rFonts w:ascii="Arial" w:hAnsi="Arial" w:cs="Arial"/>
          <w:sz w:val="24"/>
          <w:szCs w:val="24"/>
        </w:rPr>
        <w:t xml:space="preserve"> and </w:t>
      </w:r>
      <w:proofErr w:type="spellStart"/>
      <w:r>
        <w:rPr>
          <w:rFonts w:ascii="Arial" w:hAnsi="Arial" w:cs="Arial"/>
          <w:sz w:val="24"/>
          <w:szCs w:val="24"/>
        </w:rPr>
        <w:t>phenytoin</w:t>
      </w:r>
      <w:proofErr w:type="spellEnd"/>
      <w:r>
        <w:rPr>
          <w:rFonts w:ascii="Arial" w:hAnsi="Arial" w:cs="Arial"/>
          <w:sz w:val="24"/>
          <w:szCs w:val="24"/>
        </w:rPr>
        <w:t xml:space="preserve"> may reduce concentrations of </w:t>
      </w:r>
      <w:proofErr w:type="spellStart"/>
      <w:r>
        <w:rPr>
          <w:rFonts w:ascii="Arial" w:hAnsi="Arial" w:cs="Arial"/>
          <w:sz w:val="24"/>
          <w:szCs w:val="24"/>
        </w:rPr>
        <w:t>vinorelbine</w:t>
      </w:r>
      <w:proofErr w:type="spellEnd"/>
      <w:r>
        <w:rPr>
          <w:rFonts w:ascii="Arial" w:hAnsi="Arial" w:cs="Arial"/>
          <w:sz w:val="24"/>
          <w:szCs w:val="24"/>
        </w:rPr>
        <w:t>.  Since the magnitude of the inducing or inhibiting effects is unknown, such drug combinations should be avoided.</w:t>
      </w:r>
    </w:p>
    <w:p w:rsidR="00EF6A76" w:rsidRDefault="00EF6A76" w:rsidP="00286A88">
      <w:pPr>
        <w:spacing w:after="0"/>
        <w:rPr>
          <w:rFonts w:ascii="Arial" w:hAnsi="Arial" w:cs="Arial"/>
          <w:sz w:val="24"/>
          <w:szCs w:val="24"/>
        </w:rPr>
      </w:pPr>
    </w:p>
    <w:p w:rsidR="00EF6A76" w:rsidRDefault="00EF6A76" w:rsidP="00E579D3">
      <w:pPr>
        <w:spacing w:after="0"/>
        <w:rPr>
          <w:rFonts w:ascii="Arial" w:hAnsi="Arial" w:cs="Arial"/>
          <w:b/>
          <w:sz w:val="24"/>
          <w:szCs w:val="24"/>
        </w:rPr>
      </w:pPr>
      <w:r w:rsidRPr="001E42BE">
        <w:rPr>
          <w:rFonts w:ascii="Arial" w:hAnsi="Arial" w:cs="Arial"/>
          <w:b/>
          <w:sz w:val="24"/>
          <w:szCs w:val="24"/>
        </w:rPr>
        <w:t>Food</w:t>
      </w:r>
    </w:p>
    <w:p w:rsidR="00EF6A76" w:rsidRPr="001E42BE" w:rsidRDefault="00EF6A76" w:rsidP="00E579D3">
      <w:pPr>
        <w:spacing w:after="0"/>
        <w:rPr>
          <w:rFonts w:ascii="Arial" w:hAnsi="Arial" w:cs="Arial"/>
          <w:sz w:val="24"/>
          <w:szCs w:val="24"/>
        </w:rPr>
      </w:pPr>
      <w:r>
        <w:rPr>
          <w:rFonts w:ascii="Arial" w:hAnsi="Arial" w:cs="Arial"/>
          <w:sz w:val="24"/>
          <w:szCs w:val="24"/>
        </w:rPr>
        <w:lastRenderedPageBreak/>
        <w:t xml:space="preserve">Simultaneous intake of a low fat standard meal does not modify </w:t>
      </w:r>
      <w:r w:rsidRPr="00016AF5">
        <w:rPr>
          <w:rFonts w:ascii="Arial" w:hAnsi="Arial" w:cs="Arial"/>
          <w:sz w:val="24"/>
          <w:szCs w:val="24"/>
        </w:rPr>
        <w:t xml:space="preserve">exposure to </w:t>
      </w:r>
      <w:proofErr w:type="spellStart"/>
      <w:r>
        <w:rPr>
          <w:rFonts w:ascii="Arial" w:hAnsi="Arial" w:cs="Arial"/>
          <w:sz w:val="24"/>
          <w:szCs w:val="24"/>
        </w:rPr>
        <w:t>vinorelbine</w:t>
      </w:r>
      <w:proofErr w:type="spellEnd"/>
      <w:r>
        <w:rPr>
          <w:rFonts w:ascii="Arial" w:hAnsi="Arial" w:cs="Arial"/>
          <w:sz w:val="24"/>
          <w:szCs w:val="24"/>
        </w:rPr>
        <w:t>.</w:t>
      </w:r>
    </w:p>
    <w:p w:rsidR="00EF6A76" w:rsidRDefault="00EF6A76" w:rsidP="001C7A08">
      <w:pPr>
        <w:spacing w:after="0"/>
        <w:rPr>
          <w:rFonts w:ascii="Arial" w:hAnsi="Arial" w:cs="Arial"/>
          <w:sz w:val="24"/>
          <w:szCs w:val="24"/>
        </w:rPr>
      </w:pPr>
    </w:p>
    <w:p w:rsidR="00EF6A76" w:rsidRDefault="00EF6A76" w:rsidP="005D0477">
      <w:pPr>
        <w:spacing w:after="0"/>
        <w:rPr>
          <w:rFonts w:ascii="Arial" w:hAnsi="Arial" w:cs="Arial"/>
          <w:b/>
          <w:sz w:val="24"/>
          <w:szCs w:val="24"/>
        </w:rPr>
      </w:pPr>
      <w:r>
        <w:rPr>
          <w:rFonts w:ascii="Arial" w:hAnsi="Arial" w:cs="Arial"/>
          <w:b/>
          <w:sz w:val="24"/>
          <w:szCs w:val="24"/>
        </w:rPr>
        <w:t>ADVERSE EFFECTS</w:t>
      </w:r>
    </w:p>
    <w:p w:rsidR="00EF6A76" w:rsidRDefault="00EF6A76" w:rsidP="005D0477">
      <w:pPr>
        <w:spacing w:after="0"/>
        <w:rPr>
          <w:rFonts w:ascii="Arial" w:hAnsi="Arial" w:cs="Arial"/>
          <w:b/>
          <w:sz w:val="24"/>
          <w:szCs w:val="24"/>
        </w:rPr>
      </w:pPr>
    </w:p>
    <w:p w:rsidR="00EF6A76" w:rsidRPr="00032BCA" w:rsidRDefault="00EF6A76" w:rsidP="005D0477">
      <w:pPr>
        <w:spacing w:after="0"/>
        <w:rPr>
          <w:rFonts w:ascii="Arial" w:hAnsi="Arial" w:cs="Arial"/>
          <w:sz w:val="24"/>
          <w:szCs w:val="24"/>
        </w:rPr>
      </w:pPr>
      <w:r w:rsidRPr="00032BCA">
        <w:rPr>
          <w:rFonts w:ascii="Arial" w:hAnsi="Arial" w:cs="Arial"/>
          <w:sz w:val="24"/>
          <w:szCs w:val="24"/>
        </w:rPr>
        <w:t>The overall reported incidence of adverse effects was determined from clinical studies in 316 patients (132 patients with non small cell lung cancer and 184 patients with breast cancer) who received the recommended regimen of NAVELBINE</w:t>
      </w:r>
      <w:r w:rsidRPr="00032BCA">
        <w:rPr>
          <w:rFonts w:ascii="Arial" w:hAnsi="Arial" w:cs="Arial"/>
          <w:sz w:val="24"/>
          <w:szCs w:val="24"/>
          <w:vertAlign w:val="superscript"/>
        </w:rPr>
        <w:t>®</w:t>
      </w:r>
      <w:r w:rsidRPr="00032BCA">
        <w:rPr>
          <w:rFonts w:ascii="Arial" w:hAnsi="Arial" w:cs="Arial"/>
          <w:sz w:val="24"/>
          <w:szCs w:val="24"/>
        </w:rPr>
        <w:t xml:space="preserve"> (first three administrations at 60 mg/m</w:t>
      </w:r>
      <w:r w:rsidRPr="00032BCA">
        <w:rPr>
          <w:rFonts w:ascii="Arial" w:hAnsi="Arial" w:cs="Arial"/>
          <w:sz w:val="24"/>
          <w:szCs w:val="24"/>
          <w:vertAlign w:val="superscript"/>
        </w:rPr>
        <w:t>2</w:t>
      </w:r>
      <w:r w:rsidRPr="00032BCA">
        <w:rPr>
          <w:rFonts w:ascii="Arial" w:hAnsi="Arial" w:cs="Arial"/>
          <w:sz w:val="24"/>
          <w:szCs w:val="24"/>
        </w:rPr>
        <w:t>/week followed by 80 mg/m</w:t>
      </w:r>
      <w:r w:rsidRPr="00032BCA">
        <w:rPr>
          <w:rFonts w:ascii="Arial" w:hAnsi="Arial" w:cs="Arial"/>
          <w:sz w:val="24"/>
          <w:szCs w:val="24"/>
          <w:vertAlign w:val="superscript"/>
        </w:rPr>
        <w:t>2</w:t>
      </w:r>
      <w:r w:rsidRPr="00032BCA">
        <w:rPr>
          <w:rFonts w:ascii="Arial" w:hAnsi="Arial" w:cs="Arial"/>
          <w:sz w:val="24"/>
          <w:szCs w:val="24"/>
        </w:rPr>
        <w:t xml:space="preserve">/week). </w:t>
      </w:r>
    </w:p>
    <w:p w:rsidR="00EF6A76" w:rsidRPr="009D37D6" w:rsidRDefault="00EF6A76" w:rsidP="005D0477">
      <w:pPr>
        <w:spacing w:after="0"/>
        <w:rPr>
          <w:rFonts w:ascii="Arial" w:hAnsi="Arial" w:cs="Arial"/>
          <w:strike/>
          <w:color w:val="0033CC"/>
          <w:sz w:val="24"/>
          <w:szCs w:val="24"/>
        </w:rPr>
      </w:pPr>
    </w:p>
    <w:p w:rsidR="00EF6A76" w:rsidRPr="00032BCA" w:rsidRDefault="00EF6A76" w:rsidP="00BC3526">
      <w:pPr>
        <w:spacing w:after="0"/>
        <w:rPr>
          <w:rFonts w:ascii="Arial" w:hAnsi="Arial" w:cs="Arial"/>
          <w:sz w:val="24"/>
          <w:szCs w:val="24"/>
        </w:rPr>
      </w:pPr>
      <w:r w:rsidRPr="00032BCA">
        <w:rPr>
          <w:rFonts w:ascii="Arial" w:hAnsi="Arial" w:cs="Arial"/>
          <w:sz w:val="24"/>
          <w:szCs w:val="24"/>
        </w:rPr>
        <w:t xml:space="preserve">Adverse reactions reported are listed below by system organ class and by frequency. Additional adverse reactions from post marketing experience have been added according to the </w:t>
      </w:r>
      <w:proofErr w:type="spellStart"/>
      <w:r w:rsidRPr="00032BCA">
        <w:rPr>
          <w:rFonts w:ascii="Arial" w:hAnsi="Arial" w:cs="Arial"/>
          <w:sz w:val="24"/>
          <w:szCs w:val="24"/>
        </w:rPr>
        <w:t>MedDRA</w:t>
      </w:r>
      <w:proofErr w:type="spellEnd"/>
      <w:r w:rsidRPr="00032BCA">
        <w:rPr>
          <w:rFonts w:ascii="Arial" w:hAnsi="Arial" w:cs="Arial"/>
          <w:sz w:val="24"/>
          <w:szCs w:val="24"/>
        </w:rPr>
        <w:t xml:space="preserve"> classification with the frequency, ‘Not known’.</w:t>
      </w:r>
    </w:p>
    <w:p w:rsidR="00EF6A76" w:rsidRPr="00032BCA" w:rsidRDefault="00EF6A76" w:rsidP="00BC3526">
      <w:pPr>
        <w:spacing w:after="0"/>
        <w:rPr>
          <w:rFonts w:ascii="Arial" w:hAnsi="Arial" w:cs="Arial"/>
          <w:sz w:val="24"/>
          <w:szCs w:val="24"/>
        </w:rPr>
      </w:pPr>
    </w:p>
    <w:p w:rsidR="00EF6A76" w:rsidRPr="00032BCA" w:rsidRDefault="00EF6A76" w:rsidP="00BC3526">
      <w:pPr>
        <w:spacing w:after="0"/>
        <w:rPr>
          <w:rFonts w:ascii="Arial" w:hAnsi="Arial" w:cs="Arial"/>
          <w:sz w:val="24"/>
          <w:szCs w:val="24"/>
        </w:rPr>
      </w:pPr>
      <w:r w:rsidRPr="00032BCA">
        <w:rPr>
          <w:rFonts w:ascii="Arial" w:hAnsi="Arial" w:cs="Arial"/>
          <w:sz w:val="24"/>
          <w:szCs w:val="24"/>
        </w:rPr>
        <w:t xml:space="preserve">Frequency of adverse reactions is defined as: very common (≥ 1/10); common (≥ 1/100 and &lt; 1/10); uncommon (≥ 1/1000 and &lt; 1/100); rare (≥ 1/10,000 and &lt; 1/1000); very rare (&lt; 1/10, 000); and not known (post marketing reports).  </w:t>
      </w:r>
    </w:p>
    <w:p w:rsidR="00EF6A76" w:rsidRPr="00032BCA" w:rsidRDefault="00EF6A76" w:rsidP="001C7A08">
      <w:pPr>
        <w:spacing w:after="0"/>
        <w:rPr>
          <w:rFonts w:ascii="Arial" w:hAnsi="Arial" w:cs="Arial"/>
          <w:b/>
          <w:sz w:val="24"/>
          <w:szCs w:val="24"/>
        </w:rPr>
      </w:pPr>
    </w:p>
    <w:p w:rsidR="00EF6A76" w:rsidRPr="00032BCA" w:rsidRDefault="00EF6A76" w:rsidP="001C7A08">
      <w:pPr>
        <w:spacing w:after="0"/>
        <w:rPr>
          <w:rFonts w:ascii="Arial" w:hAnsi="Arial" w:cs="Arial"/>
          <w:b/>
          <w:sz w:val="24"/>
          <w:szCs w:val="24"/>
        </w:rPr>
      </w:pPr>
      <w:r w:rsidRPr="00032BCA">
        <w:rPr>
          <w:rFonts w:ascii="Arial" w:hAnsi="Arial" w:cs="Arial"/>
          <w:b/>
          <w:sz w:val="24"/>
          <w:szCs w:val="24"/>
        </w:rPr>
        <w:t>Adverse effects reported with NAVELBINE</w:t>
      </w:r>
      <w:r w:rsidRPr="00032BCA">
        <w:rPr>
          <w:rFonts w:ascii="Arial" w:hAnsi="Arial" w:cs="Arial"/>
          <w:b/>
          <w:sz w:val="24"/>
          <w:szCs w:val="24"/>
          <w:vertAlign w:val="superscript"/>
        </w:rPr>
        <w:t>®</w:t>
      </w:r>
      <w:r w:rsidRPr="00032BCA">
        <w:rPr>
          <w:rFonts w:ascii="Arial" w:hAnsi="Arial" w:cs="Arial"/>
          <w:b/>
          <w:sz w:val="24"/>
          <w:szCs w:val="24"/>
        </w:rPr>
        <w:t xml:space="preserve"> Oral</w:t>
      </w:r>
    </w:p>
    <w:p w:rsidR="00EF6A76" w:rsidRPr="00032BCA" w:rsidRDefault="00EF6A76" w:rsidP="001C7A08">
      <w:pPr>
        <w:spacing w:after="0"/>
        <w:rPr>
          <w:rFonts w:ascii="Arial" w:hAnsi="Arial" w:cs="Arial"/>
          <w:b/>
          <w:sz w:val="24"/>
          <w:szCs w:val="24"/>
        </w:rPr>
      </w:pPr>
    </w:p>
    <w:p w:rsidR="00EF6A76" w:rsidRPr="00032BCA" w:rsidRDefault="00EF6A76" w:rsidP="001C7A08">
      <w:pPr>
        <w:spacing w:after="0"/>
        <w:rPr>
          <w:rFonts w:ascii="Arial" w:hAnsi="Arial" w:cs="Arial"/>
          <w:b/>
          <w:sz w:val="24"/>
          <w:szCs w:val="24"/>
        </w:rPr>
      </w:pPr>
      <w:r w:rsidRPr="00032BCA">
        <w:rPr>
          <w:rFonts w:ascii="Arial" w:hAnsi="Arial" w:cs="Arial"/>
          <w:b/>
          <w:sz w:val="24"/>
          <w:szCs w:val="24"/>
        </w:rPr>
        <w:t>Pre-marketing experience</w:t>
      </w:r>
    </w:p>
    <w:p w:rsidR="00EF6A76" w:rsidRPr="00032BCA" w:rsidRDefault="00EF6A76" w:rsidP="001C7A08">
      <w:pPr>
        <w:spacing w:after="0"/>
        <w:rPr>
          <w:rFonts w:ascii="Arial" w:hAnsi="Arial" w:cs="Arial"/>
          <w:b/>
          <w:sz w:val="24"/>
          <w:szCs w:val="24"/>
        </w:rPr>
      </w:pPr>
    </w:p>
    <w:p w:rsidR="00EF6A76" w:rsidRPr="00032BCA" w:rsidRDefault="00EF6A76" w:rsidP="001C7A08">
      <w:pPr>
        <w:spacing w:after="0"/>
        <w:rPr>
          <w:rFonts w:ascii="Arial" w:hAnsi="Arial" w:cs="Arial"/>
          <w:sz w:val="24"/>
          <w:szCs w:val="24"/>
        </w:rPr>
      </w:pPr>
      <w:r w:rsidRPr="00032BCA">
        <w:rPr>
          <w:rFonts w:ascii="Arial" w:hAnsi="Arial" w:cs="Arial"/>
          <w:sz w:val="24"/>
          <w:szCs w:val="24"/>
        </w:rPr>
        <w:t xml:space="preserve">The most commonly reported adverse drug reactions are bone marrow depression with </w:t>
      </w:r>
      <w:proofErr w:type="spellStart"/>
      <w:r w:rsidRPr="00032BCA">
        <w:rPr>
          <w:rFonts w:ascii="Arial" w:hAnsi="Arial" w:cs="Arial"/>
          <w:sz w:val="24"/>
          <w:szCs w:val="24"/>
        </w:rPr>
        <w:t>neutropenia</w:t>
      </w:r>
      <w:proofErr w:type="spellEnd"/>
      <w:r w:rsidRPr="00032BCA">
        <w:rPr>
          <w:rFonts w:ascii="Arial" w:hAnsi="Arial" w:cs="Arial"/>
          <w:sz w:val="24"/>
          <w:szCs w:val="24"/>
        </w:rPr>
        <w:t xml:space="preserve">, anaemia and thrombocytopenia, gastrointestinal toxicity with nausea, vomiting, diarrhoea, </w:t>
      </w:r>
      <w:proofErr w:type="spellStart"/>
      <w:r w:rsidRPr="00032BCA">
        <w:rPr>
          <w:rFonts w:ascii="Arial" w:hAnsi="Arial" w:cs="Arial"/>
          <w:sz w:val="24"/>
          <w:szCs w:val="24"/>
        </w:rPr>
        <w:t>stomatitis</w:t>
      </w:r>
      <w:proofErr w:type="spellEnd"/>
      <w:r w:rsidRPr="00032BCA">
        <w:rPr>
          <w:rFonts w:ascii="Arial" w:hAnsi="Arial" w:cs="Arial"/>
          <w:sz w:val="24"/>
          <w:szCs w:val="24"/>
        </w:rPr>
        <w:t xml:space="preserve"> and constipation.  Gastrointestinal adverse events occur more commonly with oral </w:t>
      </w:r>
      <w:proofErr w:type="spellStart"/>
      <w:r w:rsidRPr="00032BCA">
        <w:rPr>
          <w:rFonts w:ascii="Arial" w:hAnsi="Arial" w:cs="Arial"/>
          <w:sz w:val="24"/>
          <w:szCs w:val="24"/>
        </w:rPr>
        <w:t>vinorelbine</w:t>
      </w:r>
      <w:proofErr w:type="spellEnd"/>
      <w:r w:rsidRPr="00032BCA">
        <w:rPr>
          <w:rFonts w:ascii="Arial" w:hAnsi="Arial" w:cs="Arial"/>
          <w:sz w:val="24"/>
          <w:szCs w:val="24"/>
        </w:rPr>
        <w:t xml:space="preserve"> than with intravenous administration.  Fatigue and fever were also very commonly reported.</w:t>
      </w:r>
    </w:p>
    <w:p w:rsidR="00EF6A76" w:rsidRPr="00032BCA" w:rsidRDefault="00EF6A76" w:rsidP="001C7A08">
      <w:pPr>
        <w:spacing w:after="0"/>
        <w:rPr>
          <w:rFonts w:ascii="Arial" w:hAnsi="Arial" w:cs="Arial"/>
          <w:sz w:val="24"/>
          <w:szCs w:val="24"/>
        </w:rPr>
      </w:pPr>
    </w:p>
    <w:p w:rsidR="00EF6A76" w:rsidRPr="00032BCA" w:rsidRDefault="00EF6A76" w:rsidP="00613D08">
      <w:pPr>
        <w:spacing w:after="0"/>
        <w:rPr>
          <w:rFonts w:ascii="Arial" w:hAnsi="Arial" w:cs="Arial"/>
          <w:b/>
          <w:sz w:val="24"/>
          <w:szCs w:val="24"/>
        </w:rPr>
      </w:pPr>
      <w:r w:rsidRPr="00032BCA">
        <w:rPr>
          <w:rFonts w:ascii="Arial" w:hAnsi="Arial" w:cs="Arial"/>
          <w:b/>
          <w:sz w:val="24"/>
          <w:szCs w:val="24"/>
        </w:rPr>
        <w:t>Post-marketing experience</w:t>
      </w:r>
    </w:p>
    <w:p w:rsidR="00EF6A76" w:rsidRPr="00032BCA" w:rsidRDefault="00EF6A76" w:rsidP="00613D08">
      <w:pPr>
        <w:spacing w:after="0"/>
        <w:rPr>
          <w:rFonts w:ascii="Arial" w:hAnsi="Arial" w:cs="Arial"/>
          <w:b/>
          <w:sz w:val="24"/>
          <w:szCs w:val="24"/>
        </w:rPr>
      </w:pPr>
    </w:p>
    <w:p w:rsidR="00EF6A76" w:rsidRPr="00032BCA" w:rsidRDefault="00EF6A76" w:rsidP="001C7A08">
      <w:pPr>
        <w:spacing w:after="0"/>
        <w:rPr>
          <w:rFonts w:ascii="Arial" w:hAnsi="Arial" w:cs="Arial"/>
          <w:sz w:val="24"/>
          <w:szCs w:val="24"/>
        </w:rPr>
      </w:pPr>
      <w:r w:rsidRPr="00032BCA">
        <w:rPr>
          <w:rFonts w:ascii="Arial" w:hAnsi="Arial" w:cs="Arial"/>
          <w:sz w:val="24"/>
          <w:szCs w:val="24"/>
        </w:rPr>
        <w:t>NAVELBINE</w:t>
      </w:r>
      <w:r w:rsidRPr="00032BCA">
        <w:rPr>
          <w:rFonts w:ascii="Arial" w:hAnsi="Arial" w:cs="Arial"/>
          <w:sz w:val="24"/>
          <w:szCs w:val="24"/>
          <w:vertAlign w:val="superscript"/>
        </w:rPr>
        <w:t>®</w:t>
      </w:r>
      <w:r w:rsidRPr="00032BCA">
        <w:rPr>
          <w:rFonts w:ascii="Arial" w:hAnsi="Arial" w:cs="Arial"/>
          <w:sz w:val="24"/>
          <w:szCs w:val="24"/>
        </w:rPr>
        <w:t xml:space="preserve"> Oral is used as a single agent or in combination with other chemotherapeutic agents.  The most common system organ classes involved from post-marketing experience are: ‘</w:t>
      </w:r>
      <w:r w:rsidR="00747540">
        <w:rPr>
          <w:rFonts w:ascii="Arial" w:hAnsi="Arial" w:cs="Arial"/>
          <w:sz w:val="24"/>
          <w:szCs w:val="24"/>
          <w:lang w:eastAsia="en-AU"/>
        </w:rPr>
        <w:t>b</w:t>
      </w:r>
      <w:r w:rsidRPr="00032BCA">
        <w:rPr>
          <w:rFonts w:ascii="Arial" w:hAnsi="Arial" w:cs="Arial"/>
          <w:sz w:val="24"/>
          <w:szCs w:val="24"/>
          <w:lang w:eastAsia="en-AU"/>
        </w:rPr>
        <w:t>lood and lymphatic system disorders’, ‘</w:t>
      </w:r>
      <w:r w:rsidR="00747540">
        <w:rPr>
          <w:rFonts w:ascii="Arial" w:hAnsi="Arial" w:cs="Arial"/>
          <w:sz w:val="24"/>
          <w:szCs w:val="24"/>
          <w:lang w:eastAsia="en-AU"/>
        </w:rPr>
        <w:t>g</w:t>
      </w:r>
      <w:r w:rsidRPr="00032BCA">
        <w:rPr>
          <w:rFonts w:ascii="Arial" w:hAnsi="Arial" w:cs="Arial"/>
          <w:sz w:val="24"/>
          <w:szCs w:val="24"/>
          <w:lang w:eastAsia="en-AU"/>
        </w:rPr>
        <w:t>astrointestinal disorders’, ‘</w:t>
      </w:r>
      <w:r w:rsidR="00747540">
        <w:rPr>
          <w:rFonts w:ascii="Arial" w:hAnsi="Arial" w:cs="Arial"/>
          <w:sz w:val="24"/>
          <w:szCs w:val="24"/>
          <w:lang w:eastAsia="en-AU"/>
        </w:rPr>
        <w:t>i</w:t>
      </w:r>
      <w:r w:rsidRPr="00032BCA">
        <w:rPr>
          <w:rFonts w:ascii="Arial" w:hAnsi="Arial" w:cs="Arial"/>
          <w:sz w:val="24"/>
          <w:szCs w:val="24"/>
          <w:lang w:eastAsia="en-AU"/>
        </w:rPr>
        <w:t>nfections and infestations’ and ‘</w:t>
      </w:r>
      <w:r w:rsidR="00747540">
        <w:rPr>
          <w:rFonts w:ascii="Arial" w:hAnsi="Arial" w:cs="Arial"/>
          <w:sz w:val="24"/>
          <w:szCs w:val="24"/>
          <w:lang w:eastAsia="en-AU"/>
        </w:rPr>
        <w:t>g</w:t>
      </w:r>
      <w:r w:rsidRPr="00032BCA">
        <w:rPr>
          <w:rFonts w:ascii="Arial" w:hAnsi="Arial" w:cs="Arial"/>
          <w:sz w:val="24"/>
          <w:szCs w:val="24"/>
          <w:lang w:eastAsia="en-AU"/>
        </w:rPr>
        <w:t>eneral disorders and administration site conditions’.  This information is consistent with pre-marketing experience.</w:t>
      </w:r>
    </w:p>
    <w:p w:rsidR="00EF6A76" w:rsidRPr="00032BCA" w:rsidRDefault="00EF6A76" w:rsidP="001C7A08">
      <w:pPr>
        <w:spacing w:after="0"/>
        <w:rPr>
          <w:rFonts w:ascii="Arial" w:hAnsi="Arial" w:cs="Arial"/>
          <w:sz w:val="24"/>
          <w:szCs w:val="24"/>
        </w:rPr>
      </w:pPr>
    </w:p>
    <w:p w:rsidR="00EF6A76" w:rsidRPr="00032BCA" w:rsidRDefault="00EF6A76" w:rsidP="00613D08">
      <w:pPr>
        <w:spacing w:after="0"/>
        <w:rPr>
          <w:rFonts w:ascii="Arial" w:hAnsi="Arial" w:cs="Arial"/>
          <w:b/>
          <w:sz w:val="24"/>
          <w:szCs w:val="24"/>
          <w:lang w:eastAsia="en-AU"/>
        </w:rPr>
      </w:pPr>
      <w:r w:rsidRPr="00032BCA">
        <w:rPr>
          <w:rFonts w:ascii="Arial" w:hAnsi="Arial" w:cs="Arial"/>
          <w:b/>
          <w:sz w:val="24"/>
          <w:szCs w:val="24"/>
          <w:lang w:eastAsia="en-AU"/>
        </w:rPr>
        <w:t>Infections and infestations</w:t>
      </w:r>
    </w:p>
    <w:p w:rsidR="00EF6A76" w:rsidRPr="00032BCA" w:rsidRDefault="00EF6A76" w:rsidP="00613D08">
      <w:pPr>
        <w:spacing w:after="0"/>
        <w:rPr>
          <w:rFonts w:ascii="Arial" w:hAnsi="Arial" w:cs="Arial"/>
          <w:b/>
          <w:i/>
          <w:sz w:val="24"/>
          <w:szCs w:val="24"/>
          <w:lang w:eastAsia="en-AU"/>
        </w:rPr>
      </w:pPr>
    </w:p>
    <w:p w:rsidR="00EF6A76" w:rsidRPr="00032BCA" w:rsidRDefault="00EF6A76" w:rsidP="00C33008">
      <w:pPr>
        <w:spacing w:after="0"/>
        <w:ind w:left="2160" w:hanging="2160"/>
        <w:rPr>
          <w:rFonts w:ascii="Arial" w:hAnsi="Arial" w:cs="Arial"/>
          <w:sz w:val="24"/>
          <w:szCs w:val="24"/>
          <w:lang w:val="en-US"/>
        </w:rPr>
      </w:pPr>
      <w:r w:rsidRPr="00032BCA">
        <w:rPr>
          <w:rFonts w:ascii="Arial" w:hAnsi="Arial" w:cs="Arial"/>
          <w:sz w:val="24"/>
          <w:szCs w:val="24"/>
          <w:lang w:eastAsia="en-AU"/>
        </w:rPr>
        <w:t>Very common:</w:t>
      </w:r>
      <w:r w:rsidRPr="00032BCA">
        <w:rPr>
          <w:rFonts w:ascii="Arial" w:hAnsi="Arial" w:cs="Arial"/>
          <w:sz w:val="24"/>
          <w:szCs w:val="24"/>
          <w:lang w:eastAsia="en-AU"/>
        </w:rPr>
        <w:tab/>
      </w:r>
      <w:r w:rsidRPr="00032BCA">
        <w:rPr>
          <w:rFonts w:ascii="Arial" w:hAnsi="Arial" w:cs="Arial"/>
          <w:sz w:val="24"/>
          <w:szCs w:val="24"/>
          <w:lang w:val="en-US"/>
        </w:rPr>
        <w:t xml:space="preserve">Bacterial, viral or fungal infections without </w:t>
      </w:r>
      <w:proofErr w:type="spellStart"/>
      <w:r w:rsidRPr="00032BCA">
        <w:rPr>
          <w:rFonts w:ascii="Arial" w:hAnsi="Arial" w:cs="Arial"/>
          <w:sz w:val="24"/>
          <w:szCs w:val="24"/>
          <w:lang w:val="en-US"/>
        </w:rPr>
        <w:t>neutropenia</w:t>
      </w:r>
      <w:proofErr w:type="spellEnd"/>
      <w:r w:rsidRPr="00032BCA">
        <w:rPr>
          <w:rFonts w:ascii="Arial" w:hAnsi="Arial" w:cs="Arial"/>
          <w:sz w:val="24"/>
          <w:szCs w:val="24"/>
          <w:lang w:val="en-US"/>
        </w:rPr>
        <w:t xml:space="preserve"> at different sites: G1-4: 12.7%; G3-4: 4.4%.</w:t>
      </w:r>
    </w:p>
    <w:p w:rsidR="00EF6A76" w:rsidRPr="00032BCA" w:rsidRDefault="00EF6A76" w:rsidP="00C33008">
      <w:pPr>
        <w:spacing w:after="0"/>
        <w:ind w:left="2160" w:hanging="2160"/>
        <w:rPr>
          <w:rFonts w:ascii="Arial" w:hAnsi="Arial" w:cs="Arial"/>
          <w:sz w:val="24"/>
          <w:szCs w:val="24"/>
          <w:lang w:val="en-US"/>
        </w:rPr>
      </w:pPr>
    </w:p>
    <w:p w:rsidR="00EF6A76" w:rsidRPr="00032BCA" w:rsidRDefault="00EF6A76" w:rsidP="00C33008">
      <w:pPr>
        <w:spacing w:after="0"/>
        <w:ind w:left="2160" w:hanging="2160"/>
        <w:rPr>
          <w:rFonts w:ascii="Arial" w:hAnsi="Arial" w:cs="Arial"/>
          <w:sz w:val="24"/>
          <w:szCs w:val="24"/>
          <w:lang w:val="en-US"/>
        </w:rPr>
      </w:pPr>
      <w:r w:rsidRPr="00032BCA">
        <w:rPr>
          <w:rFonts w:ascii="Arial" w:hAnsi="Arial" w:cs="Arial"/>
          <w:sz w:val="24"/>
          <w:szCs w:val="24"/>
          <w:lang w:val="en-US"/>
        </w:rPr>
        <w:lastRenderedPageBreak/>
        <w:t>Common:</w:t>
      </w:r>
      <w:r w:rsidRPr="00032BCA">
        <w:rPr>
          <w:rFonts w:ascii="Arial" w:hAnsi="Arial" w:cs="Arial"/>
          <w:sz w:val="24"/>
          <w:szCs w:val="24"/>
          <w:lang w:val="en-US"/>
        </w:rPr>
        <w:tab/>
        <w:t>Bacterial, viral or fungal infections resulting from bone marrow depression and/or immune system compromise (</w:t>
      </w:r>
      <w:proofErr w:type="spellStart"/>
      <w:r w:rsidRPr="00032BCA">
        <w:rPr>
          <w:rFonts w:ascii="Arial" w:hAnsi="Arial" w:cs="Arial"/>
          <w:sz w:val="24"/>
          <w:szCs w:val="24"/>
          <w:lang w:val="en-US"/>
        </w:rPr>
        <w:t>neutropenic</w:t>
      </w:r>
      <w:proofErr w:type="spellEnd"/>
      <w:r w:rsidRPr="00032BCA">
        <w:rPr>
          <w:rFonts w:ascii="Arial" w:hAnsi="Arial" w:cs="Arial"/>
          <w:sz w:val="24"/>
          <w:szCs w:val="24"/>
          <w:lang w:val="en-US"/>
        </w:rPr>
        <w:t xml:space="preserve"> infections).  Usually reversible with an appropriate treatment.</w:t>
      </w:r>
    </w:p>
    <w:p w:rsidR="00EF6A76" w:rsidRPr="00032BCA" w:rsidRDefault="00EF6A76" w:rsidP="00C33008">
      <w:pPr>
        <w:spacing w:after="0"/>
        <w:ind w:left="2160" w:hanging="2160"/>
        <w:rPr>
          <w:rFonts w:ascii="Arial" w:hAnsi="Arial" w:cs="Arial"/>
          <w:sz w:val="24"/>
          <w:szCs w:val="24"/>
          <w:lang w:val="en-US"/>
        </w:rPr>
      </w:pPr>
      <w:r w:rsidRPr="00032BCA">
        <w:rPr>
          <w:rFonts w:ascii="Arial" w:hAnsi="Arial" w:cs="Arial"/>
          <w:b/>
          <w:sz w:val="24"/>
          <w:szCs w:val="24"/>
          <w:lang w:eastAsia="en-AU"/>
        </w:rPr>
        <w:tab/>
      </w:r>
      <w:proofErr w:type="spellStart"/>
      <w:r w:rsidRPr="00032BCA">
        <w:rPr>
          <w:rFonts w:ascii="Arial" w:hAnsi="Arial" w:cs="Arial"/>
          <w:sz w:val="24"/>
          <w:szCs w:val="24"/>
          <w:lang w:val="en-US"/>
        </w:rPr>
        <w:t>Neutropenic</w:t>
      </w:r>
      <w:proofErr w:type="spellEnd"/>
      <w:r w:rsidRPr="00032BCA">
        <w:rPr>
          <w:rFonts w:ascii="Arial" w:hAnsi="Arial" w:cs="Arial"/>
          <w:sz w:val="24"/>
          <w:szCs w:val="24"/>
          <w:lang w:val="en-US"/>
        </w:rPr>
        <w:t xml:space="preserve"> infection: G3-4: 3.5%.</w:t>
      </w:r>
    </w:p>
    <w:p w:rsidR="00EF6A76" w:rsidRPr="00032BCA" w:rsidRDefault="00EF6A76" w:rsidP="00C33008">
      <w:pPr>
        <w:spacing w:after="0"/>
        <w:ind w:left="2160" w:hanging="2160"/>
        <w:rPr>
          <w:rFonts w:ascii="Arial" w:hAnsi="Arial" w:cs="Arial"/>
          <w:sz w:val="24"/>
          <w:szCs w:val="24"/>
          <w:lang w:val="en-US"/>
        </w:rPr>
      </w:pPr>
    </w:p>
    <w:p w:rsidR="00EF6A76" w:rsidRPr="00032BCA" w:rsidRDefault="00EF6A76" w:rsidP="00C33008">
      <w:pPr>
        <w:spacing w:after="0"/>
        <w:ind w:left="2160" w:hanging="2160"/>
        <w:rPr>
          <w:rFonts w:ascii="Arial" w:hAnsi="Arial" w:cs="Arial"/>
          <w:sz w:val="24"/>
          <w:szCs w:val="24"/>
          <w:lang w:val="en-US"/>
        </w:rPr>
      </w:pPr>
      <w:r w:rsidRPr="00032BCA">
        <w:rPr>
          <w:rFonts w:ascii="Arial" w:hAnsi="Arial" w:cs="Arial"/>
          <w:sz w:val="24"/>
          <w:szCs w:val="24"/>
          <w:lang w:val="en-US"/>
        </w:rPr>
        <w:t>Not known:</w:t>
      </w:r>
      <w:r w:rsidRPr="00032BCA">
        <w:rPr>
          <w:rFonts w:ascii="Arial" w:hAnsi="Arial" w:cs="Arial"/>
          <w:sz w:val="24"/>
          <w:szCs w:val="24"/>
          <w:lang w:val="en-US"/>
        </w:rPr>
        <w:tab/>
      </w:r>
      <w:proofErr w:type="spellStart"/>
      <w:r w:rsidRPr="00032BCA">
        <w:rPr>
          <w:rFonts w:ascii="Arial" w:hAnsi="Arial" w:cs="Arial"/>
          <w:sz w:val="24"/>
          <w:szCs w:val="24"/>
          <w:lang w:val="en-US"/>
        </w:rPr>
        <w:t>Neutropenic</w:t>
      </w:r>
      <w:proofErr w:type="spellEnd"/>
      <w:r w:rsidRPr="00032BCA">
        <w:rPr>
          <w:rFonts w:ascii="Arial" w:hAnsi="Arial" w:cs="Arial"/>
          <w:sz w:val="24"/>
          <w:szCs w:val="24"/>
          <w:lang w:val="en-US"/>
        </w:rPr>
        <w:t xml:space="preserve"> sepsis</w:t>
      </w:r>
    </w:p>
    <w:p w:rsidR="00EF6A76" w:rsidRPr="00032BCA" w:rsidRDefault="00EF6A76" w:rsidP="00C33008">
      <w:pPr>
        <w:spacing w:after="0"/>
        <w:ind w:left="2160" w:hanging="2160"/>
        <w:rPr>
          <w:rFonts w:ascii="Arial" w:hAnsi="Arial" w:cs="Arial"/>
          <w:sz w:val="24"/>
          <w:szCs w:val="24"/>
          <w:lang w:val="en-US"/>
        </w:rPr>
      </w:pPr>
    </w:p>
    <w:p w:rsidR="00EF6A76" w:rsidRPr="00032BCA" w:rsidRDefault="00EF6A76" w:rsidP="00C33008">
      <w:pPr>
        <w:spacing w:after="0"/>
        <w:ind w:left="2160" w:hanging="2160"/>
        <w:rPr>
          <w:rFonts w:ascii="Arial" w:hAnsi="Arial" w:cs="Arial"/>
          <w:b/>
          <w:sz w:val="24"/>
          <w:szCs w:val="24"/>
          <w:lang w:eastAsia="en-AU"/>
        </w:rPr>
      </w:pPr>
      <w:r w:rsidRPr="00032BCA">
        <w:rPr>
          <w:rFonts w:ascii="Arial" w:hAnsi="Arial" w:cs="Arial"/>
          <w:b/>
          <w:sz w:val="24"/>
          <w:szCs w:val="24"/>
          <w:lang w:eastAsia="en-AU"/>
        </w:rPr>
        <w:t>Blood and lymphatic system disorders</w:t>
      </w:r>
    </w:p>
    <w:p w:rsidR="00EF6A76" w:rsidRPr="00032BCA" w:rsidRDefault="00EF6A76" w:rsidP="00C33008">
      <w:pPr>
        <w:spacing w:after="0"/>
        <w:ind w:left="2160" w:hanging="2160"/>
        <w:rPr>
          <w:rFonts w:ascii="Arial" w:hAnsi="Arial" w:cs="Arial"/>
          <w:b/>
          <w:sz w:val="24"/>
          <w:szCs w:val="24"/>
          <w:lang w:eastAsia="en-AU"/>
        </w:rPr>
      </w:pPr>
    </w:p>
    <w:p w:rsidR="00EF6A76" w:rsidRPr="00032BCA" w:rsidRDefault="00EF6A76" w:rsidP="005172EA">
      <w:pPr>
        <w:spacing w:after="0"/>
        <w:ind w:left="2160" w:hanging="2160"/>
        <w:rPr>
          <w:rFonts w:ascii="Arial" w:hAnsi="Arial" w:cs="Arial"/>
          <w:sz w:val="24"/>
          <w:szCs w:val="24"/>
          <w:lang w:val="en-US"/>
        </w:rPr>
      </w:pPr>
      <w:r w:rsidRPr="00032BCA">
        <w:rPr>
          <w:rFonts w:ascii="Arial" w:hAnsi="Arial" w:cs="Arial"/>
          <w:sz w:val="24"/>
          <w:szCs w:val="24"/>
          <w:lang w:eastAsia="en-AU"/>
        </w:rPr>
        <w:t>Very common:</w:t>
      </w:r>
      <w:r w:rsidRPr="00032BCA">
        <w:rPr>
          <w:rFonts w:ascii="Arial" w:hAnsi="Arial" w:cs="Arial"/>
          <w:sz w:val="24"/>
          <w:szCs w:val="24"/>
          <w:lang w:eastAsia="en-AU"/>
        </w:rPr>
        <w:tab/>
      </w:r>
      <w:r w:rsidRPr="00032BCA">
        <w:rPr>
          <w:rFonts w:ascii="Arial" w:hAnsi="Arial" w:cs="Arial"/>
          <w:sz w:val="24"/>
          <w:szCs w:val="24"/>
          <w:lang w:val="en-US"/>
        </w:rPr>
        <w:t xml:space="preserve">Bone marrow depression resulting mainly in </w:t>
      </w:r>
      <w:proofErr w:type="spellStart"/>
      <w:r w:rsidRPr="00032BCA">
        <w:rPr>
          <w:rFonts w:ascii="Arial" w:hAnsi="Arial" w:cs="Arial"/>
          <w:sz w:val="24"/>
          <w:szCs w:val="24"/>
          <w:lang w:val="en-US"/>
        </w:rPr>
        <w:t>neutropenia</w:t>
      </w:r>
      <w:proofErr w:type="spellEnd"/>
      <w:r w:rsidRPr="00032BCA">
        <w:rPr>
          <w:rFonts w:ascii="Arial" w:hAnsi="Arial" w:cs="Arial"/>
          <w:sz w:val="24"/>
          <w:szCs w:val="24"/>
          <w:lang w:val="en-US"/>
        </w:rPr>
        <w:t>:       G1-4: 71.5%; G3: 21.8%; G4: 25.9%, is reversible and is the dose limiting toxicity.</w:t>
      </w:r>
    </w:p>
    <w:p w:rsidR="00EF6A76" w:rsidRPr="00032BCA" w:rsidRDefault="00EF6A76" w:rsidP="005172EA">
      <w:pPr>
        <w:spacing w:after="0"/>
        <w:ind w:left="2160" w:hanging="2160"/>
        <w:rPr>
          <w:rFonts w:ascii="Arial" w:hAnsi="Arial" w:cs="Arial"/>
          <w:sz w:val="24"/>
          <w:szCs w:val="24"/>
          <w:lang w:val="en-US"/>
        </w:rPr>
      </w:pPr>
      <w:r w:rsidRPr="00032BCA">
        <w:rPr>
          <w:rFonts w:ascii="Arial" w:hAnsi="Arial" w:cs="Arial"/>
          <w:sz w:val="24"/>
          <w:szCs w:val="24"/>
          <w:lang w:val="en-US"/>
        </w:rPr>
        <w:tab/>
        <w:t>Leucopenia: G1-4: 70.6%; G3: 24.7%; G4: 6%,</w:t>
      </w:r>
    </w:p>
    <w:p w:rsidR="00EF6A76" w:rsidRPr="00032BCA" w:rsidRDefault="00EF6A76" w:rsidP="005172EA">
      <w:pPr>
        <w:spacing w:after="0"/>
        <w:ind w:left="2160" w:hanging="2160"/>
        <w:rPr>
          <w:rFonts w:ascii="Arial" w:hAnsi="Arial" w:cs="Arial"/>
          <w:sz w:val="24"/>
          <w:szCs w:val="24"/>
          <w:lang w:val="en-US"/>
        </w:rPr>
      </w:pPr>
      <w:r w:rsidRPr="00032BCA">
        <w:rPr>
          <w:rFonts w:ascii="Arial" w:hAnsi="Arial" w:cs="Arial"/>
          <w:sz w:val="24"/>
          <w:szCs w:val="24"/>
          <w:lang w:val="en-US"/>
        </w:rPr>
        <w:tab/>
      </w:r>
      <w:proofErr w:type="spellStart"/>
      <w:r w:rsidRPr="00032BCA">
        <w:rPr>
          <w:rFonts w:ascii="Arial" w:hAnsi="Arial" w:cs="Arial"/>
          <w:sz w:val="24"/>
          <w:szCs w:val="24"/>
          <w:lang w:val="en-US"/>
        </w:rPr>
        <w:t>Anaemia</w:t>
      </w:r>
      <w:proofErr w:type="spellEnd"/>
      <w:r w:rsidRPr="00032BCA">
        <w:rPr>
          <w:rFonts w:ascii="Arial" w:hAnsi="Arial" w:cs="Arial"/>
          <w:sz w:val="24"/>
          <w:szCs w:val="24"/>
          <w:lang w:val="en-US"/>
        </w:rPr>
        <w:t>: G1-4: 67.4%; G3-4: 3.8%.</w:t>
      </w:r>
    </w:p>
    <w:p w:rsidR="00EF6A76" w:rsidRPr="00032BCA" w:rsidRDefault="00EF6A76" w:rsidP="005172EA">
      <w:pPr>
        <w:spacing w:after="0"/>
        <w:ind w:left="2160"/>
        <w:rPr>
          <w:rFonts w:ascii="Arial" w:hAnsi="Arial" w:cs="Arial"/>
          <w:sz w:val="24"/>
          <w:szCs w:val="24"/>
          <w:lang w:val="en-US"/>
        </w:rPr>
      </w:pPr>
      <w:r w:rsidRPr="00032BCA">
        <w:rPr>
          <w:rFonts w:ascii="Arial" w:hAnsi="Arial" w:cs="Arial"/>
          <w:sz w:val="24"/>
          <w:szCs w:val="24"/>
          <w:lang w:val="en-US"/>
        </w:rPr>
        <w:t>Thrombocytopenia: G1-2: 10.8%.</w:t>
      </w:r>
    </w:p>
    <w:p w:rsidR="00EF6A76" w:rsidRPr="00032BCA" w:rsidRDefault="00EF6A76" w:rsidP="005172EA">
      <w:pPr>
        <w:spacing w:after="0"/>
        <w:ind w:left="2160" w:hanging="2160"/>
        <w:rPr>
          <w:rFonts w:ascii="Arial" w:hAnsi="Arial" w:cs="Arial"/>
          <w:sz w:val="24"/>
          <w:szCs w:val="24"/>
          <w:lang w:val="en-US"/>
        </w:rPr>
      </w:pPr>
      <w:r w:rsidRPr="00032BCA">
        <w:rPr>
          <w:rFonts w:ascii="Arial" w:hAnsi="Arial" w:cs="Arial"/>
          <w:sz w:val="24"/>
          <w:szCs w:val="24"/>
          <w:lang w:val="en-US"/>
        </w:rPr>
        <w:t xml:space="preserve">  </w:t>
      </w:r>
    </w:p>
    <w:p w:rsidR="00EF6A76" w:rsidRPr="00032BCA" w:rsidRDefault="00EF6A76" w:rsidP="005172EA">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r>
      <w:proofErr w:type="spellStart"/>
      <w:r w:rsidRPr="00032BCA">
        <w:rPr>
          <w:rFonts w:ascii="Arial" w:hAnsi="Arial" w:cs="Arial"/>
          <w:sz w:val="24"/>
          <w:szCs w:val="24"/>
          <w:lang w:val="en-US"/>
        </w:rPr>
        <w:t>Neutropenia</w:t>
      </w:r>
      <w:proofErr w:type="spellEnd"/>
      <w:r w:rsidRPr="00032BCA">
        <w:rPr>
          <w:rFonts w:ascii="Arial" w:hAnsi="Arial" w:cs="Arial"/>
          <w:sz w:val="24"/>
          <w:szCs w:val="24"/>
          <w:lang w:val="en-US"/>
        </w:rPr>
        <w:t xml:space="preserve"> associated with fever over 38</w:t>
      </w:r>
      <w:r w:rsidRPr="00032BCA">
        <w:rPr>
          <w:rFonts w:ascii="Arial" w:hAnsi="Arial" w:cs="Arial"/>
          <w:sz w:val="24"/>
          <w:szCs w:val="24"/>
          <w:vertAlign w:val="superscript"/>
          <w:lang w:val="en-US"/>
        </w:rPr>
        <w:t>o</w:t>
      </w:r>
      <w:r w:rsidRPr="00032BCA">
        <w:rPr>
          <w:rFonts w:ascii="Arial" w:hAnsi="Arial" w:cs="Arial"/>
          <w:sz w:val="24"/>
          <w:szCs w:val="24"/>
          <w:lang w:val="en-US"/>
        </w:rPr>
        <w:t xml:space="preserve">C including febrile </w:t>
      </w:r>
      <w:proofErr w:type="spellStart"/>
      <w:r w:rsidRPr="00032BCA">
        <w:rPr>
          <w:rFonts w:ascii="Arial" w:hAnsi="Arial" w:cs="Arial"/>
          <w:sz w:val="24"/>
          <w:szCs w:val="24"/>
          <w:lang w:val="en-US"/>
        </w:rPr>
        <w:t>neutropenia</w:t>
      </w:r>
      <w:proofErr w:type="spellEnd"/>
      <w:r w:rsidRPr="00032BCA">
        <w:rPr>
          <w:rFonts w:ascii="Arial" w:hAnsi="Arial" w:cs="Arial"/>
          <w:sz w:val="24"/>
          <w:szCs w:val="24"/>
          <w:lang w:val="en-US"/>
        </w:rPr>
        <w:t>: G4: 2.8%.</w:t>
      </w:r>
    </w:p>
    <w:p w:rsidR="00EF6A76" w:rsidRPr="00032BCA" w:rsidRDefault="00EF6A76" w:rsidP="005172EA">
      <w:pPr>
        <w:spacing w:after="0"/>
        <w:ind w:left="2160" w:hanging="2160"/>
        <w:rPr>
          <w:rFonts w:ascii="Arial" w:hAnsi="Arial" w:cs="Arial"/>
          <w:sz w:val="24"/>
          <w:szCs w:val="24"/>
          <w:lang w:val="en-US"/>
        </w:rPr>
      </w:pPr>
    </w:p>
    <w:p w:rsidR="00EF6A76" w:rsidRPr="00032BCA" w:rsidRDefault="00EF6A76" w:rsidP="00C33008">
      <w:pPr>
        <w:spacing w:after="0"/>
        <w:ind w:left="2160" w:hanging="2160"/>
        <w:rPr>
          <w:rFonts w:ascii="Arial" w:hAnsi="Arial" w:cs="Arial"/>
          <w:b/>
          <w:sz w:val="24"/>
          <w:szCs w:val="24"/>
          <w:lang w:eastAsia="en-AU"/>
        </w:rPr>
      </w:pPr>
      <w:r w:rsidRPr="00032BCA">
        <w:rPr>
          <w:rFonts w:ascii="Arial" w:hAnsi="Arial" w:cs="Arial"/>
          <w:b/>
          <w:sz w:val="24"/>
          <w:szCs w:val="24"/>
          <w:lang w:eastAsia="en-AU"/>
        </w:rPr>
        <w:t>Metabolism and nutrition disorders</w:t>
      </w:r>
    </w:p>
    <w:p w:rsidR="00EF6A76" w:rsidRPr="00032BCA" w:rsidRDefault="00EF6A76" w:rsidP="00C33008">
      <w:pPr>
        <w:spacing w:after="0"/>
        <w:ind w:left="2160" w:hanging="2160"/>
        <w:rPr>
          <w:rFonts w:ascii="Arial" w:hAnsi="Arial" w:cs="Arial"/>
          <w:b/>
          <w:sz w:val="24"/>
          <w:szCs w:val="24"/>
          <w:lang w:eastAsia="en-AU"/>
        </w:rPr>
      </w:pP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Not known:</w:t>
      </w:r>
      <w:r w:rsidRPr="00032BCA">
        <w:rPr>
          <w:rFonts w:ascii="Arial" w:hAnsi="Arial" w:cs="Arial"/>
          <w:sz w:val="24"/>
          <w:szCs w:val="24"/>
          <w:lang w:val="en-US"/>
        </w:rPr>
        <w:tab/>
        <w:t xml:space="preserve">Severe </w:t>
      </w:r>
      <w:proofErr w:type="spellStart"/>
      <w:r w:rsidRPr="00032BCA">
        <w:rPr>
          <w:rFonts w:ascii="Arial" w:hAnsi="Arial" w:cs="Arial"/>
          <w:sz w:val="24"/>
          <w:szCs w:val="24"/>
          <w:lang w:val="en-US"/>
        </w:rPr>
        <w:t>hyponatraemia</w:t>
      </w:r>
      <w:proofErr w:type="spellEnd"/>
    </w:p>
    <w:p w:rsidR="00EF6A76" w:rsidRPr="00032BCA" w:rsidRDefault="00EF6A76" w:rsidP="001D4445">
      <w:pPr>
        <w:spacing w:after="0"/>
        <w:ind w:left="2160" w:hanging="2160"/>
        <w:rPr>
          <w:rFonts w:ascii="Arial" w:hAnsi="Arial" w:cs="Arial"/>
          <w:sz w:val="24"/>
          <w:szCs w:val="24"/>
          <w:lang w:val="en-US"/>
        </w:rPr>
      </w:pPr>
    </w:p>
    <w:p w:rsidR="00EF6A76" w:rsidRPr="00032BCA" w:rsidRDefault="00EF6A76" w:rsidP="001D4445">
      <w:pPr>
        <w:spacing w:after="0"/>
        <w:ind w:left="2160" w:hanging="2160"/>
        <w:rPr>
          <w:rFonts w:ascii="Arial" w:hAnsi="Arial" w:cs="Arial"/>
          <w:b/>
          <w:sz w:val="24"/>
          <w:szCs w:val="24"/>
          <w:lang w:eastAsia="en-AU"/>
        </w:rPr>
      </w:pPr>
      <w:proofErr w:type="spellStart"/>
      <w:r w:rsidRPr="00032BCA">
        <w:rPr>
          <w:rFonts w:ascii="Arial" w:hAnsi="Arial" w:cs="Arial"/>
          <w:b/>
          <w:sz w:val="24"/>
          <w:szCs w:val="24"/>
          <w:lang w:eastAsia="en-AU"/>
        </w:rPr>
        <w:t>Pychiatric</w:t>
      </w:r>
      <w:proofErr w:type="spellEnd"/>
      <w:r w:rsidRPr="00032BCA">
        <w:rPr>
          <w:rFonts w:ascii="Arial" w:hAnsi="Arial" w:cs="Arial"/>
          <w:b/>
          <w:sz w:val="24"/>
          <w:szCs w:val="24"/>
          <w:lang w:eastAsia="en-AU"/>
        </w:rPr>
        <w:t xml:space="preserve"> disorders</w:t>
      </w:r>
    </w:p>
    <w:p w:rsidR="00EF6A76" w:rsidRPr="00032BCA" w:rsidRDefault="00EF6A76" w:rsidP="001D4445">
      <w:pPr>
        <w:spacing w:after="0"/>
        <w:ind w:left="2160" w:hanging="2160"/>
        <w:rPr>
          <w:rFonts w:ascii="Arial" w:hAnsi="Arial" w:cs="Arial"/>
          <w:b/>
          <w:sz w:val="24"/>
          <w:szCs w:val="24"/>
          <w:lang w:eastAsia="en-AU"/>
        </w:rPr>
      </w:pP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Insomnia: G1-2: 2.8%.</w:t>
      </w:r>
    </w:p>
    <w:p w:rsidR="00EF6A76" w:rsidRPr="00032BCA" w:rsidRDefault="00EF6A76" w:rsidP="001D4445">
      <w:pPr>
        <w:spacing w:after="0"/>
        <w:ind w:left="2160" w:hanging="2160"/>
        <w:rPr>
          <w:rFonts w:ascii="Arial" w:hAnsi="Arial" w:cs="Arial"/>
          <w:sz w:val="24"/>
          <w:szCs w:val="24"/>
          <w:lang w:val="en-US"/>
        </w:rPr>
      </w:pPr>
    </w:p>
    <w:p w:rsidR="00EF6A76" w:rsidRPr="00032BCA" w:rsidRDefault="00EF6A76" w:rsidP="001D4445">
      <w:pPr>
        <w:spacing w:after="0"/>
        <w:rPr>
          <w:rFonts w:ascii="Arial" w:hAnsi="Arial" w:cs="Arial"/>
          <w:b/>
          <w:sz w:val="24"/>
          <w:szCs w:val="24"/>
          <w:lang w:eastAsia="en-AU"/>
        </w:rPr>
      </w:pPr>
      <w:r w:rsidRPr="00032BCA">
        <w:rPr>
          <w:rFonts w:ascii="Arial" w:hAnsi="Arial" w:cs="Arial"/>
          <w:b/>
          <w:sz w:val="24"/>
          <w:szCs w:val="24"/>
          <w:lang w:eastAsia="en-AU"/>
        </w:rPr>
        <w:t>Nervous system disorders</w:t>
      </w:r>
    </w:p>
    <w:p w:rsidR="00EF6A76" w:rsidRPr="00032BCA" w:rsidRDefault="00EF6A76" w:rsidP="001D4445">
      <w:pPr>
        <w:spacing w:after="0"/>
        <w:rPr>
          <w:rFonts w:ascii="Arial" w:hAnsi="Arial" w:cs="Arial"/>
          <w:b/>
          <w:sz w:val="24"/>
          <w:szCs w:val="24"/>
          <w:lang w:eastAsia="en-AU"/>
        </w:rPr>
      </w:pP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eastAsia="en-AU"/>
        </w:rPr>
        <w:t>Very common:</w:t>
      </w:r>
      <w:r w:rsidRPr="00032BCA">
        <w:rPr>
          <w:rFonts w:ascii="Arial" w:hAnsi="Arial" w:cs="Arial"/>
          <w:sz w:val="24"/>
          <w:szCs w:val="24"/>
          <w:lang w:eastAsia="en-AU"/>
        </w:rPr>
        <w:tab/>
      </w:r>
      <w:proofErr w:type="spellStart"/>
      <w:r w:rsidRPr="00032BCA">
        <w:rPr>
          <w:rFonts w:ascii="Arial" w:hAnsi="Arial" w:cs="Arial"/>
          <w:sz w:val="24"/>
          <w:szCs w:val="24"/>
          <w:lang w:val="en-US"/>
        </w:rPr>
        <w:t>Neurosensory</w:t>
      </w:r>
      <w:proofErr w:type="spellEnd"/>
      <w:r w:rsidRPr="00032BCA">
        <w:rPr>
          <w:rFonts w:ascii="Arial" w:hAnsi="Arial" w:cs="Arial"/>
          <w:sz w:val="24"/>
          <w:szCs w:val="24"/>
          <w:lang w:val="en-US"/>
        </w:rPr>
        <w:t xml:space="preserve"> disorders: G1-2: 11.1% were generally limited to loss of tendon reflexes and infrequently severe.</w:t>
      </w:r>
    </w:p>
    <w:p w:rsidR="00EF6A76" w:rsidRPr="00032BCA" w:rsidRDefault="00EF6A76" w:rsidP="001D4445">
      <w:pPr>
        <w:spacing w:after="0"/>
        <w:ind w:left="2160" w:hanging="2160"/>
        <w:rPr>
          <w:rFonts w:ascii="Arial" w:hAnsi="Arial" w:cs="Arial"/>
          <w:sz w:val="24"/>
          <w:szCs w:val="24"/>
          <w:lang w:val="en-US"/>
        </w:rPr>
      </w:pP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r>
      <w:proofErr w:type="spellStart"/>
      <w:r w:rsidRPr="00032BCA">
        <w:rPr>
          <w:rFonts w:ascii="Arial" w:hAnsi="Arial" w:cs="Arial"/>
          <w:sz w:val="24"/>
          <w:szCs w:val="24"/>
          <w:lang w:val="en-US"/>
        </w:rPr>
        <w:t>Neuromotor</w:t>
      </w:r>
      <w:proofErr w:type="spellEnd"/>
      <w:r w:rsidRPr="00032BCA">
        <w:rPr>
          <w:rFonts w:ascii="Arial" w:hAnsi="Arial" w:cs="Arial"/>
          <w:sz w:val="24"/>
          <w:szCs w:val="24"/>
          <w:lang w:val="en-US"/>
        </w:rPr>
        <w:t xml:space="preserve"> disorders: G1-4: 9.2%; G3-4: 1.3%.</w:t>
      </w: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ab/>
        <w:t>Headache: G1-4: 4.1%; G3-4: 0.6%.</w:t>
      </w: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ab/>
        <w:t>Dizziness: G1-4: 6%; G3-4: 0.6%.</w:t>
      </w: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ab/>
        <w:t>Taste disorders: G1-2: 3.8%.</w:t>
      </w:r>
    </w:p>
    <w:p w:rsidR="00EF6A76" w:rsidRPr="00032BCA" w:rsidRDefault="00EF6A76" w:rsidP="001D4445">
      <w:pPr>
        <w:spacing w:after="0"/>
        <w:ind w:left="2160" w:hanging="2160"/>
        <w:rPr>
          <w:rFonts w:ascii="Arial" w:hAnsi="Arial" w:cs="Arial"/>
          <w:sz w:val="24"/>
          <w:szCs w:val="24"/>
          <w:lang w:val="en-US"/>
        </w:rPr>
      </w:pPr>
    </w:p>
    <w:p w:rsidR="00EF6A76" w:rsidRPr="00032BCA" w:rsidRDefault="00EF6A76" w:rsidP="001D4445">
      <w:pPr>
        <w:spacing w:after="0"/>
        <w:ind w:left="2160" w:hanging="2160"/>
        <w:rPr>
          <w:rFonts w:ascii="Arial" w:hAnsi="Arial" w:cs="Arial"/>
          <w:sz w:val="24"/>
          <w:szCs w:val="24"/>
          <w:lang w:val="en-US"/>
        </w:rPr>
      </w:pPr>
      <w:r w:rsidRPr="00032BCA">
        <w:rPr>
          <w:rFonts w:ascii="Arial" w:hAnsi="Arial" w:cs="Arial"/>
          <w:sz w:val="24"/>
          <w:szCs w:val="24"/>
          <w:lang w:val="en-US"/>
        </w:rPr>
        <w:t>Uncommon:</w:t>
      </w:r>
      <w:r w:rsidRPr="00032BCA">
        <w:rPr>
          <w:rFonts w:ascii="Arial" w:hAnsi="Arial" w:cs="Arial"/>
          <w:sz w:val="24"/>
          <w:szCs w:val="24"/>
          <w:lang w:val="en-US"/>
        </w:rPr>
        <w:tab/>
        <w:t>Ataxia: G3: 0.3%.</w:t>
      </w:r>
    </w:p>
    <w:p w:rsidR="00EF6A76" w:rsidRPr="00032BCA" w:rsidRDefault="00EF6A76" w:rsidP="001D4445">
      <w:pPr>
        <w:spacing w:after="0"/>
        <w:ind w:left="2160" w:hanging="2160"/>
        <w:rPr>
          <w:rFonts w:ascii="Arial" w:hAnsi="Arial" w:cs="Arial"/>
          <w:sz w:val="24"/>
          <w:szCs w:val="24"/>
          <w:lang w:val="en-US"/>
        </w:rPr>
      </w:pPr>
    </w:p>
    <w:p w:rsidR="00EF6A76" w:rsidRPr="00032BCA" w:rsidRDefault="00EF6A76" w:rsidP="00F57017">
      <w:pPr>
        <w:spacing w:after="0"/>
        <w:ind w:left="2160" w:hanging="2160"/>
        <w:rPr>
          <w:rFonts w:ascii="Arial" w:hAnsi="Arial" w:cs="Arial"/>
          <w:b/>
          <w:sz w:val="24"/>
          <w:szCs w:val="24"/>
          <w:lang w:eastAsia="en-AU"/>
        </w:rPr>
      </w:pPr>
      <w:r w:rsidRPr="00032BCA">
        <w:rPr>
          <w:rFonts w:ascii="Arial" w:hAnsi="Arial" w:cs="Arial"/>
          <w:b/>
          <w:sz w:val="24"/>
          <w:szCs w:val="24"/>
          <w:lang w:eastAsia="en-AU"/>
        </w:rPr>
        <w:t>Eye disorders</w:t>
      </w:r>
    </w:p>
    <w:p w:rsidR="00EF6A76" w:rsidRPr="00032BCA" w:rsidRDefault="00EF6A76" w:rsidP="00F57017">
      <w:pPr>
        <w:spacing w:after="0"/>
        <w:ind w:left="2160" w:hanging="2160"/>
        <w:rPr>
          <w:rFonts w:ascii="Arial" w:hAnsi="Arial" w:cs="Arial"/>
          <w:b/>
          <w:sz w:val="24"/>
          <w:szCs w:val="24"/>
          <w:lang w:eastAsia="en-AU"/>
        </w:rPr>
      </w:pPr>
    </w:p>
    <w:p w:rsidR="00EF6A76" w:rsidRPr="00032BCA" w:rsidRDefault="00EF6A76" w:rsidP="00F57017">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Visual disorders: G1-2: 1.3%.</w:t>
      </w:r>
    </w:p>
    <w:p w:rsidR="00EF6A76" w:rsidRPr="00032BCA" w:rsidRDefault="00EF6A76" w:rsidP="00F57017">
      <w:pPr>
        <w:spacing w:after="0"/>
        <w:ind w:left="2160" w:hanging="2160"/>
        <w:rPr>
          <w:rFonts w:ascii="Arial" w:hAnsi="Arial" w:cs="Arial"/>
          <w:sz w:val="24"/>
          <w:szCs w:val="24"/>
          <w:lang w:val="en-US"/>
        </w:rPr>
      </w:pPr>
    </w:p>
    <w:p w:rsidR="00EF6A76" w:rsidRPr="00032BCA" w:rsidRDefault="00EF6A76" w:rsidP="00335BE5">
      <w:pPr>
        <w:spacing w:after="0"/>
        <w:rPr>
          <w:rFonts w:ascii="Arial" w:hAnsi="Arial" w:cs="Arial"/>
          <w:b/>
          <w:sz w:val="24"/>
          <w:szCs w:val="24"/>
          <w:lang w:eastAsia="en-AU"/>
        </w:rPr>
      </w:pPr>
      <w:r w:rsidRPr="00032BCA">
        <w:rPr>
          <w:rFonts w:ascii="Arial" w:hAnsi="Arial" w:cs="Arial"/>
          <w:b/>
          <w:sz w:val="24"/>
          <w:szCs w:val="24"/>
          <w:lang w:eastAsia="en-AU"/>
        </w:rPr>
        <w:t>Cardiac disorders</w:t>
      </w:r>
    </w:p>
    <w:p w:rsidR="00EF6A76" w:rsidRPr="00032BCA" w:rsidRDefault="00EF6A76" w:rsidP="00335BE5">
      <w:pPr>
        <w:spacing w:after="0"/>
        <w:rPr>
          <w:rFonts w:ascii="Arial" w:hAnsi="Arial" w:cs="Arial"/>
          <w:b/>
          <w:sz w:val="24"/>
          <w:szCs w:val="24"/>
          <w:lang w:eastAsia="en-AU"/>
        </w:rPr>
      </w:pPr>
    </w:p>
    <w:p w:rsidR="00EF6A76" w:rsidRPr="00032BCA" w:rsidRDefault="00EF6A76" w:rsidP="00335BE5">
      <w:pPr>
        <w:spacing w:after="0"/>
        <w:ind w:left="2160" w:hanging="2160"/>
        <w:rPr>
          <w:rFonts w:ascii="Arial" w:hAnsi="Arial" w:cs="Arial"/>
          <w:sz w:val="24"/>
          <w:szCs w:val="24"/>
          <w:lang w:val="en-US"/>
        </w:rPr>
      </w:pPr>
      <w:r w:rsidRPr="00032BCA">
        <w:rPr>
          <w:rFonts w:ascii="Arial" w:hAnsi="Arial" w:cs="Arial"/>
          <w:sz w:val="24"/>
          <w:szCs w:val="24"/>
          <w:lang w:val="en-US"/>
        </w:rPr>
        <w:t>Uncommon:</w:t>
      </w:r>
      <w:r w:rsidRPr="00032BCA">
        <w:rPr>
          <w:rFonts w:ascii="Arial" w:hAnsi="Arial" w:cs="Arial"/>
          <w:sz w:val="24"/>
          <w:szCs w:val="24"/>
          <w:lang w:val="en-US"/>
        </w:rPr>
        <w:tab/>
        <w:t xml:space="preserve">Heart failure and cardiac </w:t>
      </w:r>
      <w:proofErr w:type="spellStart"/>
      <w:r w:rsidRPr="00032BCA">
        <w:rPr>
          <w:rFonts w:ascii="Arial" w:hAnsi="Arial" w:cs="Arial"/>
          <w:sz w:val="24"/>
          <w:szCs w:val="24"/>
          <w:lang w:val="en-US"/>
        </w:rPr>
        <w:t>dysrhythmia</w:t>
      </w:r>
      <w:proofErr w:type="spellEnd"/>
    </w:p>
    <w:p w:rsidR="00EF6A76" w:rsidRPr="00032BCA" w:rsidRDefault="00EF6A76" w:rsidP="00F57017">
      <w:pPr>
        <w:spacing w:after="0"/>
        <w:ind w:left="2160" w:hanging="2160"/>
        <w:rPr>
          <w:rFonts w:ascii="Arial" w:hAnsi="Arial" w:cs="Arial"/>
          <w:sz w:val="24"/>
          <w:szCs w:val="24"/>
          <w:lang w:val="en-US"/>
        </w:rPr>
      </w:pPr>
    </w:p>
    <w:p w:rsidR="00EF6A76" w:rsidRPr="00032BCA" w:rsidRDefault="00EF6A76" w:rsidP="00335BE5">
      <w:pPr>
        <w:spacing w:after="0"/>
        <w:ind w:left="2160" w:hanging="2160"/>
        <w:rPr>
          <w:rFonts w:ascii="Arial" w:hAnsi="Arial" w:cs="Arial"/>
          <w:sz w:val="24"/>
          <w:szCs w:val="24"/>
          <w:lang w:val="en-US"/>
        </w:rPr>
      </w:pPr>
      <w:r w:rsidRPr="00032BCA">
        <w:rPr>
          <w:rFonts w:ascii="Arial" w:hAnsi="Arial" w:cs="Arial"/>
          <w:sz w:val="24"/>
          <w:szCs w:val="24"/>
          <w:lang w:val="en-US"/>
        </w:rPr>
        <w:t>Not known:</w:t>
      </w:r>
      <w:r w:rsidRPr="00032BCA">
        <w:rPr>
          <w:rFonts w:ascii="Arial" w:hAnsi="Arial" w:cs="Arial"/>
          <w:sz w:val="24"/>
          <w:szCs w:val="24"/>
          <w:lang w:val="en-US"/>
        </w:rPr>
        <w:tab/>
        <w:t>Myocardial infarction in patients with cardiac medical history or cardiac risk factors.</w:t>
      </w:r>
    </w:p>
    <w:p w:rsidR="00EF6A76" w:rsidRPr="00032BCA" w:rsidRDefault="00EF6A76" w:rsidP="00335BE5">
      <w:pPr>
        <w:spacing w:after="0"/>
        <w:ind w:left="2160" w:hanging="2160"/>
        <w:rPr>
          <w:rFonts w:ascii="Arial" w:hAnsi="Arial" w:cs="Arial"/>
          <w:sz w:val="24"/>
          <w:szCs w:val="24"/>
          <w:lang w:val="en-US"/>
        </w:rPr>
      </w:pPr>
    </w:p>
    <w:p w:rsidR="00EF6A76" w:rsidRPr="00032BCA" w:rsidRDefault="00EF6A76" w:rsidP="00335BE5">
      <w:pPr>
        <w:spacing w:after="0"/>
        <w:rPr>
          <w:rFonts w:ascii="Arial" w:hAnsi="Arial" w:cs="Arial"/>
          <w:b/>
          <w:sz w:val="24"/>
          <w:szCs w:val="24"/>
          <w:lang w:eastAsia="en-AU"/>
        </w:rPr>
      </w:pPr>
      <w:r w:rsidRPr="00032BCA">
        <w:rPr>
          <w:rFonts w:ascii="Arial" w:hAnsi="Arial" w:cs="Arial"/>
          <w:b/>
          <w:sz w:val="24"/>
          <w:szCs w:val="24"/>
          <w:lang w:eastAsia="en-AU"/>
        </w:rPr>
        <w:t>Vascular disorders</w:t>
      </w:r>
    </w:p>
    <w:p w:rsidR="00EF6A76" w:rsidRPr="00032BCA" w:rsidRDefault="00EF6A76" w:rsidP="00335BE5">
      <w:pPr>
        <w:spacing w:after="0"/>
        <w:rPr>
          <w:rFonts w:ascii="Arial" w:hAnsi="Arial" w:cs="Arial"/>
          <w:b/>
          <w:sz w:val="24"/>
          <w:szCs w:val="24"/>
          <w:lang w:eastAsia="en-AU"/>
        </w:rPr>
      </w:pPr>
    </w:p>
    <w:p w:rsidR="00EF6A76" w:rsidRPr="00032BCA" w:rsidRDefault="00EF6A76" w:rsidP="00335BE5">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Hypertension: G1-4: 2.5%; G3-4: 0.3%.</w:t>
      </w:r>
    </w:p>
    <w:p w:rsidR="00EF6A76" w:rsidRPr="00032BCA" w:rsidRDefault="00EF6A76" w:rsidP="00335BE5">
      <w:pPr>
        <w:spacing w:after="0"/>
        <w:ind w:left="2160" w:hanging="2160"/>
        <w:rPr>
          <w:rFonts w:ascii="Arial" w:hAnsi="Arial" w:cs="Arial"/>
          <w:sz w:val="24"/>
          <w:szCs w:val="24"/>
          <w:lang w:val="en-US"/>
        </w:rPr>
      </w:pPr>
      <w:r w:rsidRPr="00032BCA">
        <w:rPr>
          <w:rFonts w:ascii="Arial" w:hAnsi="Arial" w:cs="Arial"/>
          <w:sz w:val="24"/>
          <w:szCs w:val="24"/>
          <w:lang w:val="en-US"/>
        </w:rPr>
        <w:tab/>
        <w:t>Hypotension: G1-4: 2.2%; G3-4: 0.6%.</w:t>
      </w:r>
    </w:p>
    <w:p w:rsidR="00EF6A76" w:rsidRPr="00032BCA" w:rsidRDefault="00EF6A76" w:rsidP="00804B0A">
      <w:pPr>
        <w:spacing w:after="0"/>
        <w:ind w:left="2160" w:hanging="2160"/>
        <w:rPr>
          <w:rFonts w:ascii="Arial" w:hAnsi="Arial" w:cs="Arial"/>
          <w:sz w:val="24"/>
          <w:szCs w:val="24"/>
          <w:lang w:val="en-US"/>
        </w:rPr>
      </w:pPr>
      <w:r w:rsidRPr="00032BCA">
        <w:rPr>
          <w:rFonts w:ascii="Arial" w:hAnsi="Arial" w:cs="Arial"/>
          <w:sz w:val="24"/>
          <w:szCs w:val="24"/>
          <w:lang w:val="en-US"/>
        </w:rPr>
        <w:tab/>
      </w:r>
    </w:p>
    <w:p w:rsidR="00EF6A76" w:rsidRPr="00032BCA" w:rsidRDefault="00EF6A76" w:rsidP="003C4DD5">
      <w:pPr>
        <w:spacing w:after="0"/>
        <w:rPr>
          <w:rFonts w:ascii="Arial" w:hAnsi="Arial" w:cs="Arial"/>
          <w:b/>
          <w:sz w:val="24"/>
          <w:szCs w:val="24"/>
          <w:lang w:eastAsia="en-AU"/>
        </w:rPr>
      </w:pPr>
      <w:r w:rsidRPr="00032BCA">
        <w:rPr>
          <w:rFonts w:ascii="Arial" w:hAnsi="Arial" w:cs="Arial"/>
          <w:b/>
          <w:sz w:val="24"/>
          <w:szCs w:val="24"/>
          <w:lang w:eastAsia="en-AU"/>
        </w:rPr>
        <w:t xml:space="preserve">Respiratory system, thoracic and </w:t>
      </w:r>
      <w:proofErr w:type="spellStart"/>
      <w:r w:rsidRPr="00032BCA">
        <w:rPr>
          <w:rFonts w:ascii="Arial" w:hAnsi="Arial" w:cs="Arial"/>
          <w:b/>
          <w:sz w:val="24"/>
          <w:szCs w:val="24"/>
          <w:lang w:eastAsia="en-AU"/>
        </w:rPr>
        <w:t>mediastinal</w:t>
      </w:r>
      <w:proofErr w:type="spellEnd"/>
      <w:r w:rsidRPr="00032BCA">
        <w:rPr>
          <w:rFonts w:ascii="Arial" w:hAnsi="Arial" w:cs="Arial"/>
          <w:b/>
          <w:sz w:val="24"/>
          <w:szCs w:val="24"/>
          <w:lang w:eastAsia="en-AU"/>
        </w:rPr>
        <w:t xml:space="preserve"> disorders</w:t>
      </w:r>
    </w:p>
    <w:p w:rsidR="00EF6A76" w:rsidRPr="00032BCA" w:rsidRDefault="00EF6A76" w:rsidP="003C4DD5">
      <w:pPr>
        <w:spacing w:after="0"/>
        <w:rPr>
          <w:rFonts w:ascii="Arial" w:hAnsi="Arial" w:cs="Arial"/>
          <w:b/>
          <w:sz w:val="24"/>
          <w:szCs w:val="24"/>
          <w:lang w:eastAsia="en-AU"/>
        </w:rPr>
      </w:pPr>
    </w:p>
    <w:p w:rsidR="00EF6A76" w:rsidRPr="00032BCA" w:rsidRDefault="00EF6A76" w:rsidP="003C4DD5">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r>
      <w:proofErr w:type="spellStart"/>
      <w:r w:rsidRPr="00032BCA">
        <w:rPr>
          <w:rFonts w:ascii="Arial" w:hAnsi="Arial" w:cs="Arial"/>
          <w:sz w:val="24"/>
          <w:szCs w:val="24"/>
          <w:lang w:val="en-US"/>
        </w:rPr>
        <w:t>Dyspnoea</w:t>
      </w:r>
      <w:proofErr w:type="spellEnd"/>
      <w:r w:rsidRPr="00032BCA">
        <w:rPr>
          <w:rFonts w:ascii="Arial" w:hAnsi="Arial" w:cs="Arial"/>
          <w:sz w:val="24"/>
          <w:szCs w:val="24"/>
          <w:lang w:val="en-US"/>
        </w:rPr>
        <w:t>: G1-4: 2.8%; G3-4: 0.3%.</w:t>
      </w:r>
    </w:p>
    <w:p w:rsidR="00EF6A76" w:rsidRPr="00032BCA" w:rsidRDefault="00EF6A76" w:rsidP="003C4DD5">
      <w:pPr>
        <w:spacing w:after="0"/>
        <w:ind w:left="2160" w:hanging="2160"/>
        <w:rPr>
          <w:rFonts w:ascii="Arial" w:hAnsi="Arial" w:cs="Arial"/>
          <w:sz w:val="24"/>
          <w:szCs w:val="24"/>
          <w:lang w:val="en-US"/>
        </w:rPr>
      </w:pPr>
      <w:r w:rsidRPr="00032BCA">
        <w:rPr>
          <w:rFonts w:ascii="Arial" w:hAnsi="Arial" w:cs="Arial"/>
          <w:sz w:val="24"/>
          <w:szCs w:val="24"/>
          <w:lang w:val="en-US"/>
        </w:rPr>
        <w:tab/>
        <w:t>Cough: G1-2: 2.8%.</w:t>
      </w:r>
    </w:p>
    <w:p w:rsidR="00EF6A76" w:rsidRPr="00032BCA" w:rsidRDefault="00EF6A76" w:rsidP="00335BE5">
      <w:pPr>
        <w:spacing w:after="0"/>
        <w:ind w:left="2160" w:hanging="2160"/>
        <w:rPr>
          <w:rFonts w:ascii="Arial" w:hAnsi="Arial" w:cs="Arial"/>
          <w:sz w:val="24"/>
          <w:szCs w:val="24"/>
          <w:lang w:val="en-US"/>
        </w:rPr>
      </w:pPr>
    </w:p>
    <w:p w:rsidR="00EF6A76" w:rsidRPr="00032BCA" w:rsidRDefault="00EF6A76" w:rsidP="003C4DD5">
      <w:pPr>
        <w:spacing w:after="0"/>
        <w:ind w:left="2160" w:hanging="2160"/>
        <w:rPr>
          <w:rFonts w:ascii="Arial" w:hAnsi="Arial" w:cs="Arial"/>
          <w:b/>
          <w:sz w:val="24"/>
          <w:szCs w:val="24"/>
          <w:lang w:eastAsia="en-AU"/>
        </w:rPr>
      </w:pPr>
      <w:r w:rsidRPr="00032BCA">
        <w:rPr>
          <w:rFonts w:ascii="Arial" w:hAnsi="Arial" w:cs="Arial"/>
          <w:b/>
          <w:sz w:val="24"/>
          <w:szCs w:val="24"/>
          <w:lang w:eastAsia="en-AU"/>
        </w:rPr>
        <w:t>Gastrointestinal disorders</w:t>
      </w:r>
    </w:p>
    <w:p w:rsidR="00EF6A76" w:rsidRPr="00032BCA" w:rsidRDefault="00EF6A76" w:rsidP="003C4DD5">
      <w:pPr>
        <w:spacing w:after="0"/>
        <w:ind w:left="2160" w:hanging="2160"/>
        <w:rPr>
          <w:rFonts w:ascii="Arial" w:hAnsi="Arial" w:cs="Arial"/>
          <w:b/>
          <w:sz w:val="24"/>
          <w:szCs w:val="24"/>
          <w:lang w:eastAsia="en-AU"/>
        </w:rPr>
      </w:pPr>
    </w:p>
    <w:p w:rsidR="00EF6A76" w:rsidRPr="00032BCA" w:rsidRDefault="00EF6A76" w:rsidP="003C4DD5">
      <w:pPr>
        <w:spacing w:after="0"/>
        <w:ind w:left="2160" w:hanging="2160"/>
        <w:rPr>
          <w:rFonts w:ascii="Arial" w:hAnsi="Arial" w:cs="Arial"/>
          <w:sz w:val="24"/>
          <w:szCs w:val="24"/>
          <w:lang w:val="en-US"/>
        </w:rPr>
      </w:pPr>
      <w:r w:rsidRPr="00032BCA">
        <w:rPr>
          <w:rFonts w:ascii="Arial" w:hAnsi="Arial" w:cs="Arial"/>
          <w:sz w:val="24"/>
          <w:szCs w:val="24"/>
          <w:lang w:eastAsia="en-AU"/>
        </w:rPr>
        <w:t>Very common:</w:t>
      </w:r>
      <w:r w:rsidRPr="00032BCA">
        <w:rPr>
          <w:rFonts w:ascii="Arial" w:hAnsi="Arial" w:cs="Arial"/>
          <w:sz w:val="24"/>
          <w:szCs w:val="24"/>
          <w:lang w:eastAsia="en-AU"/>
        </w:rPr>
        <w:tab/>
      </w:r>
      <w:r w:rsidRPr="00032BCA">
        <w:rPr>
          <w:rFonts w:ascii="Arial" w:hAnsi="Arial" w:cs="Arial"/>
          <w:sz w:val="24"/>
          <w:szCs w:val="24"/>
          <w:lang w:val="en-US"/>
        </w:rPr>
        <w:t>Nausea: G1-4: 74.7%; G3-4: 7.3%.</w:t>
      </w:r>
    </w:p>
    <w:p w:rsidR="00EF6A76" w:rsidRPr="00032BCA" w:rsidRDefault="00EF6A76" w:rsidP="003C4DD5">
      <w:pPr>
        <w:spacing w:after="0"/>
        <w:ind w:left="2160"/>
        <w:rPr>
          <w:rFonts w:ascii="Arial" w:hAnsi="Arial" w:cs="Arial"/>
          <w:sz w:val="24"/>
          <w:szCs w:val="24"/>
          <w:lang w:val="en-US"/>
        </w:rPr>
      </w:pPr>
      <w:r w:rsidRPr="00032BCA">
        <w:rPr>
          <w:rFonts w:ascii="Arial" w:hAnsi="Arial" w:cs="Arial"/>
          <w:sz w:val="24"/>
          <w:szCs w:val="24"/>
          <w:lang w:val="en-US"/>
        </w:rPr>
        <w:t>Vomiting: G1-4: 54.7%; G3-4: 6.3%.</w:t>
      </w:r>
    </w:p>
    <w:p w:rsidR="00EF6A76" w:rsidRPr="00032BCA" w:rsidRDefault="00EF6A76" w:rsidP="003C4DD5">
      <w:pPr>
        <w:spacing w:after="0"/>
        <w:ind w:left="2160" w:hanging="2160"/>
        <w:rPr>
          <w:rFonts w:ascii="Arial" w:hAnsi="Arial" w:cs="Arial"/>
          <w:sz w:val="24"/>
          <w:szCs w:val="24"/>
          <w:lang w:val="en-US"/>
        </w:rPr>
      </w:pPr>
      <w:r w:rsidRPr="00032BCA">
        <w:rPr>
          <w:rFonts w:ascii="Arial" w:hAnsi="Arial" w:cs="Arial"/>
          <w:sz w:val="24"/>
          <w:szCs w:val="24"/>
          <w:lang w:val="en-US"/>
        </w:rPr>
        <w:tab/>
      </w:r>
      <w:proofErr w:type="spellStart"/>
      <w:r w:rsidRPr="00032BCA">
        <w:rPr>
          <w:rFonts w:ascii="Arial" w:hAnsi="Arial" w:cs="Arial"/>
          <w:sz w:val="24"/>
          <w:szCs w:val="24"/>
          <w:lang w:val="en-US"/>
        </w:rPr>
        <w:t>Diarrhoea</w:t>
      </w:r>
      <w:proofErr w:type="spellEnd"/>
      <w:r w:rsidRPr="00032BCA">
        <w:rPr>
          <w:rFonts w:ascii="Arial" w:hAnsi="Arial" w:cs="Arial"/>
          <w:sz w:val="24"/>
          <w:szCs w:val="24"/>
          <w:lang w:val="en-US"/>
        </w:rPr>
        <w:t>: G1-4: 49.7%; G3-4: 5.7%.</w:t>
      </w:r>
    </w:p>
    <w:p w:rsidR="00EF6A76" w:rsidRPr="00032BCA" w:rsidRDefault="00EF6A76" w:rsidP="003C4DD5">
      <w:pPr>
        <w:spacing w:after="0"/>
        <w:ind w:left="2160"/>
        <w:rPr>
          <w:rFonts w:ascii="Arial" w:hAnsi="Arial" w:cs="Arial"/>
          <w:sz w:val="24"/>
          <w:szCs w:val="24"/>
          <w:lang w:val="en-US"/>
        </w:rPr>
      </w:pPr>
      <w:r w:rsidRPr="00032BCA">
        <w:rPr>
          <w:rFonts w:ascii="Arial" w:hAnsi="Arial" w:cs="Arial"/>
          <w:sz w:val="24"/>
          <w:szCs w:val="24"/>
          <w:lang w:val="en-US"/>
        </w:rPr>
        <w:t>Anorexia: G1-4: 38.6%; G3-4: 4.1%.</w:t>
      </w:r>
    </w:p>
    <w:p w:rsidR="00EF6A76" w:rsidRPr="00032BCA" w:rsidRDefault="00EF6A76" w:rsidP="009D1DB6">
      <w:pPr>
        <w:spacing w:after="0"/>
        <w:ind w:left="2160"/>
        <w:rPr>
          <w:rFonts w:ascii="Arial" w:hAnsi="Arial" w:cs="Arial"/>
          <w:sz w:val="24"/>
          <w:szCs w:val="24"/>
          <w:lang w:val="en-US"/>
        </w:rPr>
      </w:pPr>
      <w:proofErr w:type="spellStart"/>
      <w:r w:rsidRPr="00032BCA">
        <w:rPr>
          <w:rFonts w:ascii="Arial" w:hAnsi="Arial" w:cs="Arial"/>
          <w:sz w:val="24"/>
          <w:szCs w:val="24"/>
          <w:lang w:val="en-US"/>
        </w:rPr>
        <w:t>Stomatitis</w:t>
      </w:r>
      <w:proofErr w:type="spellEnd"/>
      <w:r w:rsidRPr="00032BCA">
        <w:rPr>
          <w:rFonts w:ascii="Arial" w:hAnsi="Arial" w:cs="Arial"/>
          <w:sz w:val="24"/>
          <w:szCs w:val="24"/>
          <w:lang w:val="en-US"/>
        </w:rPr>
        <w:t>: G1-4: 10.4%; G3-4: 0.9%.</w:t>
      </w:r>
    </w:p>
    <w:p w:rsidR="00EF6A76" w:rsidRPr="00032BCA" w:rsidRDefault="00EF6A76" w:rsidP="009D1DB6">
      <w:pPr>
        <w:spacing w:after="0"/>
        <w:ind w:left="2160"/>
        <w:rPr>
          <w:rFonts w:ascii="Arial" w:hAnsi="Arial" w:cs="Arial"/>
          <w:sz w:val="24"/>
          <w:szCs w:val="24"/>
          <w:lang w:val="en-US"/>
        </w:rPr>
      </w:pPr>
      <w:r w:rsidRPr="00032BCA">
        <w:rPr>
          <w:rFonts w:ascii="Arial" w:hAnsi="Arial" w:cs="Arial"/>
          <w:sz w:val="24"/>
          <w:szCs w:val="24"/>
          <w:lang w:val="en-US"/>
        </w:rPr>
        <w:t>Abdominal pain: G1-4: 14.2%.</w:t>
      </w:r>
    </w:p>
    <w:p w:rsidR="00EF6A76" w:rsidRPr="00032BCA" w:rsidRDefault="00EF6A76" w:rsidP="009D1DB6">
      <w:pPr>
        <w:spacing w:after="0"/>
        <w:ind w:left="2160"/>
        <w:rPr>
          <w:rFonts w:ascii="Arial" w:hAnsi="Arial" w:cs="Arial"/>
          <w:sz w:val="24"/>
          <w:szCs w:val="24"/>
          <w:lang w:val="en-US"/>
        </w:rPr>
      </w:pPr>
      <w:r w:rsidRPr="00032BCA">
        <w:rPr>
          <w:rFonts w:ascii="Arial" w:hAnsi="Arial" w:cs="Arial"/>
          <w:sz w:val="24"/>
          <w:szCs w:val="24"/>
          <w:lang w:val="en-US"/>
        </w:rPr>
        <w:t>Constipation: G1-4: 19%; G3-4: 0.9%.</w:t>
      </w:r>
    </w:p>
    <w:p w:rsidR="00EF6A76" w:rsidRPr="00032BCA" w:rsidRDefault="00EF6A76" w:rsidP="009D1DB6">
      <w:pPr>
        <w:spacing w:after="0"/>
        <w:ind w:left="2160"/>
        <w:rPr>
          <w:rFonts w:ascii="Arial" w:hAnsi="Arial" w:cs="Arial"/>
          <w:sz w:val="24"/>
          <w:szCs w:val="24"/>
          <w:lang w:val="en-US"/>
        </w:rPr>
      </w:pPr>
      <w:r w:rsidRPr="00032BCA">
        <w:rPr>
          <w:rFonts w:ascii="Arial" w:hAnsi="Arial" w:cs="Arial"/>
          <w:sz w:val="24"/>
          <w:szCs w:val="24"/>
          <w:lang w:val="en-US"/>
        </w:rPr>
        <w:t>Gastric disorders: G1-4: 11.7%.</w:t>
      </w:r>
    </w:p>
    <w:p w:rsidR="00EF6A76" w:rsidRPr="00032BCA" w:rsidRDefault="00EF6A76" w:rsidP="009D1DB6">
      <w:pPr>
        <w:spacing w:after="0"/>
        <w:rPr>
          <w:rFonts w:ascii="Arial" w:hAnsi="Arial" w:cs="Arial"/>
          <w:sz w:val="24"/>
          <w:szCs w:val="24"/>
          <w:lang w:val="en-US"/>
        </w:rPr>
      </w:pPr>
    </w:p>
    <w:p w:rsidR="00EF6A76" w:rsidRPr="00032BCA" w:rsidRDefault="00EF6A76" w:rsidP="009D1DB6">
      <w:pPr>
        <w:spacing w:after="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r>
      <w:r w:rsidRPr="00032BCA">
        <w:rPr>
          <w:rFonts w:ascii="Arial" w:hAnsi="Arial" w:cs="Arial"/>
          <w:sz w:val="24"/>
          <w:szCs w:val="24"/>
          <w:lang w:val="en-US"/>
        </w:rPr>
        <w:tab/>
      </w:r>
      <w:proofErr w:type="spellStart"/>
      <w:r w:rsidRPr="00032BCA">
        <w:rPr>
          <w:rFonts w:ascii="Arial" w:hAnsi="Arial" w:cs="Arial"/>
          <w:sz w:val="24"/>
          <w:szCs w:val="24"/>
          <w:lang w:val="en-US"/>
        </w:rPr>
        <w:t>Oesophagitis</w:t>
      </w:r>
      <w:proofErr w:type="spellEnd"/>
      <w:r w:rsidRPr="00032BCA">
        <w:rPr>
          <w:rFonts w:ascii="Arial" w:hAnsi="Arial" w:cs="Arial"/>
          <w:sz w:val="24"/>
          <w:szCs w:val="24"/>
          <w:lang w:val="en-US"/>
        </w:rPr>
        <w:t>: G1-3: 3.8%; G3: 0.3%.</w:t>
      </w:r>
    </w:p>
    <w:p w:rsidR="00EF6A76" w:rsidRPr="00032BCA" w:rsidRDefault="00EF6A76" w:rsidP="009D1DB6">
      <w:pPr>
        <w:spacing w:after="0"/>
        <w:ind w:left="2160"/>
        <w:rPr>
          <w:rFonts w:ascii="Arial" w:hAnsi="Arial" w:cs="Arial"/>
          <w:b/>
          <w:sz w:val="24"/>
          <w:szCs w:val="24"/>
          <w:lang w:eastAsia="en-AU"/>
        </w:rPr>
      </w:pPr>
      <w:proofErr w:type="spellStart"/>
      <w:r w:rsidRPr="00032BCA">
        <w:rPr>
          <w:rFonts w:ascii="Arial" w:hAnsi="Arial" w:cs="Arial"/>
          <w:sz w:val="24"/>
          <w:szCs w:val="24"/>
          <w:lang w:val="en-US"/>
        </w:rPr>
        <w:t>Dysphagia</w:t>
      </w:r>
      <w:proofErr w:type="spellEnd"/>
      <w:r w:rsidRPr="00032BCA">
        <w:rPr>
          <w:rFonts w:ascii="Arial" w:hAnsi="Arial" w:cs="Arial"/>
          <w:sz w:val="24"/>
          <w:szCs w:val="24"/>
          <w:lang w:val="en-US"/>
        </w:rPr>
        <w:t>: G1-2: 2.3%;</w:t>
      </w:r>
    </w:p>
    <w:p w:rsidR="00EF6A76" w:rsidRPr="00032BCA" w:rsidRDefault="00EF6A76" w:rsidP="00613D08">
      <w:pPr>
        <w:spacing w:after="0"/>
        <w:rPr>
          <w:rFonts w:ascii="Arial" w:hAnsi="Arial" w:cs="Arial"/>
          <w:b/>
          <w:i/>
          <w:sz w:val="24"/>
          <w:szCs w:val="24"/>
          <w:lang w:eastAsia="en-AU"/>
        </w:rPr>
      </w:pPr>
    </w:p>
    <w:p w:rsidR="00EF6A76" w:rsidRPr="00032BCA" w:rsidRDefault="00EF6A76" w:rsidP="009D1DB6">
      <w:pPr>
        <w:spacing w:after="0"/>
        <w:ind w:left="2160" w:hanging="2160"/>
        <w:rPr>
          <w:rFonts w:ascii="Arial" w:hAnsi="Arial" w:cs="Arial"/>
          <w:sz w:val="24"/>
          <w:szCs w:val="24"/>
          <w:lang w:val="en-US"/>
        </w:rPr>
      </w:pPr>
      <w:r w:rsidRPr="00032BCA">
        <w:rPr>
          <w:rFonts w:ascii="Arial" w:hAnsi="Arial" w:cs="Arial"/>
          <w:sz w:val="24"/>
          <w:szCs w:val="24"/>
          <w:lang w:val="en-US"/>
        </w:rPr>
        <w:t>Uncommon:</w:t>
      </w:r>
      <w:r w:rsidRPr="00032BCA">
        <w:rPr>
          <w:rFonts w:ascii="Arial" w:hAnsi="Arial" w:cs="Arial"/>
          <w:sz w:val="24"/>
          <w:szCs w:val="24"/>
          <w:lang w:val="en-US"/>
        </w:rPr>
        <w:tab/>
        <w:t xml:space="preserve">Paralytic </w:t>
      </w:r>
      <w:proofErr w:type="spellStart"/>
      <w:r w:rsidRPr="00032BCA">
        <w:rPr>
          <w:rFonts w:ascii="Arial" w:hAnsi="Arial" w:cs="Arial"/>
          <w:sz w:val="24"/>
          <w:szCs w:val="24"/>
          <w:lang w:val="en-US"/>
        </w:rPr>
        <w:t>ileus</w:t>
      </w:r>
      <w:proofErr w:type="spellEnd"/>
      <w:r w:rsidRPr="00032BCA">
        <w:rPr>
          <w:rFonts w:ascii="Arial" w:hAnsi="Arial" w:cs="Arial"/>
          <w:sz w:val="24"/>
          <w:szCs w:val="24"/>
          <w:lang w:val="en-US"/>
        </w:rPr>
        <w:t>: G3-4: 0.9% (exceptionally fatal) treatment may be resumed after recovery of normal bowel mobility.</w:t>
      </w:r>
    </w:p>
    <w:p w:rsidR="00EF6A76" w:rsidRPr="00032BCA" w:rsidRDefault="00EF6A76" w:rsidP="009D1DB6">
      <w:pPr>
        <w:spacing w:after="0"/>
        <w:ind w:left="2160" w:hanging="2160"/>
        <w:rPr>
          <w:rFonts w:ascii="Arial" w:hAnsi="Arial" w:cs="Arial"/>
          <w:sz w:val="24"/>
          <w:szCs w:val="24"/>
          <w:lang w:val="en-US"/>
        </w:rPr>
      </w:pPr>
    </w:p>
    <w:p w:rsidR="00EF6A76" w:rsidRPr="00032BCA" w:rsidRDefault="00EF6A76" w:rsidP="009D1DB6">
      <w:pPr>
        <w:spacing w:after="0"/>
        <w:rPr>
          <w:rFonts w:ascii="Arial" w:hAnsi="Arial" w:cs="Arial"/>
          <w:sz w:val="24"/>
          <w:szCs w:val="24"/>
          <w:lang w:val="en-US"/>
        </w:rPr>
      </w:pPr>
      <w:r w:rsidRPr="00032BCA">
        <w:rPr>
          <w:rFonts w:ascii="Arial" w:hAnsi="Arial" w:cs="Arial"/>
          <w:sz w:val="24"/>
          <w:szCs w:val="24"/>
          <w:lang w:val="en-US"/>
        </w:rPr>
        <w:t>Not known:</w:t>
      </w:r>
      <w:r w:rsidRPr="00032BCA">
        <w:rPr>
          <w:rFonts w:ascii="Arial" w:hAnsi="Arial" w:cs="Arial"/>
          <w:sz w:val="24"/>
          <w:szCs w:val="24"/>
          <w:lang w:val="en-US"/>
        </w:rPr>
        <w:tab/>
      </w:r>
      <w:r w:rsidRPr="00032BCA">
        <w:rPr>
          <w:rFonts w:ascii="Arial" w:hAnsi="Arial" w:cs="Arial"/>
          <w:sz w:val="24"/>
          <w:szCs w:val="24"/>
          <w:lang w:val="en-US"/>
        </w:rPr>
        <w:tab/>
        <w:t>Gastrointestinal bleeding.</w:t>
      </w:r>
    </w:p>
    <w:p w:rsidR="00EF6A76" w:rsidRPr="00032BCA" w:rsidRDefault="00EF6A76" w:rsidP="009D1DB6">
      <w:pPr>
        <w:spacing w:after="0"/>
        <w:ind w:left="2160" w:hanging="2160"/>
        <w:rPr>
          <w:rFonts w:ascii="Arial" w:hAnsi="Arial" w:cs="Arial"/>
          <w:sz w:val="24"/>
          <w:szCs w:val="24"/>
          <w:lang w:val="en-US"/>
        </w:rPr>
      </w:pPr>
    </w:p>
    <w:p w:rsidR="00EF6A76" w:rsidRPr="00032BCA" w:rsidRDefault="00EF6A76" w:rsidP="00831FAF">
      <w:pPr>
        <w:spacing w:after="0"/>
        <w:rPr>
          <w:rFonts w:ascii="Arial" w:hAnsi="Arial" w:cs="Arial"/>
          <w:b/>
          <w:sz w:val="24"/>
          <w:szCs w:val="24"/>
          <w:lang w:eastAsia="en-AU"/>
        </w:rPr>
      </w:pPr>
      <w:proofErr w:type="spellStart"/>
      <w:r w:rsidRPr="00032BCA">
        <w:rPr>
          <w:rFonts w:ascii="Arial" w:hAnsi="Arial" w:cs="Arial"/>
          <w:b/>
          <w:sz w:val="24"/>
          <w:szCs w:val="24"/>
          <w:lang w:eastAsia="en-AU"/>
        </w:rPr>
        <w:t>Hepatobiliary</w:t>
      </w:r>
      <w:proofErr w:type="spellEnd"/>
      <w:r w:rsidRPr="00032BCA">
        <w:rPr>
          <w:rFonts w:ascii="Arial" w:hAnsi="Arial" w:cs="Arial"/>
          <w:b/>
          <w:sz w:val="24"/>
          <w:szCs w:val="24"/>
          <w:lang w:eastAsia="en-AU"/>
        </w:rPr>
        <w:t xml:space="preserve"> disorders</w:t>
      </w:r>
    </w:p>
    <w:p w:rsidR="00EF6A76" w:rsidRPr="00032BCA" w:rsidRDefault="00EF6A76" w:rsidP="00831FAF">
      <w:pPr>
        <w:spacing w:after="0"/>
        <w:rPr>
          <w:rFonts w:ascii="Arial" w:hAnsi="Arial" w:cs="Arial"/>
          <w:b/>
          <w:sz w:val="24"/>
          <w:szCs w:val="24"/>
          <w:lang w:eastAsia="en-AU"/>
        </w:rPr>
      </w:pPr>
    </w:p>
    <w:p w:rsidR="00EF6A76" w:rsidRPr="00032BCA" w:rsidRDefault="00EF6A76" w:rsidP="00831FAF">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Hepatic disorders: G1-2: 1.3%</w:t>
      </w:r>
    </w:p>
    <w:p w:rsidR="00EF6A76" w:rsidRPr="00032BCA" w:rsidRDefault="00EF6A76" w:rsidP="00613D08">
      <w:pPr>
        <w:spacing w:after="0"/>
        <w:rPr>
          <w:rFonts w:ascii="Arial" w:hAnsi="Arial" w:cs="Arial"/>
          <w:sz w:val="20"/>
          <w:szCs w:val="20"/>
          <w:lang w:eastAsia="en-AU"/>
        </w:rPr>
      </w:pPr>
    </w:p>
    <w:p w:rsidR="00EF6A76" w:rsidRPr="00032BCA" w:rsidRDefault="00EF6A76" w:rsidP="00A85695">
      <w:pPr>
        <w:spacing w:after="0"/>
        <w:rPr>
          <w:rFonts w:ascii="Arial" w:hAnsi="Arial" w:cs="Arial"/>
          <w:b/>
          <w:sz w:val="24"/>
          <w:szCs w:val="24"/>
          <w:lang w:eastAsia="en-AU"/>
        </w:rPr>
      </w:pPr>
      <w:r w:rsidRPr="00032BCA">
        <w:rPr>
          <w:rFonts w:ascii="Arial" w:hAnsi="Arial" w:cs="Arial"/>
          <w:b/>
          <w:sz w:val="24"/>
          <w:szCs w:val="24"/>
          <w:lang w:eastAsia="en-AU"/>
        </w:rPr>
        <w:t>Skin and subcutaneous tissue disorders</w:t>
      </w:r>
    </w:p>
    <w:p w:rsidR="00EF6A76" w:rsidRPr="00032BCA" w:rsidRDefault="00EF6A76" w:rsidP="00A85695">
      <w:pPr>
        <w:spacing w:after="0"/>
        <w:rPr>
          <w:rFonts w:ascii="Arial" w:hAnsi="Arial" w:cs="Arial"/>
          <w:b/>
          <w:sz w:val="24"/>
          <w:szCs w:val="24"/>
          <w:lang w:eastAsia="en-AU"/>
        </w:rPr>
      </w:pPr>
    </w:p>
    <w:p w:rsidR="00EF6A76" w:rsidRPr="00032BCA" w:rsidRDefault="00EF6A76" w:rsidP="00A85695">
      <w:pPr>
        <w:spacing w:after="0"/>
        <w:ind w:left="2160" w:hanging="2160"/>
        <w:rPr>
          <w:rFonts w:ascii="Arial" w:hAnsi="Arial" w:cs="Arial"/>
          <w:sz w:val="24"/>
          <w:szCs w:val="24"/>
          <w:lang w:val="en-US"/>
        </w:rPr>
      </w:pPr>
      <w:r w:rsidRPr="00032BCA">
        <w:rPr>
          <w:rFonts w:ascii="Arial" w:hAnsi="Arial" w:cs="Arial"/>
          <w:sz w:val="24"/>
          <w:szCs w:val="24"/>
          <w:lang w:eastAsia="en-AU"/>
        </w:rPr>
        <w:lastRenderedPageBreak/>
        <w:t>Very common:</w:t>
      </w:r>
      <w:r w:rsidRPr="00032BCA">
        <w:rPr>
          <w:rFonts w:ascii="Arial" w:hAnsi="Arial" w:cs="Arial"/>
          <w:sz w:val="24"/>
          <w:szCs w:val="24"/>
          <w:lang w:eastAsia="en-AU"/>
        </w:rPr>
        <w:tab/>
      </w:r>
      <w:r w:rsidRPr="00032BCA">
        <w:rPr>
          <w:rFonts w:ascii="Arial" w:hAnsi="Arial" w:cs="Arial"/>
          <w:sz w:val="24"/>
          <w:szCs w:val="24"/>
          <w:lang w:val="en-US"/>
        </w:rPr>
        <w:t xml:space="preserve">Alopecia usually mild in nature: G1-2: 29.4% may occur. </w:t>
      </w:r>
    </w:p>
    <w:p w:rsidR="00EF6A76" w:rsidRPr="00032BCA" w:rsidRDefault="00EF6A76" w:rsidP="00A85695">
      <w:pPr>
        <w:spacing w:after="0"/>
        <w:ind w:left="2160" w:hanging="2160"/>
        <w:rPr>
          <w:rFonts w:ascii="Arial" w:hAnsi="Arial" w:cs="Arial"/>
          <w:sz w:val="24"/>
          <w:szCs w:val="24"/>
          <w:lang w:val="en-US"/>
        </w:rPr>
      </w:pPr>
    </w:p>
    <w:p w:rsidR="00EF6A76" w:rsidRPr="00032BCA" w:rsidRDefault="00EF6A76" w:rsidP="00A85695">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Skin reactions: G1-2: 5.7%.</w:t>
      </w:r>
    </w:p>
    <w:p w:rsidR="00EF6A76" w:rsidRPr="00032BCA" w:rsidRDefault="00EF6A76" w:rsidP="00613D08">
      <w:pPr>
        <w:spacing w:after="0"/>
        <w:rPr>
          <w:rFonts w:ascii="Arial" w:hAnsi="Arial" w:cs="Arial"/>
          <w:b/>
          <w:sz w:val="24"/>
          <w:szCs w:val="24"/>
          <w:lang w:eastAsia="en-AU"/>
        </w:rPr>
      </w:pPr>
    </w:p>
    <w:p w:rsidR="00EF6A76" w:rsidRPr="00032BCA" w:rsidRDefault="00EF6A76" w:rsidP="00A85695">
      <w:pPr>
        <w:spacing w:after="0"/>
        <w:rPr>
          <w:rFonts w:ascii="Arial" w:hAnsi="Arial" w:cs="Arial"/>
          <w:b/>
          <w:sz w:val="24"/>
          <w:szCs w:val="24"/>
          <w:lang w:eastAsia="en-AU"/>
        </w:rPr>
      </w:pPr>
      <w:r w:rsidRPr="00032BCA">
        <w:rPr>
          <w:rFonts w:ascii="Arial" w:hAnsi="Arial" w:cs="Arial"/>
          <w:b/>
          <w:sz w:val="24"/>
          <w:szCs w:val="24"/>
          <w:lang w:eastAsia="en-AU"/>
        </w:rPr>
        <w:t>Musculoskeletal and Connective Tissue Disorders</w:t>
      </w:r>
    </w:p>
    <w:p w:rsidR="00EF6A76" w:rsidRPr="00032BCA" w:rsidRDefault="00EF6A76" w:rsidP="00A85695">
      <w:pPr>
        <w:spacing w:after="0"/>
        <w:rPr>
          <w:rFonts w:ascii="Arial" w:hAnsi="Arial" w:cs="Arial"/>
          <w:b/>
          <w:sz w:val="24"/>
          <w:szCs w:val="24"/>
          <w:lang w:eastAsia="en-AU"/>
        </w:rPr>
      </w:pPr>
    </w:p>
    <w:p w:rsidR="00EF6A76" w:rsidRPr="00032BCA" w:rsidRDefault="00EF6A76" w:rsidP="00A85695">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r>
      <w:proofErr w:type="spellStart"/>
      <w:r w:rsidRPr="00032BCA">
        <w:rPr>
          <w:rFonts w:ascii="Arial" w:hAnsi="Arial" w:cs="Arial"/>
          <w:sz w:val="24"/>
          <w:szCs w:val="24"/>
          <w:lang w:val="en-US"/>
        </w:rPr>
        <w:t>Arthralgia</w:t>
      </w:r>
      <w:proofErr w:type="spellEnd"/>
      <w:r w:rsidRPr="00032BCA">
        <w:rPr>
          <w:rFonts w:ascii="Arial" w:hAnsi="Arial" w:cs="Arial"/>
          <w:sz w:val="24"/>
          <w:szCs w:val="24"/>
          <w:lang w:val="en-US"/>
        </w:rPr>
        <w:t xml:space="preserve"> including jaw pain.</w:t>
      </w:r>
    </w:p>
    <w:p w:rsidR="00EF6A76" w:rsidRPr="00032BCA" w:rsidRDefault="00EF6A76" w:rsidP="00A85695">
      <w:pPr>
        <w:spacing w:after="0"/>
        <w:ind w:left="2160" w:hanging="2160"/>
        <w:rPr>
          <w:rFonts w:ascii="Arial" w:hAnsi="Arial" w:cs="Arial"/>
          <w:sz w:val="24"/>
          <w:szCs w:val="24"/>
          <w:lang w:val="en-US"/>
        </w:rPr>
      </w:pPr>
      <w:r w:rsidRPr="00032BCA">
        <w:rPr>
          <w:rFonts w:ascii="Arial" w:hAnsi="Arial" w:cs="Arial"/>
          <w:sz w:val="24"/>
          <w:szCs w:val="24"/>
          <w:lang w:val="en-US"/>
        </w:rPr>
        <w:tab/>
      </w:r>
      <w:proofErr w:type="spellStart"/>
      <w:r w:rsidRPr="00032BCA">
        <w:rPr>
          <w:rFonts w:ascii="Arial" w:hAnsi="Arial" w:cs="Arial"/>
          <w:sz w:val="24"/>
          <w:szCs w:val="24"/>
          <w:lang w:val="en-US"/>
        </w:rPr>
        <w:t>Myalgia</w:t>
      </w:r>
      <w:proofErr w:type="spellEnd"/>
      <w:r w:rsidRPr="00032BCA">
        <w:rPr>
          <w:rFonts w:ascii="Arial" w:hAnsi="Arial" w:cs="Arial"/>
          <w:sz w:val="24"/>
          <w:szCs w:val="24"/>
          <w:lang w:val="en-US"/>
        </w:rPr>
        <w:t>: G1-4: 7%; G3-4: 0.3%.</w:t>
      </w:r>
    </w:p>
    <w:p w:rsidR="00EF6A76" w:rsidRPr="00032BCA" w:rsidRDefault="00EF6A76" w:rsidP="00613D08">
      <w:pPr>
        <w:spacing w:after="0"/>
        <w:rPr>
          <w:rFonts w:ascii="Arial" w:hAnsi="Arial" w:cs="Arial"/>
          <w:b/>
          <w:sz w:val="24"/>
          <w:szCs w:val="24"/>
          <w:lang w:eastAsia="en-AU"/>
        </w:rPr>
      </w:pPr>
    </w:p>
    <w:p w:rsidR="00EF6A76" w:rsidRPr="00032BCA" w:rsidRDefault="00EF6A76" w:rsidP="00084EBD">
      <w:pPr>
        <w:spacing w:after="0"/>
        <w:rPr>
          <w:rFonts w:ascii="Arial" w:hAnsi="Arial" w:cs="Arial"/>
          <w:b/>
          <w:sz w:val="24"/>
          <w:szCs w:val="24"/>
          <w:lang w:eastAsia="en-AU"/>
        </w:rPr>
      </w:pPr>
      <w:r w:rsidRPr="00032BCA">
        <w:rPr>
          <w:rFonts w:ascii="Arial" w:hAnsi="Arial" w:cs="Arial"/>
          <w:b/>
          <w:sz w:val="24"/>
          <w:szCs w:val="24"/>
          <w:lang w:eastAsia="en-AU"/>
        </w:rPr>
        <w:t>Renal and Urinary Disorders</w:t>
      </w:r>
    </w:p>
    <w:p w:rsidR="00EF6A76" w:rsidRPr="00032BCA" w:rsidRDefault="00EF6A76" w:rsidP="00084EBD">
      <w:pPr>
        <w:spacing w:after="0"/>
        <w:rPr>
          <w:rFonts w:ascii="Arial" w:hAnsi="Arial" w:cs="Arial"/>
          <w:b/>
          <w:sz w:val="24"/>
          <w:szCs w:val="24"/>
          <w:lang w:eastAsia="en-AU"/>
        </w:rPr>
      </w:pPr>
    </w:p>
    <w:p w:rsidR="00EF6A76" w:rsidRPr="00032BCA" w:rsidRDefault="00EF6A76" w:rsidP="00084EBD">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r>
      <w:proofErr w:type="spellStart"/>
      <w:r w:rsidRPr="00032BCA">
        <w:rPr>
          <w:rFonts w:ascii="Arial" w:hAnsi="Arial" w:cs="Arial"/>
          <w:sz w:val="24"/>
          <w:szCs w:val="24"/>
          <w:lang w:val="en-US"/>
        </w:rPr>
        <w:t>Dysuria</w:t>
      </w:r>
      <w:proofErr w:type="spellEnd"/>
      <w:r w:rsidRPr="00032BCA">
        <w:rPr>
          <w:rFonts w:ascii="Arial" w:hAnsi="Arial" w:cs="Arial"/>
          <w:sz w:val="24"/>
          <w:szCs w:val="24"/>
          <w:lang w:val="en-US"/>
        </w:rPr>
        <w:t xml:space="preserve"> : G1-2: 1.6%.</w:t>
      </w:r>
    </w:p>
    <w:p w:rsidR="00EF6A76" w:rsidRPr="00032BCA" w:rsidRDefault="00EF6A76" w:rsidP="00084EBD">
      <w:pPr>
        <w:spacing w:after="0"/>
        <w:ind w:left="2160" w:hanging="2160"/>
        <w:rPr>
          <w:rFonts w:ascii="Arial" w:hAnsi="Arial" w:cs="Arial"/>
          <w:sz w:val="24"/>
          <w:szCs w:val="24"/>
          <w:lang w:val="en-US"/>
        </w:rPr>
      </w:pPr>
      <w:r w:rsidRPr="00032BCA">
        <w:rPr>
          <w:rFonts w:ascii="Arial" w:hAnsi="Arial" w:cs="Arial"/>
          <w:sz w:val="24"/>
          <w:szCs w:val="24"/>
          <w:lang w:val="en-US"/>
        </w:rPr>
        <w:tab/>
        <w:t>Other genitourinary disorders: G1-2: 1.9%.</w:t>
      </w:r>
    </w:p>
    <w:p w:rsidR="00EF6A76" w:rsidRPr="00032BCA" w:rsidRDefault="00EF6A76" w:rsidP="00084EBD">
      <w:pPr>
        <w:spacing w:after="0"/>
        <w:ind w:left="2160" w:hanging="2160"/>
        <w:rPr>
          <w:rFonts w:ascii="Arial" w:hAnsi="Arial" w:cs="Arial"/>
          <w:sz w:val="24"/>
          <w:szCs w:val="24"/>
          <w:lang w:val="en-US"/>
        </w:rPr>
      </w:pPr>
    </w:p>
    <w:p w:rsidR="00EF6A76" w:rsidRPr="00032BCA" w:rsidRDefault="00EF6A76" w:rsidP="00323748">
      <w:pPr>
        <w:spacing w:after="0"/>
        <w:rPr>
          <w:rFonts w:ascii="Arial" w:hAnsi="Arial" w:cs="Arial"/>
          <w:b/>
          <w:sz w:val="24"/>
          <w:szCs w:val="24"/>
          <w:lang w:eastAsia="en-AU"/>
        </w:rPr>
      </w:pPr>
      <w:r w:rsidRPr="00032BCA">
        <w:rPr>
          <w:rFonts w:ascii="Arial" w:hAnsi="Arial" w:cs="Arial"/>
          <w:b/>
          <w:sz w:val="24"/>
          <w:szCs w:val="24"/>
          <w:lang w:eastAsia="en-AU"/>
        </w:rPr>
        <w:t>General Disorders and Administration Site Conditions</w:t>
      </w:r>
    </w:p>
    <w:p w:rsidR="00EF6A76" w:rsidRPr="00032BCA" w:rsidRDefault="00EF6A76" w:rsidP="00323748">
      <w:pPr>
        <w:spacing w:after="0"/>
        <w:rPr>
          <w:rFonts w:ascii="Arial" w:hAnsi="Arial" w:cs="Arial"/>
          <w:b/>
          <w:sz w:val="24"/>
          <w:szCs w:val="24"/>
          <w:lang w:eastAsia="en-AU"/>
        </w:rPr>
      </w:pPr>
    </w:p>
    <w:p w:rsidR="00EF6A76" w:rsidRPr="00913EB1" w:rsidRDefault="00EF6A76" w:rsidP="00323748">
      <w:pPr>
        <w:spacing w:after="0"/>
        <w:ind w:left="2160" w:hanging="2160"/>
        <w:rPr>
          <w:rFonts w:ascii="Arial" w:hAnsi="Arial" w:cs="Arial"/>
          <w:sz w:val="24"/>
          <w:szCs w:val="24"/>
          <w:lang w:val="en-US"/>
        </w:rPr>
      </w:pPr>
      <w:r w:rsidRPr="00913EB1">
        <w:rPr>
          <w:rFonts w:ascii="Arial" w:hAnsi="Arial" w:cs="Arial"/>
          <w:sz w:val="24"/>
          <w:szCs w:val="24"/>
          <w:lang w:eastAsia="en-AU"/>
        </w:rPr>
        <w:t>Very common:</w:t>
      </w:r>
      <w:r>
        <w:rPr>
          <w:rFonts w:ascii="Arial" w:hAnsi="Arial" w:cs="Arial"/>
          <w:sz w:val="24"/>
          <w:szCs w:val="24"/>
          <w:lang w:val="fr-FR" w:eastAsia="en-AU"/>
        </w:rPr>
        <w:tab/>
      </w:r>
      <w:r w:rsidRPr="00913EB1">
        <w:rPr>
          <w:rFonts w:ascii="Arial" w:hAnsi="Arial" w:cs="Arial"/>
          <w:sz w:val="24"/>
          <w:szCs w:val="24"/>
          <w:lang w:val="en-US"/>
        </w:rPr>
        <w:t>Fatigue/malaise: G1-4: 36.7%; G3-4: 8.5%.</w:t>
      </w:r>
    </w:p>
    <w:p w:rsidR="00EF6A76" w:rsidRPr="00032BCA" w:rsidRDefault="00EF6A76" w:rsidP="00323748">
      <w:pPr>
        <w:spacing w:after="0"/>
        <w:ind w:left="2160" w:hanging="2160"/>
        <w:rPr>
          <w:rFonts w:ascii="Arial" w:hAnsi="Arial" w:cs="Arial"/>
          <w:sz w:val="24"/>
          <w:szCs w:val="24"/>
          <w:lang w:val="en-US"/>
        </w:rPr>
      </w:pPr>
      <w:r>
        <w:rPr>
          <w:rFonts w:ascii="Arial" w:hAnsi="Arial" w:cs="Arial"/>
          <w:sz w:val="24"/>
          <w:szCs w:val="24"/>
          <w:lang w:val="fr-FR"/>
        </w:rPr>
        <w:tab/>
      </w:r>
      <w:r w:rsidRPr="00032BCA">
        <w:rPr>
          <w:rFonts w:ascii="Arial" w:hAnsi="Arial" w:cs="Arial"/>
          <w:sz w:val="24"/>
          <w:szCs w:val="24"/>
          <w:lang w:val="en-US"/>
        </w:rPr>
        <w:t>Fever: G1-4: 13.0%; G3-4: 12.1%.</w:t>
      </w:r>
    </w:p>
    <w:p w:rsidR="00EF6A76" w:rsidRPr="00032BCA" w:rsidRDefault="00EF6A76" w:rsidP="00323748">
      <w:pPr>
        <w:spacing w:after="0"/>
        <w:ind w:left="2160" w:hanging="2160"/>
        <w:rPr>
          <w:rFonts w:ascii="Arial" w:hAnsi="Arial" w:cs="Arial"/>
          <w:sz w:val="24"/>
          <w:szCs w:val="24"/>
          <w:lang w:val="en-US"/>
        </w:rPr>
      </w:pPr>
    </w:p>
    <w:p w:rsidR="00EF6A76" w:rsidRPr="00032BCA" w:rsidRDefault="00EF6A76" w:rsidP="00323748">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 xml:space="preserve">Pain including pain at the </w:t>
      </w:r>
      <w:proofErr w:type="spellStart"/>
      <w:r w:rsidRPr="00032BCA">
        <w:rPr>
          <w:rFonts w:ascii="Arial" w:hAnsi="Arial" w:cs="Arial"/>
          <w:sz w:val="24"/>
          <w:szCs w:val="24"/>
          <w:lang w:val="en-US"/>
        </w:rPr>
        <w:t>tumour</w:t>
      </w:r>
      <w:proofErr w:type="spellEnd"/>
      <w:r w:rsidRPr="00032BCA">
        <w:rPr>
          <w:rFonts w:ascii="Arial" w:hAnsi="Arial" w:cs="Arial"/>
          <w:sz w:val="24"/>
          <w:szCs w:val="24"/>
          <w:lang w:val="en-US"/>
        </w:rPr>
        <w:t xml:space="preserve"> site: G1-4: 3.8%; G3-4: 0.6%.</w:t>
      </w:r>
    </w:p>
    <w:p w:rsidR="00EF6A76" w:rsidRPr="00032BCA" w:rsidRDefault="00EF6A76" w:rsidP="00323748">
      <w:pPr>
        <w:spacing w:after="0"/>
        <w:ind w:left="2160" w:hanging="2160"/>
        <w:rPr>
          <w:rFonts w:ascii="Arial" w:hAnsi="Arial" w:cs="Arial"/>
          <w:sz w:val="24"/>
          <w:szCs w:val="24"/>
          <w:lang w:val="en-US"/>
        </w:rPr>
      </w:pPr>
      <w:r w:rsidRPr="00032BCA">
        <w:rPr>
          <w:rFonts w:ascii="Arial" w:hAnsi="Arial" w:cs="Arial"/>
          <w:sz w:val="24"/>
          <w:szCs w:val="24"/>
          <w:lang w:val="en-US"/>
        </w:rPr>
        <w:tab/>
        <w:t>Chills: G1-2: 3.8%.</w:t>
      </w:r>
    </w:p>
    <w:p w:rsidR="00EF6A76" w:rsidRPr="00032BCA" w:rsidRDefault="00EF6A76" w:rsidP="00084EBD">
      <w:pPr>
        <w:spacing w:after="0"/>
        <w:ind w:left="2160" w:hanging="2160"/>
        <w:rPr>
          <w:rFonts w:ascii="Arial" w:hAnsi="Arial" w:cs="Arial"/>
          <w:sz w:val="24"/>
          <w:szCs w:val="24"/>
          <w:lang w:val="en-US"/>
        </w:rPr>
      </w:pPr>
    </w:p>
    <w:p w:rsidR="00EF6A76" w:rsidRPr="00032BCA" w:rsidRDefault="00EF6A76" w:rsidP="00B841CC">
      <w:pPr>
        <w:spacing w:after="0"/>
        <w:rPr>
          <w:rFonts w:ascii="Arial" w:hAnsi="Arial" w:cs="Arial"/>
          <w:b/>
          <w:sz w:val="24"/>
          <w:szCs w:val="24"/>
          <w:lang w:eastAsia="en-AU"/>
        </w:rPr>
      </w:pPr>
      <w:r w:rsidRPr="00032BCA">
        <w:rPr>
          <w:rFonts w:ascii="Arial" w:hAnsi="Arial" w:cs="Arial"/>
          <w:b/>
          <w:sz w:val="24"/>
          <w:szCs w:val="24"/>
          <w:lang w:eastAsia="en-AU"/>
        </w:rPr>
        <w:t>Investigations</w:t>
      </w:r>
    </w:p>
    <w:p w:rsidR="00EF6A76" w:rsidRPr="00032BCA" w:rsidRDefault="00EF6A76" w:rsidP="00B841CC">
      <w:pPr>
        <w:spacing w:after="0"/>
        <w:rPr>
          <w:rFonts w:ascii="Arial" w:hAnsi="Arial" w:cs="Arial"/>
          <w:b/>
          <w:sz w:val="24"/>
          <w:szCs w:val="24"/>
          <w:lang w:eastAsia="en-AU"/>
        </w:rPr>
      </w:pPr>
    </w:p>
    <w:p w:rsidR="00EF6A76" w:rsidRPr="00032BCA" w:rsidRDefault="00EF6A76" w:rsidP="00B841CC">
      <w:pPr>
        <w:spacing w:after="0"/>
        <w:ind w:left="2160" w:hanging="2160"/>
        <w:rPr>
          <w:rFonts w:ascii="Arial" w:hAnsi="Arial" w:cs="Arial"/>
          <w:sz w:val="24"/>
          <w:szCs w:val="24"/>
          <w:lang w:val="en-US"/>
        </w:rPr>
      </w:pPr>
      <w:r w:rsidRPr="00032BCA">
        <w:rPr>
          <w:rFonts w:ascii="Arial" w:hAnsi="Arial" w:cs="Arial"/>
          <w:sz w:val="24"/>
          <w:szCs w:val="24"/>
          <w:lang w:eastAsia="en-AU"/>
        </w:rPr>
        <w:t>Very common:</w:t>
      </w:r>
      <w:r w:rsidRPr="00032BCA">
        <w:rPr>
          <w:rFonts w:ascii="Arial" w:hAnsi="Arial" w:cs="Arial"/>
          <w:sz w:val="24"/>
          <w:szCs w:val="24"/>
          <w:lang w:eastAsia="en-AU"/>
        </w:rPr>
        <w:tab/>
      </w:r>
      <w:r w:rsidRPr="00032BCA">
        <w:rPr>
          <w:rFonts w:ascii="Arial" w:hAnsi="Arial" w:cs="Arial"/>
          <w:sz w:val="24"/>
          <w:szCs w:val="24"/>
          <w:lang w:val="en-US"/>
        </w:rPr>
        <w:t>Weight loss: G1-4: 25%; G3-4: 0.3%.</w:t>
      </w:r>
    </w:p>
    <w:p w:rsidR="00EF6A76" w:rsidRPr="00032BCA" w:rsidRDefault="00EF6A76" w:rsidP="00B841CC">
      <w:pPr>
        <w:spacing w:after="0"/>
        <w:ind w:left="2160" w:hanging="2160"/>
        <w:rPr>
          <w:rFonts w:ascii="Arial" w:hAnsi="Arial" w:cs="Arial"/>
          <w:sz w:val="24"/>
          <w:szCs w:val="24"/>
          <w:lang w:val="en-US"/>
        </w:rPr>
      </w:pPr>
      <w:r w:rsidRPr="00032BCA">
        <w:rPr>
          <w:rFonts w:ascii="Arial" w:hAnsi="Arial" w:cs="Arial"/>
          <w:sz w:val="24"/>
          <w:szCs w:val="24"/>
          <w:lang w:val="en-US"/>
        </w:rPr>
        <w:tab/>
      </w:r>
    </w:p>
    <w:p w:rsidR="00EF6A76" w:rsidRPr="00032BCA" w:rsidRDefault="00EF6A76" w:rsidP="00B841CC">
      <w:pPr>
        <w:spacing w:after="0"/>
        <w:ind w:left="2160" w:hanging="2160"/>
        <w:rPr>
          <w:rFonts w:ascii="Arial" w:hAnsi="Arial" w:cs="Arial"/>
          <w:sz w:val="24"/>
          <w:szCs w:val="24"/>
          <w:lang w:val="en-US"/>
        </w:rPr>
      </w:pPr>
      <w:r w:rsidRPr="00032BCA">
        <w:rPr>
          <w:rFonts w:ascii="Arial" w:hAnsi="Arial" w:cs="Arial"/>
          <w:sz w:val="24"/>
          <w:szCs w:val="24"/>
          <w:lang w:val="en-US"/>
        </w:rPr>
        <w:t>Common:</w:t>
      </w:r>
      <w:r w:rsidRPr="00032BCA">
        <w:rPr>
          <w:rFonts w:ascii="Arial" w:hAnsi="Arial" w:cs="Arial"/>
          <w:sz w:val="24"/>
          <w:szCs w:val="24"/>
          <w:lang w:val="en-US"/>
        </w:rPr>
        <w:tab/>
        <w:t>Weight gain: G1-2: 1.3%.</w:t>
      </w:r>
    </w:p>
    <w:p w:rsidR="00EF6A76" w:rsidRDefault="00EF6A76" w:rsidP="00B841CC">
      <w:pPr>
        <w:spacing w:after="0"/>
        <w:ind w:left="2160" w:hanging="2160"/>
        <w:rPr>
          <w:rFonts w:ascii="Arial" w:hAnsi="Arial" w:cs="Arial"/>
          <w:color w:val="0033CC"/>
          <w:sz w:val="24"/>
          <w:szCs w:val="24"/>
          <w:u w:val="double"/>
          <w:lang w:val="en-US"/>
        </w:rPr>
      </w:pPr>
    </w:p>
    <w:p w:rsidR="00EF6A76" w:rsidRPr="00032BCA" w:rsidRDefault="00EF6A76" w:rsidP="003235F5">
      <w:pPr>
        <w:spacing w:after="0"/>
        <w:rPr>
          <w:rFonts w:ascii="Arial" w:hAnsi="Arial" w:cs="Arial"/>
          <w:b/>
          <w:sz w:val="24"/>
          <w:szCs w:val="24"/>
        </w:rPr>
      </w:pPr>
      <w:r w:rsidRPr="00032BCA">
        <w:rPr>
          <w:rFonts w:ascii="Arial" w:hAnsi="Arial" w:cs="Arial"/>
          <w:b/>
          <w:sz w:val="24"/>
          <w:szCs w:val="24"/>
        </w:rPr>
        <w:t>Adverse effects with NAVELBINE</w:t>
      </w:r>
      <w:r w:rsidRPr="00032BCA">
        <w:rPr>
          <w:rFonts w:ascii="Arial" w:hAnsi="Arial" w:cs="Arial"/>
          <w:b/>
          <w:sz w:val="24"/>
          <w:szCs w:val="24"/>
          <w:vertAlign w:val="superscript"/>
        </w:rPr>
        <w:t>®</w:t>
      </w:r>
      <w:r w:rsidRPr="00032BCA">
        <w:rPr>
          <w:rFonts w:ascii="Arial" w:hAnsi="Arial" w:cs="Arial"/>
          <w:b/>
          <w:sz w:val="24"/>
          <w:szCs w:val="24"/>
        </w:rPr>
        <w:t xml:space="preserve"> IV</w:t>
      </w:r>
    </w:p>
    <w:p w:rsidR="00EF6A76" w:rsidRPr="00032BCA" w:rsidRDefault="00EF6A76" w:rsidP="005901D8">
      <w:pPr>
        <w:spacing w:after="0"/>
        <w:rPr>
          <w:rFonts w:ascii="Arial" w:hAnsi="Arial" w:cs="Arial"/>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t>In addition some adverse effects have been observed with NAVELBINE</w:t>
      </w:r>
      <w:r w:rsidRPr="00032BCA">
        <w:rPr>
          <w:rFonts w:ascii="Arial" w:hAnsi="Arial" w:cs="Arial"/>
          <w:sz w:val="24"/>
          <w:szCs w:val="24"/>
          <w:vertAlign w:val="superscript"/>
        </w:rPr>
        <w:t xml:space="preserve">® </w:t>
      </w:r>
      <w:r w:rsidRPr="00032BCA">
        <w:rPr>
          <w:rFonts w:ascii="Arial" w:hAnsi="Arial" w:cs="Arial"/>
          <w:sz w:val="24"/>
          <w:szCs w:val="24"/>
        </w:rPr>
        <w:t>IV from pre- and post-marketing experience which were not reported with NAVELBINE</w:t>
      </w:r>
      <w:r w:rsidRPr="00032BCA">
        <w:rPr>
          <w:rFonts w:ascii="Arial" w:hAnsi="Arial" w:cs="Arial"/>
          <w:sz w:val="24"/>
          <w:szCs w:val="24"/>
          <w:vertAlign w:val="superscript"/>
        </w:rPr>
        <w:t xml:space="preserve">® </w:t>
      </w:r>
      <w:r w:rsidRPr="00032BCA">
        <w:rPr>
          <w:rFonts w:ascii="Arial" w:hAnsi="Arial" w:cs="Arial"/>
          <w:sz w:val="24"/>
          <w:szCs w:val="24"/>
        </w:rPr>
        <w:t>Oral.  It cannot be ruled out that these effects may also be experienced with the use of NAVELBINE</w:t>
      </w:r>
      <w:r w:rsidRPr="00032BCA">
        <w:rPr>
          <w:rFonts w:ascii="Arial" w:hAnsi="Arial" w:cs="Arial"/>
          <w:sz w:val="24"/>
          <w:szCs w:val="24"/>
          <w:vertAlign w:val="superscript"/>
        </w:rPr>
        <w:t>®</w:t>
      </w:r>
      <w:r w:rsidRPr="00032BCA">
        <w:rPr>
          <w:rFonts w:ascii="Arial" w:hAnsi="Arial" w:cs="Arial"/>
          <w:sz w:val="24"/>
          <w:szCs w:val="24"/>
        </w:rPr>
        <w:t xml:space="preserve"> Oral as with other </w:t>
      </w:r>
      <w:proofErr w:type="spellStart"/>
      <w:r w:rsidRPr="00032BCA">
        <w:rPr>
          <w:rFonts w:ascii="Arial" w:hAnsi="Arial" w:cs="Arial"/>
          <w:sz w:val="24"/>
          <w:szCs w:val="24"/>
        </w:rPr>
        <w:t>vinca</w:t>
      </w:r>
      <w:proofErr w:type="spellEnd"/>
      <w:r w:rsidRPr="00032BCA">
        <w:rPr>
          <w:rFonts w:ascii="Arial" w:hAnsi="Arial" w:cs="Arial"/>
          <w:sz w:val="24"/>
          <w:szCs w:val="24"/>
        </w:rPr>
        <w:t xml:space="preserve"> alkaloids.</w:t>
      </w:r>
    </w:p>
    <w:p w:rsidR="00EF6A76" w:rsidRPr="00032BCA" w:rsidRDefault="00EF6A76" w:rsidP="005901D8">
      <w:pPr>
        <w:spacing w:after="0"/>
        <w:rPr>
          <w:rFonts w:ascii="Arial" w:hAnsi="Arial" w:cs="Arial"/>
          <w:sz w:val="24"/>
          <w:szCs w:val="24"/>
        </w:rPr>
      </w:pPr>
    </w:p>
    <w:p w:rsidR="00EF6A76" w:rsidRPr="00032BCA" w:rsidRDefault="00EF6A76" w:rsidP="005901D8">
      <w:pPr>
        <w:spacing w:after="0"/>
        <w:rPr>
          <w:rFonts w:ascii="Arial" w:hAnsi="Arial" w:cs="Arial"/>
          <w:b/>
          <w:sz w:val="24"/>
          <w:szCs w:val="24"/>
        </w:rPr>
      </w:pPr>
      <w:r w:rsidRPr="00032BCA">
        <w:rPr>
          <w:rFonts w:ascii="Arial" w:hAnsi="Arial" w:cs="Arial"/>
          <w:b/>
          <w:sz w:val="24"/>
          <w:szCs w:val="24"/>
        </w:rPr>
        <w:t>Infections and Infestations</w:t>
      </w:r>
    </w:p>
    <w:p w:rsidR="00EF6A76" w:rsidRPr="00032BCA" w:rsidRDefault="00EF6A76" w:rsidP="005901D8">
      <w:pPr>
        <w:spacing w:after="0"/>
        <w:rPr>
          <w:rFonts w:ascii="Arial" w:hAnsi="Arial" w:cs="Arial"/>
          <w:b/>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t>Uncommon: septicaemia (very rarely fatal).</w:t>
      </w:r>
    </w:p>
    <w:p w:rsidR="00EF6A76" w:rsidRPr="00032BCA" w:rsidRDefault="00EF6A76" w:rsidP="005901D8">
      <w:pPr>
        <w:spacing w:after="0"/>
        <w:rPr>
          <w:rFonts w:ascii="Arial" w:hAnsi="Arial" w:cs="Arial"/>
          <w:sz w:val="24"/>
          <w:szCs w:val="24"/>
        </w:rPr>
      </w:pPr>
    </w:p>
    <w:p w:rsidR="00EF6A76" w:rsidRPr="00032BCA" w:rsidRDefault="00EF6A76" w:rsidP="005901D8">
      <w:pPr>
        <w:spacing w:after="0"/>
        <w:rPr>
          <w:rFonts w:ascii="Arial" w:hAnsi="Arial" w:cs="Arial"/>
          <w:b/>
          <w:sz w:val="24"/>
          <w:szCs w:val="24"/>
        </w:rPr>
      </w:pPr>
      <w:r w:rsidRPr="00032BCA">
        <w:rPr>
          <w:rFonts w:ascii="Arial" w:hAnsi="Arial" w:cs="Arial"/>
          <w:b/>
          <w:sz w:val="24"/>
          <w:szCs w:val="24"/>
        </w:rPr>
        <w:t>Immune system disorders</w:t>
      </w:r>
    </w:p>
    <w:p w:rsidR="00EF6A76" w:rsidRPr="00032BCA" w:rsidRDefault="00EF6A76" w:rsidP="005901D8">
      <w:pPr>
        <w:spacing w:after="0"/>
        <w:rPr>
          <w:rFonts w:ascii="Arial" w:hAnsi="Arial" w:cs="Arial"/>
          <w:b/>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lastRenderedPageBreak/>
        <w:t xml:space="preserve">Not known: systemic allergic reactions as anaphylaxis, anaphylactic shock or </w:t>
      </w:r>
      <w:proofErr w:type="spellStart"/>
      <w:r w:rsidRPr="00032BCA">
        <w:rPr>
          <w:rFonts w:ascii="Arial" w:hAnsi="Arial" w:cs="Arial"/>
          <w:sz w:val="24"/>
          <w:szCs w:val="24"/>
        </w:rPr>
        <w:t>anaphylactoid</w:t>
      </w:r>
      <w:proofErr w:type="spellEnd"/>
      <w:r w:rsidRPr="00032BCA">
        <w:rPr>
          <w:rFonts w:ascii="Arial" w:hAnsi="Arial" w:cs="Arial"/>
          <w:sz w:val="24"/>
          <w:szCs w:val="24"/>
        </w:rPr>
        <w:t xml:space="preserve"> type reactions.</w:t>
      </w:r>
    </w:p>
    <w:p w:rsidR="00EF6A76" w:rsidRPr="00032BCA" w:rsidRDefault="00EF6A76" w:rsidP="005901D8">
      <w:pPr>
        <w:spacing w:after="0"/>
        <w:rPr>
          <w:rFonts w:ascii="Arial" w:hAnsi="Arial" w:cs="Arial"/>
          <w:sz w:val="24"/>
          <w:szCs w:val="24"/>
        </w:rPr>
      </w:pPr>
    </w:p>
    <w:p w:rsidR="00EF6A76" w:rsidRPr="00032BCA" w:rsidRDefault="00EF6A76" w:rsidP="00601D16">
      <w:pPr>
        <w:spacing w:after="0"/>
        <w:rPr>
          <w:rFonts w:ascii="Arial" w:hAnsi="Arial" w:cs="Arial"/>
          <w:b/>
          <w:sz w:val="24"/>
          <w:szCs w:val="24"/>
        </w:rPr>
      </w:pPr>
      <w:r w:rsidRPr="00032BCA">
        <w:rPr>
          <w:rFonts w:ascii="Arial" w:hAnsi="Arial" w:cs="Arial"/>
          <w:b/>
          <w:sz w:val="24"/>
          <w:szCs w:val="24"/>
        </w:rPr>
        <w:t>Endocrine disorders</w:t>
      </w:r>
    </w:p>
    <w:p w:rsidR="00EF6A76" w:rsidRPr="00032BCA" w:rsidRDefault="00EF6A76" w:rsidP="00601D16">
      <w:pPr>
        <w:spacing w:after="0"/>
        <w:rPr>
          <w:rFonts w:ascii="Arial" w:hAnsi="Arial" w:cs="Arial"/>
          <w:b/>
          <w:sz w:val="24"/>
          <w:szCs w:val="24"/>
        </w:rPr>
      </w:pPr>
    </w:p>
    <w:p w:rsidR="00EF6A76" w:rsidRPr="00032BCA" w:rsidRDefault="00EF6A76" w:rsidP="00601D16">
      <w:pPr>
        <w:spacing w:after="0"/>
        <w:rPr>
          <w:rFonts w:ascii="Arial" w:hAnsi="Arial" w:cs="Arial"/>
          <w:sz w:val="24"/>
          <w:szCs w:val="24"/>
        </w:rPr>
      </w:pPr>
      <w:r w:rsidRPr="00032BCA">
        <w:rPr>
          <w:rFonts w:ascii="Arial" w:hAnsi="Arial" w:cs="Arial"/>
          <w:sz w:val="24"/>
          <w:szCs w:val="24"/>
        </w:rPr>
        <w:t xml:space="preserve">Not known: inappropriate </w:t>
      </w:r>
      <w:proofErr w:type="spellStart"/>
      <w:r w:rsidRPr="00032BCA">
        <w:rPr>
          <w:rFonts w:ascii="Arial" w:hAnsi="Arial" w:cs="Arial"/>
          <w:sz w:val="24"/>
          <w:szCs w:val="24"/>
        </w:rPr>
        <w:t>antidiuretic</w:t>
      </w:r>
      <w:proofErr w:type="spellEnd"/>
      <w:r w:rsidRPr="00032BCA">
        <w:rPr>
          <w:rFonts w:ascii="Arial" w:hAnsi="Arial" w:cs="Arial"/>
          <w:sz w:val="24"/>
          <w:szCs w:val="24"/>
        </w:rPr>
        <w:t xml:space="preserve"> hormone secretion (SIADH).</w:t>
      </w:r>
    </w:p>
    <w:p w:rsidR="00EF6A76" w:rsidRDefault="00EF6A76" w:rsidP="005901D8">
      <w:pPr>
        <w:spacing w:after="0"/>
        <w:rPr>
          <w:rFonts w:ascii="Arial" w:hAnsi="Arial" w:cs="Arial"/>
          <w:sz w:val="24"/>
          <w:szCs w:val="24"/>
        </w:rPr>
      </w:pPr>
    </w:p>
    <w:p w:rsidR="00EF6A76" w:rsidRPr="00032BCA" w:rsidRDefault="00EF6A76" w:rsidP="005901D8">
      <w:pPr>
        <w:spacing w:after="0"/>
        <w:rPr>
          <w:rFonts w:ascii="Arial" w:hAnsi="Arial" w:cs="Arial"/>
          <w:b/>
          <w:sz w:val="24"/>
          <w:szCs w:val="24"/>
        </w:rPr>
      </w:pPr>
      <w:r w:rsidRPr="00032BCA">
        <w:rPr>
          <w:rFonts w:ascii="Arial" w:hAnsi="Arial" w:cs="Arial"/>
          <w:b/>
          <w:sz w:val="24"/>
          <w:szCs w:val="24"/>
        </w:rPr>
        <w:t>Cardiac disorders</w:t>
      </w:r>
    </w:p>
    <w:p w:rsidR="00EF6A76" w:rsidRPr="00032BCA" w:rsidRDefault="00EF6A76" w:rsidP="005901D8">
      <w:pPr>
        <w:spacing w:after="0"/>
        <w:rPr>
          <w:rFonts w:ascii="Arial" w:hAnsi="Arial" w:cs="Arial"/>
          <w:b/>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t>Rare: ischemic cardiac disease (angina pectoris, myocardial infarction).</w:t>
      </w:r>
    </w:p>
    <w:p w:rsidR="00EF6A76" w:rsidRPr="00032BCA" w:rsidRDefault="00EF6A76" w:rsidP="005901D8">
      <w:pPr>
        <w:spacing w:after="0"/>
        <w:rPr>
          <w:rFonts w:ascii="Arial" w:hAnsi="Arial" w:cs="Arial"/>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t xml:space="preserve">Very rare: cardiac failure and pulmonary oedema, however a causal relationship has not been established.  </w:t>
      </w:r>
    </w:p>
    <w:p w:rsidR="00EF6A76" w:rsidRPr="00032BCA" w:rsidRDefault="00EF6A76" w:rsidP="005901D8">
      <w:pPr>
        <w:spacing w:after="0"/>
        <w:rPr>
          <w:rFonts w:ascii="Arial" w:hAnsi="Arial" w:cs="Arial"/>
          <w:sz w:val="24"/>
          <w:szCs w:val="24"/>
        </w:rPr>
      </w:pPr>
    </w:p>
    <w:p w:rsidR="00EF6A76" w:rsidRPr="00032BCA" w:rsidRDefault="00EF6A76" w:rsidP="0077767B">
      <w:pPr>
        <w:spacing w:after="0"/>
        <w:rPr>
          <w:rFonts w:ascii="Arial" w:hAnsi="Arial" w:cs="Arial"/>
          <w:b/>
          <w:sz w:val="24"/>
          <w:szCs w:val="24"/>
        </w:rPr>
      </w:pPr>
      <w:r w:rsidRPr="00032BCA">
        <w:rPr>
          <w:rFonts w:ascii="Arial" w:hAnsi="Arial" w:cs="Arial"/>
          <w:b/>
          <w:sz w:val="24"/>
          <w:szCs w:val="24"/>
        </w:rPr>
        <w:t>Vascular disorders</w:t>
      </w:r>
    </w:p>
    <w:p w:rsidR="00EF6A76" w:rsidRPr="00032BCA" w:rsidRDefault="00EF6A76" w:rsidP="0077767B">
      <w:pPr>
        <w:spacing w:after="0"/>
        <w:rPr>
          <w:rFonts w:ascii="Arial" w:hAnsi="Arial" w:cs="Arial"/>
          <w:b/>
          <w:sz w:val="24"/>
          <w:szCs w:val="24"/>
        </w:rPr>
      </w:pPr>
    </w:p>
    <w:p w:rsidR="00EF6A76" w:rsidRPr="00032BCA" w:rsidRDefault="00EF6A76" w:rsidP="0077767B">
      <w:pPr>
        <w:spacing w:after="0"/>
        <w:rPr>
          <w:rFonts w:ascii="Arial" w:hAnsi="Arial" w:cs="Arial"/>
          <w:sz w:val="24"/>
          <w:szCs w:val="24"/>
        </w:rPr>
      </w:pPr>
      <w:r w:rsidRPr="00032BCA">
        <w:rPr>
          <w:rFonts w:ascii="Arial" w:hAnsi="Arial" w:cs="Arial"/>
          <w:sz w:val="24"/>
          <w:szCs w:val="24"/>
        </w:rPr>
        <w:t xml:space="preserve">Uncommon: </w:t>
      </w:r>
      <w:smartTag w:uri="urn:schemas-microsoft-com:office:smarttags" w:element="place">
        <w:r w:rsidRPr="00032BCA">
          <w:rPr>
            <w:rFonts w:ascii="Arial" w:hAnsi="Arial" w:cs="Arial"/>
            <w:sz w:val="24"/>
            <w:szCs w:val="24"/>
          </w:rPr>
          <w:t>Flushing</w:t>
        </w:r>
      </w:smartTag>
      <w:r w:rsidRPr="00032BCA">
        <w:rPr>
          <w:rFonts w:ascii="Arial" w:hAnsi="Arial" w:cs="Arial"/>
          <w:sz w:val="24"/>
          <w:szCs w:val="24"/>
        </w:rPr>
        <w:t xml:space="preserve"> and peripheral coldness</w:t>
      </w:r>
    </w:p>
    <w:p w:rsidR="00EF6A76" w:rsidRPr="00032BCA" w:rsidRDefault="00EF6A76" w:rsidP="0077767B">
      <w:pPr>
        <w:spacing w:after="0"/>
        <w:rPr>
          <w:rFonts w:ascii="Arial" w:hAnsi="Arial" w:cs="Arial"/>
          <w:sz w:val="24"/>
          <w:szCs w:val="24"/>
        </w:rPr>
      </w:pPr>
    </w:p>
    <w:p w:rsidR="00EF6A76" w:rsidRPr="00032BCA" w:rsidRDefault="00EF6A76" w:rsidP="0077767B">
      <w:pPr>
        <w:spacing w:after="0"/>
        <w:rPr>
          <w:rFonts w:ascii="Arial" w:hAnsi="Arial" w:cs="Arial"/>
          <w:sz w:val="24"/>
          <w:szCs w:val="24"/>
        </w:rPr>
      </w:pPr>
      <w:r w:rsidRPr="00032BCA">
        <w:rPr>
          <w:rFonts w:ascii="Arial" w:hAnsi="Arial" w:cs="Arial"/>
          <w:sz w:val="24"/>
          <w:szCs w:val="24"/>
        </w:rPr>
        <w:t>Rare: Severe hypotension, collapse</w:t>
      </w:r>
    </w:p>
    <w:p w:rsidR="00EF6A76" w:rsidRPr="00032BCA" w:rsidRDefault="00EF6A76" w:rsidP="005901D8">
      <w:pPr>
        <w:spacing w:after="0"/>
        <w:rPr>
          <w:rFonts w:ascii="Arial" w:hAnsi="Arial" w:cs="Arial"/>
          <w:sz w:val="24"/>
          <w:szCs w:val="24"/>
        </w:rPr>
      </w:pPr>
    </w:p>
    <w:p w:rsidR="00EF6A76" w:rsidRPr="00032BCA" w:rsidRDefault="00EF6A76" w:rsidP="00E1248B">
      <w:pPr>
        <w:spacing w:after="0"/>
        <w:rPr>
          <w:rFonts w:ascii="Arial" w:hAnsi="Arial" w:cs="Arial"/>
          <w:b/>
          <w:sz w:val="24"/>
          <w:szCs w:val="24"/>
        </w:rPr>
      </w:pPr>
      <w:r w:rsidRPr="00032BCA">
        <w:rPr>
          <w:rFonts w:ascii="Arial" w:hAnsi="Arial" w:cs="Arial"/>
          <w:b/>
          <w:sz w:val="24"/>
          <w:szCs w:val="24"/>
        </w:rPr>
        <w:t xml:space="preserve">Respiratory, thoracic and </w:t>
      </w:r>
      <w:proofErr w:type="spellStart"/>
      <w:r w:rsidRPr="00032BCA">
        <w:rPr>
          <w:rFonts w:ascii="Arial" w:hAnsi="Arial" w:cs="Arial"/>
          <w:b/>
          <w:sz w:val="24"/>
          <w:szCs w:val="24"/>
        </w:rPr>
        <w:t>mediastinal</w:t>
      </w:r>
      <w:proofErr w:type="spellEnd"/>
      <w:r w:rsidRPr="00032BCA">
        <w:rPr>
          <w:rFonts w:ascii="Arial" w:hAnsi="Arial" w:cs="Arial"/>
          <w:b/>
          <w:sz w:val="24"/>
          <w:szCs w:val="24"/>
        </w:rPr>
        <w:t xml:space="preserve"> disorders</w:t>
      </w:r>
    </w:p>
    <w:p w:rsidR="00EF6A76" w:rsidRPr="009D37D6" w:rsidRDefault="00EF6A76" w:rsidP="00E1248B">
      <w:pPr>
        <w:spacing w:after="0"/>
        <w:rPr>
          <w:rFonts w:ascii="Arial" w:hAnsi="Arial" w:cs="Arial"/>
          <w:b/>
          <w:sz w:val="24"/>
          <w:szCs w:val="24"/>
        </w:rPr>
      </w:pPr>
    </w:p>
    <w:p w:rsidR="00EF6A76" w:rsidRDefault="00EF6A76" w:rsidP="00E1248B">
      <w:pPr>
        <w:spacing w:after="0"/>
        <w:rPr>
          <w:rFonts w:ascii="Arial" w:hAnsi="Arial" w:cs="Arial"/>
          <w:sz w:val="24"/>
          <w:szCs w:val="24"/>
        </w:rPr>
      </w:pPr>
      <w:r>
        <w:rPr>
          <w:rFonts w:ascii="Arial" w:hAnsi="Arial" w:cs="Arial"/>
          <w:sz w:val="24"/>
          <w:szCs w:val="24"/>
        </w:rPr>
        <w:t xml:space="preserve">Uncommon: </w:t>
      </w:r>
      <w:proofErr w:type="spellStart"/>
      <w:r>
        <w:rPr>
          <w:rFonts w:ascii="Arial" w:hAnsi="Arial" w:cs="Arial"/>
          <w:sz w:val="24"/>
          <w:szCs w:val="24"/>
        </w:rPr>
        <w:t>bronchospasm</w:t>
      </w:r>
      <w:proofErr w:type="spellEnd"/>
      <w:r>
        <w:rPr>
          <w:rFonts w:ascii="Arial" w:hAnsi="Arial" w:cs="Arial"/>
          <w:sz w:val="24"/>
          <w:szCs w:val="24"/>
        </w:rPr>
        <w:t xml:space="preserve">, as with other </w:t>
      </w:r>
      <w:proofErr w:type="spellStart"/>
      <w:r>
        <w:rPr>
          <w:rFonts w:ascii="Arial" w:hAnsi="Arial" w:cs="Arial"/>
          <w:sz w:val="24"/>
          <w:szCs w:val="24"/>
        </w:rPr>
        <w:t>vinca</w:t>
      </w:r>
      <w:proofErr w:type="spellEnd"/>
      <w:r>
        <w:rPr>
          <w:rFonts w:ascii="Arial" w:hAnsi="Arial" w:cs="Arial"/>
          <w:sz w:val="24"/>
          <w:szCs w:val="24"/>
        </w:rPr>
        <w:t xml:space="preserve"> alkaloids.</w:t>
      </w:r>
    </w:p>
    <w:p w:rsidR="00EF6A76" w:rsidRDefault="00EF6A76" w:rsidP="00E1248B">
      <w:pPr>
        <w:spacing w:after="0"/>
        <w:rPr>
          <w:rFonts w:ascii="Arial" w:hAnsi="Arial" w:cs="Arial"/>
          <w:sz w:val="24"/>
          <w:szCs w:val="24"/>
        </w:rPr>
      </w:pPr>
    </w:p>
    <w:p w:rsidR="00EF6A76" w:rsidRPr="00032BCA" w:rsidRDefault="00EF6A76" w:rsidP="00E1248B">
      <w:pPr>
        <w:spacing w:after="0"/>
        <w:rPr>
          <w:rFonts w:ascii="Arial" w:hAnsi="Arial" w:cs="Arial"/>
          <w:sz w:val="24"/>
          <w:szCs w:val="24"/>
        </w:rPr>
      </w:pPr>
      <w:r w:rsidRPr="00032BCA">
        <w:rPr>
          <w:rFonts w:ascii="Arial" w:hAnsi="Arial" w:cs="Arial"/>
          <w:sz w:val="24"/>
          <w:szCs w:val="24"/>
        </w:rPr>
        <w:t xml:space="preserve">Rare: Interstitial </w:t>
      </w:r>
      <w:proofErr w:type="spellStart"/>
      <w:r w:rsidRPr="00032BCA">
        <w:rPr>
          <w:rFonts w:ascii="Arial" w:hAnsi="Arial" w:cs="Arial"/>
          <w:sz w:val="24"/>
          <w:szCs w:val="24"/>
        </w:rPr>
        <w:t>pneumopathy</w:t>
      </w:r>
      <w:proofErr w:type="spellEnd"/>
      <w:r w:rsidRPr="00032BCA">
        <w:rPr>
          <w:rFonts w:ascii="Arial" w:hAnsi="Arial" w:cs="Arial"/>
          <w:sz w:val="24"/>
          <w:szCs w:val="24"/>
        </w:rPr>
        <w:t xml:space="preserve"> in particular in patients treated with NAVELBINE</w:t>
      </w:r>
      <w:r w:rsidRPr="00032BCA">
        <w:rPr>
          <w:rFonts w:ascii="Arial" w:hAnsi="Arial" w:cs="Arial"/>
          <w:sz w:val="24"/>
          <w:szCs w:val="24"/>
          <w:vertAlign w:val="superscript"/>
        </w:rPr>
        <w:t>®</w:t>
      </w:r>
      <w:r w:rsidRPr="00032BCA">
        <w:rPr>
          <w:rFonts w:ascii="Arial" w:hAnsi="Arial" w:cs="Arial"/>
          <w:sz w:val="24"/>
          <w:szCs w:val="24"/>
        </w:rPr>
        <w:t xml:space="preserve"> in combination with </w:t>
      </w:r>
      <w:proofErr w:type="spellStart"/>
      <w:r w:rsidRPr="00032BCA">
        <w:rPr>
          <w:rFonts w:ascii="Arial" w:hAnsi="Arial" w:cs="Arial"/>
          <w:sz w:val="24"/>
          <w:szCs w:val="24"/>
        </w:rPr>
        <w:t>mitomycin</w:t>
      </w:r>
      <w:proofErr w:type="spellEnd"/>
      <w:r w:rsidRPr="00032BCA">
        <w:rPr>
          <w:rFonts w:ascii="Arial" w:hAnsi="Arial" w:cs="Arial"/>
          <w:sz w:val="24"/>
          <w:szCs w:val="24"/>
        </w:rPr>
        <w:t>.</w:t>
      </w:r>
    </w:p>
    <w:p w:rsidR="00EF6A76" w:rsidRPr="00032BCA" w:rsidRDefault="00EF6A76" w:rsidP="005901D8">
      <w:pPr>
        <w:spacing w:after="0"/>
        <w:rPr>
          <w:rFonts w:ascii="Arial" w:hAnsi="Arial" w:cs="Arial"/>
          <w:sz w:val="24"/>
          <w:szCs w:val="24"/>
        </w:rPr>
      </w:pPr>
    </w:p>
    <w:p w:rsidR="00EF6A76" w:rsidRDefault="00EF6A76" w:rsidP="005901D8">
      <w:pPr>
        <w:spacing w:after="0"/>
        <w:rPr>
          <w:rFonts w:ascii="Arial" w:hAnsi="Arial" w:cs="Arial"/>
          <w:b/>
          <w:sz w:val="24"/>
          <w:szCs w:val="24"/>
        </w:rPr>
      </w:pPr>
      <w:r w:rsidRPr="00032BCA">
        <w:rPr>
          <w:rFonts w:ascii="Arial" w:hAnsi="Arial" w:cs="Arial"/>
          <w:b/>
          <w:sz w:val="24"/>
          <w:szCs w:val="24"/>
        </w:rPr>
        <w:t>Gastrointestinal disorders</w:t>
      </w:r>
    </w:p>
    <w:p w:rsidR="00747540" w:rsidRPr="00032BCA" w:rsidRDefault="00747540" w:rsidP="005901D8">
      <w:pPr>
        <w:spacing w:after="0"/>
        <w:rPr>
          <w:rFonts w:ascii="Arial" w:hAnsi="Arial" w:cs="Arial"/>
          <w:b/>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t>Rare: pancreatitis</w:t>
      </w:r>
    </w:p>
    <w:p w:rsidR="00EF6A76" w:rsidRDefault="00EF6A76" w:rsidP="005901D8">
      <w:pPr>
        <w:spacing w:after="0"/>
        <w:rPr>
          <w:rFonts w:ascii="Arial" w:hAnsi="Arial" w:cs="Arial"/>
          <w:sz w:val="24"/>
          <w:szCs w:val="24"/>
        </w:rPr>
      </w:pPr>
    </w:p>
    <w:p w:rsidR="00EF6A76" w:rsidRDefault="00EF6A76" w:rsidP="005901D8">
      <w:pPr>
        <w:spacing w:after="0"/>
        <w:rPr>
          <w:rFonts w:ascii="Arial" w:hAnsi="Arial" w:cs="Arial"/>
          <w:b/>
          <w:sz w:val="24"/>
          <w:szCs w:val="24"/>
        </w:rPr>
      </w:pPr>
      <w:r w:rsidRPr="00032BCA">
        <w:rPr>
          <w:rFonts w:ascii="Arial" w:hAnsi="Arial" w:cs="Arial"/>
          <w:b/>
          <w:sz w:val="24"/>
          <w:szCs w:val="24"/>
        </w:rPr>
        <w:t>Skin and subcutaneous tissue disorders</w:t>
      </w:r>
    </w:p>
    <w:p w:rsidR="00747540" w:rsidRPr="00032BCA" w:rsidRDefault="00747540" w:rsidP="005901D8">
      <w:pPr>
        <w:spacing w:after="0"/>
        <w:rPr>
          <w:rFonts w:ascii="Arial" w:hAnsi="Arial" w:cs="Arial"/>
          <w:b/>
          <w:sz w:val="24"/>
          <w:szCs w:val="24"/>
        </w:rPr>
      </w:pPr>
    </w:p>
    <w:p w:rsidR="00EF6A76" w:rsidRPr="00032BCA" w:rsidRDefault="00EF6A76" w:rsidP="005901D8">
      <w:pPr>
        <w:spacing w:after="0"/>
        <w:rPr>
          <w:rFonts w:ascii="Arial" w:hAnsi="Arial" w:cs="Arial"/>
          <w:sz w:val="24"/>
          <w:szCs w:val="24"/>
        </w:rPr>
      </w:pPr>
      <w:r w:rsidRPr="00032BCA">
        <w:rPr>
          <w:rFonts w:ascii="Arial" w:hAnsi="Arial" w:cs="Arial"/>
          <w:sz w:val="24"/>
          <w:szCs w:val="24"/>
        </w:rPr>
        <w:t xml:space="preserve">Rare: generalised </w:t>
      </w:r>
      <w:proofErr w:type="spellStart"/>
      <w:r w:rsidRPr="00032BCA">
        <w:rPr>
          <w:rFonts w:ascii="Arial" w:hAnsi="Arial" w:cs="Arial"/>
          <w:sz w:val="24"/>
          <w:szCs w:val="24"/>
        </w:rPr>
        <w:t>cutaneous</w:t>
      </w:r>
      <w:proofErr w:type="spellEnd"/>
      <w:r w:rsidRPr="00032BCA">
        <w:rPr>
          <w:rFonts w:ascii="Arial" w:hAnsi="Arial" w:cs="Arial"/>
          <w:sz w:val="24"/>
          <w:szCs w:val="24"/>
        </w:rPr>
        <w:t xml:space="preserve"> reactions.</w:t>
      </w:r>
    </w:p>
    <w:p w:rsidR="00EF6A76" w:rsidRDefault="00EF6A76" w:rsidP="005901D8">
      <w:pPr>
        <w:spacing w:after="0"/>
        <w:rPr>
          <w:rFonts w:ascii="Arial" w:hAnsi="Arial" w:cs="Arial"/>
          <w:sz w:val="24"/>
          <w:szCs w:val="24"/>
        </w:rPr>
      </w:pPr>
    </w:p>
    <w:p w:rsidR="00EF6A76" w:rsidRPr="00871CA7" w:rsidRDefault="00EF6A76" w:rsidP="00871CA7">
      <w:pPr>
        <w:spacing w:after="0"/>
        <w:rPr>
          <w:rFonts w:ascii="Arial" w:hAnsi="Arial" w:cs="Arial"/>
          <w:b/>
          <w:sz w:val="24"/>
          <w:szCs w:val="24"/>
        </w:rPr>
      </w:pPr>
      <w:r w:rsidRPr="00871CA7">
        <w:rPr>
          <w:rFonts w:ascii="Arial" w:hAnsi="Arial" w:cs="Arial"/>
          <w:b/>
          <w:sz w:val="24"/>
          <w:szCs w:val="24"/>
        </w:rPr>
        <w:t>DOSAGE AND ADMINISTRATION</w:t>
      </w:r>
    </w:p>
    <w:p w:rsidR="00EF6A76" w:rsidRDefault="00EF6A76" w:rsidP="00871CA7">
      <w:pPr>
        <w:spacing w:after="0"/>
        <w:rPr>
          <w:rFonts w:ascii="Arial" w:hAnsi="Arial" w:cs="Arial"/>
          <w:sz w:val="24"/>
          <w:szCs w:val="24"/>
        </w:rPr>
      </w:pPr>
    </w:p>
    <w:p w:rsidR="00EF6A76" w:rsidRDefault="00EF6A76" w:rsidP="00871CA7">
      <w:pPr>
        <w:spacing w:after="0"/>
        <w:rPr>
          <w:rFonts w:ascii="Arial" w:hAnsi="Arial" w:cs="Arial"/>
          <w:sz w:val="24"/>
          <w:szCs w:val="24"/>
        </w:rPr>
      </w:pP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must be given strictly by the oral route.  They should be swallowed whole with water and should not be chewed or sucked.  It is recommended that the capsule be taken with food.</w:t>
      </w:r>
    </w:p>
    <w:p w:rsidR="00EF6A76" w:rsidRDefault="00EF6A76" w:rsidP="00871CA7">
      <w:pPr>
        <w:spacing w:after="0"/>
        <w:rPr>
          <w:rFonts w:ascii="Arial" w:hAnsi="Arial" w:cs="Arial"/>
          <w:sz w:val="24"/>
          <w:szCs w:val="24"/>
        </w:rPr>
      </w:pPr>
    </w:p>
    <w:p w:rsidR="00EF6A76" w:rsidRPr="007D20A8" w:rsidRDefault="00EF6A76" w:rsidP="00871CA7">
      <w:pPr>
        <w:spacing w:after="0"/>
        <w:rPr>
          <w:rFonts w:ascii="Arial" w:hAnsi="Arial" w:cs="Arial"/>
          <w:b/>
          <w:sz w:val="24"/>
          <w:szCs w:val="24"/>
        </w:rPr>
      </w:pPr>
      <w:r w:rsidRPr="007D20A8">
        <w:rPr>
          <w:rFonts w:ascii="Arial" w:hAnsi="Arial" w:cs="Arial"/>
          <w:b/>
          <w:sz w:val="24"/>
          <w:szCs w:val="24"/>
        </w:rPr>
        <w:t>ADULTS</w:t>
      </w:r>
    </w:p>
    <w:p w:rsidR="00EF6A76" w:rsidRPr="007D20A8" w:rsidRDefault="00EF6A76" w:rsidP="00871CA7">
      <w:pPr>
        <w:spacing w:after="0"/>
        <w:rPr>
          <w:rFonts w:ascii="Arial" w:hAnsi="Arial" w:cs="Arial"/>
          <w:b/>
          <w:sz w:val="24"/>
          <w:szCs w:val="24"/>
        </w:rPr>
      </w:pPr>
      <w:r w:rsidRPr="007D20A8">
        <w:rPr>
          <w:rFonts w:ascii="Arial" w:hAnsi="Arial" w:cs="Arial"/>
          <w:b/>
          <w:sz w:val="24"/>
          <w:szCs w:val="24"/>
        </w:rPr>
        <w:lastRenderedPageBreak/>
        <w:t>Single agent</w:t>
      </w:r>
    </w:p>
    <w:p w:rsidR="00EF6A76" w:rsidRDefault="00EF6A76" w:rsidP="00871CA7">
      <w:pPr>
        <w:spacing w:after="0"/>
        <w:rPr>
          <w:rFonts w:ascii="Arial" w:hAnsi="Arial" w:cs="Arial"/>
          <w:sz w:val="24"/>
          <w:szCs w:val="24"/>
        </w:rPr>
      </w:pPr>
      <w:r>
        <w:rPr>
          <w:rFonts w:ascii="Arial" w:hAnsi="Arial" w:cs="Arial"/>
          <w:sz w:val="24"/>
          <w:szCs w:val="24"/>
        </w:rPr>
        <w:t>The recommended regimen is:</w:t>
      </w:r>
    </w:p>
    <w:p w:rsidR="00EF6A76" w:rsidRDefault="00EF6A76" w:rsidP="00871CA7">
      <w:pPr>
        <w:spacing w:after="0"/>
        <w:rPr>
          <w:rFonts w:ascii="Arial" w:hAnsi="Arial" w:cs="Arial"/>
          <w:sz w:val="24"/>
          <w:szCs w:val="24"/>
        </w:rPr>
      </w:pPr>
      <w:r w:rsidRPr="007D20A8">
        <w:rPr>
          <w:rFonts w:ascii="Arial" w:hAnsi="Arial" w:cs="Arial"/>
          <w:sz w:val="24"/>
          <w:szCs w:val="24"/>
        </w:rPr>
        <w:t>First three administrations:</w:t>
      </w:r>
      <w:r>
        <w:rPr>
          <w:rFonts w:ascii="Arial" w:hAnsi="Arial" w:cs="Arial"/>
          <w:sz w:val="24"/>
          <w:szCs w:val="24"/>
        </w:rPr>
        <w:t xml:space="preserve"> 60 mg/m</w:t>
      </w:r>
      <w:r w:rsidRPr="007D20A8">
        <w:rPr>
          <w:rFonts w:ascii="Arial" w:hAnsi="Arial" w:cs="Arial"/>
          <w:sz w:val="24"/>
          <w:szCs w:val="24"/>
          <w:vertAlign w:val="superscript"/>
        </w:rPr>
        <w:t>2</w:t>
      </w:r>
      <w:r>
        <w:rPr>
          <w:rFonts w:ascii="Arial" w:hAnsi="Arial" w:cs="Arial"/>
          <w:sz w:val="24"/>
          <w:szCs w:val="24"/>
        </w:rPr>
        <w:t>, administered once weekly.</w:t>
      </w:r>
    </w:p>
    <w:p w:rsidR="00EF6A76" w:rsidRPr="00D620A6" w:rsidRDefault="00EF6A76" w:rsidP="00871CA7">
      <w:pPr>
        <w:spacing w:after="0"/>
        <w:rPr>
          <w:rFonts w:ascii="Arial" w:hAnsi="Arial" w:cs="Arial"/>
          <w:sz w:val="24"/>
          <w:szCs w:val="24"/>
        </w:rPr>
      </w:pPr>
      <w:r>
        <w:rPr>
          <w:rFonts w:ascii="Arial" w:hAnsi="Arial" w:cs="Arial"/>
          <w:sz w:val="24"/>
          <w:szCs w:val="24"/>
        </w:rPr>
        <w:t xml:space="preserve">Subsequent administrations: Beyond the third administration, increasing the dose of </w:t>
      </w:r>
      <w:r w:rsidRPr="00334A9D">
        <w:rPr>
          <w:rFonts w:ascii="Arial" w:hAnsi="Arial" w:cs="Arial"/>
          <w:sz w:val="24"/>
          <w:szCs w:val="24"/>
        </w:rPr>
        <w:t>NAVELBINE</w:t>
      </w:r>
      <w:r w:rsidRPr="00334A9D">
        <w:rPr>
          <w:rFonts w:ascii="Arial" w:hAnsi="Arial" w:cs="Arial"/>
          <w:sz w:val="24"/>
          <w:szCs w:val="24"/>
          <w:vertAlign w:val="superscript"/>
        </w:rPr>
        <w:t>®</w:t>
      </w:r>
      <w:r w:rsidRPr="00334A9D">
        <w:rPr>
          <w:rFonts w:ascii="Arial" w:hAnsi="Arial" w:cs="Arial"/>
          <w:sz w:val="24"/>
          <w:szCs w:val="24"/>
        </w:rPr>
        <w:t xml:space="preserve"> Oral</w:t>
      </w:r>
      <w:r>
        <w:rPr>
          <w:rFonts w:ascii="Arial" w:hAnsi="Arial" w:cs="Arial"/>
          <w:sz w:val="24"/>
          <w:szCs w:val="24"/>
        </w:rPr>
        <w:t xml:space="preserve"> to 80 mg/m</w:t>
      </w:r>
      <w:r w:rsidRPr="007D20A8">
        <w:rPr>
          <w:rFonts w:ascii="Arial" w:hAnsi="Arial" w:cs="Arial"/>
          <w:sz w:val="24"/>
          <w:szCs w:val="24"/>
          <w:vertAlign w:val="superscript"/>
        </w:rPr>
        <w:t>2</w:t>
      </w:r>
      <w:r>
        <w:rPr>
          <w:rFonts w:ascii="Arial" w:hAnsi="Arial" w:cs="Arial"/>
          <w:sz w:val="24"/>
          <w:szCs w:val="24"/>
        </w:rPr>
        <w:t xml:space="preserve"> once weekly is recommended, except in those patients for whom the </w:t>
      </w:r>
      <w:proofErr w:type="spellStart"/>
      <w:r>
        <w:rPr>
          <w:rFonts w:ascii="Arial" w:hAnsi="Arial" w:cs="Arial"/>
          <w:sz w:val="24"/>
          <w:szCs w:val="24"/>
        </w:rPr>
        <w:t>neutrophil</w:t>
      </w:r>
      <w:proofErr w:type="spellEnd"/>
      <w:r>
        <w:rPr>
          <w:rFonts w:ascii="Arial" w:hAnsi="Arial" w:cs="Arial"/>
          <w:sz w:val="24"/>
          <w:szCs w:val="24"/>
        </w:rPr>
        <w:t xml:space="preserve"> count has dropped once below, </w:t>
      </w:r>
      <w:r w:rsidR="00747540">
        <w:rPr>
          <w:rFonts w:ascii="Arial" w:hAnsi="Arial" w:cs="Arial"/>
          <w:sz w:val="24"/>
          <w:szCs w:val="24"/>
        </w:rPr>
        <w:t xml:space="preserve">&lt; </w:t>
      </w:r>
      <w:r>
        <w:rPr>
          <w:rFonts w:ascii="Arial" w:hAnsi="Arial" w:cs="Arial"/>
          <w:sz w:val="24"/>
          <w:szCs w:val="24"/>
        </w:rPr>
        <w:t>500/mm</w:t>
      </w:r>
      <w:r w:rsidRPr="00D620A6">
        <w:rPr>
          <w:rFonts w:ascii="Arial" w:hAnsi="Arial" w:cs="Arial"/>
          <w:sz w:val="24"/>
          <w:szCs w:val="24"/>
          <w:vertAlign w:val="superscript"/>
        </w:rPr>
        <w:t>3</w:t>
      </w:r>
      <w:r>
        <w:rPr>
          <w:rFonts w:ascii="Arial" w:hAnsi="Arial" w:cs="Arial"/>
          <w:sz w:val="24"/>
          <w:szCs w:val="24"/>
        </w:rPr>
        <w:t xml:space="preserve"> or more than once between 500 and 1000/mm</w:t>
      </w:r>
      <w:r w:rsidRPr="00D620A6">
        <w:rPr>
          <w:rFonts w:ascii="Arial" w:hAnsi="Arial" w:cs="Arial"/>
          <w:sz w:val="24"/>
          <w:szCs w:val="24"/>
          <w:vertAlign w:val="superscript"/>
        </w:rPr>
        <w:t>3</w:t>
      </w:r>
      <w:r>
        <w:rPr>
          <w:rFonts w:ascii="Arial" w:hAnsi="Arial" w:cs="Arial"/>
          <w:sz w:val="24"/>
          <w:szCs w:val="24"/>
        </w:rPr>
        <w:t xml:space="preserve"> during the first 3 administrations at 60 mg/m</w:t>
      </w:r>
      <w:r w:rsidRPr="007D20A8">
        <w:rPr>
          <w:rFonts w:ascii="Arial" w:hAnsi="Arial" w:cs="Arial"/>
          <w:sz w:val="24"/>
          <w:szCs w:val="24"/>
          <w:vertAlign w:val="superscript"/>
        </w:rPr>
        <w:t>2</w:t>
      </w:r>
      <w:r>
        <w:rPr>
          <w:rFonts w:ascii="Arial" w:hAnsi="Arial" w:cs="Arial"/>
          <w:sz w:val="24"/>
          <w:szCs w:val="24"/>
        </w:rPr>
        <w:t>.</w:t>
      </w:r>
    </w:p>
    <w:p w:rsidR="00EF6A76" w:rsidRDefault="00EF6A76" w:rsidP="00871CA7">
      <w:pPr>
        <w:spacing w:after="0"/>
        <w:rPr>
          <w:rFonts w:ascii="Arial" w:hAnsi="Arial" w:cs="Arial"/>
          <w:color w:val="00B050"/>
          <w:sz w:val="24"/>
          <w:szCs w:val="24"/>
        </w:rPr>
      </w:pPr>
    </w:p>
    <w:p w:rsidR="00EF6A76" w:rsidRPr="00871D63" w:rsidRDefault="00EF6A76" w:rsidP="00E65326">
      <w:pPr>
        <w:spacing w:after="0"/>
        <w:rPr>
          <w:rFonts w:ascii="Arial" w:hAnsi="Arial" w:cs="Arial"/>
          <w:b/>
          <w:color w:val="000000"/>
          <w:sz w:val="24"/>
          <w:szCs w:val="24"/>
        </w:rPr>
      </w:pPr>
      <w:r>
        <w:rPr>
          <w:rFonts w:ascii="Arial" w:hAnsi="Arial" w:cs="Arial"/>
          <w:b/>
          <w:color w:val="000000"/>
          <w:sz w:val="24"/>
          <w:szCs w:val="24"/>
        </w:rPr>
        <w:t>Dose modifications according to haematological status</w:t>
      </w:r>
    </w:p>
    <w:p w:rsidR="00EF6A76" w:rsidRPr="00986A83" w:rsidRDefault="00EF6A76" w:rsidP="002C71A4">
      <w:pPr>
        <w:spacing w:after="0"/>
        <w:rPr>
          <w:rFonts w:ascii="Arial" w:hAnsi="Arial" w:cs="Arial"/>
          <w:color w:val="000000"/>
          <w:sz w:val="24"/>
          <w:szCs w:val="24"/>
        </w:rPr>
      </w:pPr>
      <w:r>
        <w:rPr>
          <w:rFonts w:ascii="Arial" w:hAnsi="Arial" w:cs="Arial"/>
          <w:color w:val="000000"/>
          <w:sz w:val="24"/>
          <w:szCs w:val="24"/>
        </w:rPr>
        <w:t xml:space="preserve">If the </w:t>
      </w:r>
      <w:proofErr w:type="spellStart"/>
      <w:r>
        <w:rPr>
          <w:rFonts w:ascii="Arial" w:hAnsi="Arial" w:cs="Arial"/>
          <w:color w:val="000000"/>
          <w:sz w:val="24"/>
          <w:szCs w:val="24"/>
        </w:rPr>
        <w:t>neutrophil</w:t>
      </w:r>
      <w:proofErr w:type="spellEnd"/>
      <w:r>
        <w:rPr>
          <w:rFonts w:ascii="Arial" w:hAnsi="Arial" w:cs="Arial"/>
          <w:color w:val="000000"/>
          <w:sz w:val="24"/>
          <w:szCs w:val="24"/>
        </w:rPr>
        <w:t xml:space="preserve"> count is below 1500/mm</w:t>
      </w:r>
      <w:r w:rsidRPr="00111642">
        <w:rPr>
          <w:rFonts w:ascii="Arial" w:hAnsi="Arial" w:cs="Arial"/>
          <w:color w:val="000000"/>
          <w:sz w:val="24"/>
          <w:szCs w:val="24"/>
          <w:vertAlign w:val="superscript"/>
        </w:rPr>
        <w:t>3</w:t>
      </w:r>
      <w:r>
        <w:rPr>
          <w:rFonts w:ascii="Arial" w:hAnsi="Arial" w:cs="Arial"/>
          <w:color w:val="000000"/>
          <w:sz w:val="24"/>
          <w:szCs w:val="24"/>
        </w:rPr>
        <w:t xml:space="preserve"> and/or the platelet count is between 75,000 and 100 000/mm</w:t>
      </w:r>
      <w:r w:rsidRPr="00111642">
        <w:rPr>
          <w:rFonts w:ascii="Arial" w:hAnsi="Arial" w:cs="Arial"/>
          <w:color w:val="000000"/>
          <w:sz w:val="24"/>
          <w:szCs w:val="24"/>
          <w:vertAlign w:val="superscript"/>
        </w:rPr>
        <w:t>3</w:t>
      </w:r>
      <w:r>
        <w:rPr>
          <w:rFonts w:ascii="Arial" w:hAnsi="Arial" w:cs="Arial"/>
          <w:color w:val="000000"/>
          <w:sz w:val="24"/>
          <w:szCs w:val="24"/>
        </w:rPr>
        <w:t>, then treatment should be delayed until recovery.</w:t>
      </w:r>
    </w:p>
    <w:p w:rsidR="00EF6A76" w:rsidRDefault="00EF6A76" w:rsidP="00E65326">
      <w:pPr>
        <w:spacing w:after="0"/>
        <w:rPr>
          <w:rFonts w:ascii="Arial" w:hAnsi="Arial" w:cs="Arial"/>
          <w:color w:val="00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1417"/>
        <w:gridCol w:w="1843"/>
        <w:gridCol w:w="1843"/>
        <w:gridCol w:w="1417"/>
      </w:tblGrid>
      <w:tr w:rsidR="00EF6A76" w:rsidTr="001D3DE9">
        <w:tc>
          <w:tcPr>
            <w:tcW w:w="2802" w:type="dxa"/>
          </w:tcPr>
          <w:p w:rsidR="00EF6A76" w:rsidRPr="001D3DE9" w:rsidRDefault="00EF6A76" w:rsidP="001D3DE9">
            <w:pPr>
              <w:spacing w:before="120" w:after="0"/>
              <w:rPr>
                <w:rFonts w:ascii="Arial" w:hAnsi="Arial" w:cs="Arial"/>
                <w:b/>
                <w:color w:val="000000"/>
                <w:sz w:val="20"/>
                <w:szCs w:val="20"/>
              </w:rPr>
            </w:pPr>
            <w:proofErr w:type="spellStart"/>
            <w:r w:rsidRPr="001D3DE9">
              <w:rPr>
                <w:rFonts w:ascii="Arial" w:hAnsi="Arial" w:cs="Arial"/>
                <w:b/>
                <w:color w:val="000000"/>
                <w:sz w:val="20"/>
                <w:szCs w:val="20"/>
              </w:rPr>
              <w:t>Neutrophil</w:t>
            </w:r>
            <w:proofErr w:type="spellEnd"/>
            <w:r w:rsidRPr="001D3DE9">
              <w:rPr>
                <w:rFonts w:ascii="Arial" w:hAnsi="Arial" w:cs="Arial"/>
                <w:b/>
                <w:color w:val="000000"/>
                <w:sz w:val="20"/>
                <w:szCs w:val="20"/>
              </w:rPr>
              <w:t xml:space="preserve"> count during the first 3 administrations at 60 mg/m</w:t>
            </w:r>
            <w:r w:rsidRPr="001D3DE9">
              <w:rPr>
                <w:rFonts w:ascii="Arial" w:hAnsi="Arial" w:cs="Arial"/>
                <w:b/>
                <w:color w:val="000000"/>
                <w:sz w:val="20"/>
                <w:szCs w:val="20"/>
                <w:vertAlign w:val="superscript"/>
              </w:rPr>
              <w:t>2</w:t>
            </w:r>
            <w:r w:rsidRPr="001D3DE9">
              <w:rPr>
                <w:rFonts w:ascii="Arial" w:hAnsi="Arial" w:cs="Arial"/>
                <w:b/>
                <w:color w:val="000000"/>
                <w:sz w:val="20"/>
                <w:szCs w:val="20"/>
              </w:rPr>
              <w:t>/week.</w:t>
            </w:r>
          </w:p>
        </w:tc>
        <w:tc>
          <w:tcPr>
            <w:tcW w:w="1417"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&gt;</w:t>
            </w:r>
            <w:r w:rsidR="00747540">
              <w:rPr>
                <w:rFonts w:ascii="Arial" w:hAnsi="Arial" w:cs="Arial"/>
                <w:b/>
                <w:color w:val="000000"/>
                <w:sz w:val="20"/>
                <w:szCs w:val="20"/>
              </w:rPr>
              <w:t xml:space="preserve"> </w:t>
            </w:r>
            <w:r w:rsidRPr="001D3DE9">
              <w:rPr>
                <w:rFonts w:ascii="Arial" w:hAnsi="Arial" w:cs="Arial"/>
                <w:b/>
                <w:color w:val="000000"/>
                <w:sz w:val="20"/>
                <w:szCs w:val="20"/>
              </w:rPr>
              <w:t>1000</w:t>
            </w:r>
          </w:p>
        </w:tc>
        <w:tc>
          <w:tcPr>
            <w:tcW w:w="1843"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 500 and &lt;</w:t>
            </w:r>
            <w:r w:rsidR="00747540">
              <w:rPr>
                <w:rFonts w:ascii="Arial" w:hAnsi="Arial" w:cs="Arial"/>
                <w:b/>
                <w:color w:val="000000"/>
                <w:sz w:val="20"/>
                <w:szCs w:val="20"/>
              </w:rPr>
              <w:t xml:space="preserve"> </w:t>
            </w:r>
            <w:r w:rsidRPr="001D3DE9">
              <w:rPr>
                <w:rFonts w:ascii="Arial" w:hAnsi="Arial" w:cs="Arial"/>
                <w:b/>
                <w:color w:val="000000"/>
                <w:sz w:val="20"/>
                <w:szCs w:val="20"/>
              </w:rPr>
              <w:t>1000           (1 episode)</w:t>
            </w:r>
          </w:p>
        </w:tc>
        <w:tc>
          <w:tcPr>
            <w:tcW w:w="1843"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 500 and &lt;</w:t>
            </w:r>
            <w:r w:rsidR="00747540">
              <w:rPr>
                <w:rFonts w:ascii="Arial" w:hAnsi="Arial" w:cs="Arial"/>
                <w:b/>
                <w:color w:val="000000"/>
                <w:sz w:val="20"/>
                <w:szCs w:val="20"/>
              </w:rPr>
              <w:t xml:space="preserve"> </w:t>
            </w:r>
            <w:r w:rsidRPr="001D3DE9">
              <w:rPr>
                <w:rFonts w:ascii="Arial" w:hAnsi="Arial" w:cs="Arial"/>
                <w:b/>
                <w:color w:val="000000"/>
                <w:sz w:val="20"/>
                <w:szCs w:val="20"/>
              </w:rPr>
              <w:t>1000           (2 episodes)</w:t>
            </w:r>
          </w:p>
        </w:tc>
        <w:tc>
          <w:tcPr>
            <w:tcW w:w="1417"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&lt;</w:t>
            </w:r>
            <w:r w:rsidR="00747540">
              <w:rPr>
                <w:rFonts w:ascii="Arial" w:hAnsi="Arial" w:cs="Arial"/>
                <w:b/>
                <w:color w:val="000000"/>
                <w:sz w:val="20"/>
                <w:szCs w:val="20"/>
              </w:rPr>
              <w:t xml:space="preserve"> </w:t>
            </w:r>
            <w:r w:rsidRPr="001D3DE9">
              <w:rPr>
                <w:rFonts w:ascii="Arial" w:hAnsi="Arial" w:cs="Arial"/>
                <w:b/>
                <w:color w:val="000000"/>
                <w:sz w:val="20"/>
                <w:szCs w:val="20"/>
              </w:rPr>
              <w:t>500</w:t>
            </w:r>
          </w:p>
        </w:tc>
      </w:tr>
      <w:tr w:rsidR="00EF6A76" w:rsidTr="001D3DE9">
        <w:tc>
          <w:tcPr>
            <w:tcW w:w="2802" w:type="dxa"/>
          </w:tcPr>
          <w:p w:rsidR="00EF6A76" w:rsidRPr="001D3DE9" w:rsidRDefault="00EF6A76" w:rsidP="001D3DE9">
            <w:pPr>
              <w:spacing w:before="120" w:after="0"/>
              <w:rPr>
                <w:rFonts w:ascii="Arial" w:hAnsi="Arial" w:cs="Arial"/>
                <w:b/>
                <w:color w:val="000000"/>
                <w:sz w:val="20"/>
                <w:szCs w:val="20"/>
              </w:rPr>
            </w:pPr>
            <w:r w:rsidRPr="001D3DE9">
              <w:rPr>
                <w:rFonts w:ascii="Arial" w:hAnsi="Arial" w:cs="Arial"/>
                <w:b/>
                <w:color w:val="000000"/>
                <w:sz w:val="20"/>
                <w:szCs w:val="20"/>
              </w:rPr>
              <w:t>Recommended dose for 4</w:t>
            </w:r>
            <w:r w:rsidRPr="001D3DE9">
              <w:rPr>
                <w:rFonts w:ascii="Arial" w:hAnsi="Arial" w:cs="Arial"/>
                <w:b/>
                <w:color w:val="000000"/>
                <w:sz w:val="20"/>
                <w:szCs w:val="20"/>
                <w:vertAlign w:val="superscript"/>
              </w:rPr>
              <w:t>th</w:t>
            </w:r>
            <w:r w:rsidRPr="001D3DE9">
              <w:rPr>
                <w:rFonts w:ascii="Arial" w:hAnsi="Arial" w:cs="Arial"/>
                <w:b/>
                <w:color w:val="000000"/>
                <w:sz w:val="20"/>
                <w:szCs w:val="20"/>
              </w:rPr>
              <w:t xml:space="preserve"> and subsequent administrations.</w:t>
            </w:r>
          </w:p>
        </w:tc>
        <w:tc>
          <w:tcPr>
            <w:tcW w:w="1417" w:type="dxa"/>
          </w:tcPr>
          <w:p w:rsidR="00EF6A76" w:rsidRPr="001D3DE9" w:rsidRDefault="00EF6A76" w:rsidP="001D3DE9">
            <w:pPr>
              <w:spacing w:before="120" w:after="0"/>
              <w:jc w:val="center"/>
              <w:rPr>
                <w:rFonts w:ascii="Arial" w:hAnsi="Arial" w:cs="Arial"/>
                <w:b/>
                <w:color w:val="000000"/>
                <w:sz w:val="20"/>
                <w:szCs w:val="20"/>
              </w:rPr>
            </w:pPr>
            <w:r w:rsidRPr="001D3DE9">
              <w:rPr>
                <w:rFonts w:ascii="Arial" w:hAnsi="Arial" w:cs="Arial"/>
                <w:b/>
                <w:color w:val="000000"/>
                <w:sz w:val="20"/>
                <w:szCs w:val="20"/>
              </w:rPr>
              <w:t>80</w:t>
            </w:r>
          </w:p>
        </w:tc>
        <w:tc>
          <w:tcPr>
            <w:tcW w:w="1843" w:type="dxa"/>
          </w:tcPr>
          <w:p w:rsidR="00EF6A76" w:rsidRPr="001D3DE9" w:rsidRDefault="00EF6A76" w:rsidP="001D3DE9">
            <w:pPr>
              <w:spacing w:before="120" w:after="0"/>
              <w:jc w:val="center"/>
              <w:rPr>
                <w:rFonts w:ascii="Arial" w:hAnsi="Arial" w:cs="Arial"/>
                <w:b/>
                <w:color w:val="000000"/>
                <w:sz w:val="20"/>
                <w:szCs w:val="20"/>
              </w:rPr>
            </w:pPr>
            <w:r w:rsidRPr="001D3DE9">
              <w:rPr>
                <w:rFonts w:ascii="Arial" w:hAnsi="Arial" w:cs="Arial"/>
                <w:b/>
                <w:color w:val="000000"/>
                <w:sz w:val="20"/>
                <w:szCs w:val="20"/>
              </w:rPr>
              <w:t>80</w:t>
            </w:r>
          </w:p>
        </w:tc>
        <w:tc>
          <w:tcPr>
            <w:tcW w:w="1843" w:type="dxa"/>
          </w:tcPr>
          <w:p w:rsidR="00EF6A76" w:rsidRPr="001D3DE9" w:rsidRDefault="00EF6A76" w:rsidP="001D3DE9">
            <w:pPr>
              <w:spacing w:before="120" w:after="0"/>
              <w:jc w:val="center"/>
              <w:rPr>
                <w:rFonts w:ascii="Arial" w:hAnsi="Arial" w:cs="Arial"/>
                <w:b/>
                <w:color w:val="000000"/>
                <w:sz w:val="20"/>
                <w:szCs w:val="20"/>
              </w:rPr>
            </w:pPr>
            <w:r w:rsidRPr="001D3DE9">
              <w:rPr>
                <w:rFonts w:ascii="Arial" w:hAnsi="Arial" w:cs="Arial"/>
                <w:b/>
                <w:color w:val="000000"/>
                <w:sz w:val="20"/>
                <w:szCs w:val="20"/>
              </w:rPr>
              <w:t>60</w:t>
            </w:r>
          </w:p>
        </w:tc>
        <w:tc>
          <w:tcPr>
            <w:tcW w:w="1417" w:type="dxa"/>
          </w:tcPr>
          <w:p w:rsidR="00EF6A76" w:rsidRPr="001D3DE9" w:rsidRDefault="00EF6A76" w:rsidP="001D3DE9">
            <w:pPr>
              <w:spacing w:before="120" w:after="0"/>
              <w:jc w:val="center"/>
              <w:rPr>
                <w:rFonts w:ascii="Arial" w:hAnsi="Arial" w:cs="Arial"/>
                <w:b/>
                <w:color w:val="000000"/>
                <w:sz w:val="20"/>
                <w:szCs w:val="20"/>
              </w:rPr>
            </w:pPr>
            <w:r w:rsidRPr="001D3DE9">
              <w:rPr>
                <w:rFonts w:ascii="Arial" w:hAnsi="Arial" w:cs="Arial"/>
                <w:b/>
                <w:color w:val="000000"/>
                <w:sz w:val="20"/>
                <w:szCs w:val="20"/>
              </w:rPr>
              <w:t>60</w:t>
            </w:r>
          </w:p>
        </w:tc>
      </w:tr>
    </w:tbl>
    <w:p w:rsidR="00EF6A76" w:rsidRDefault="00EF6A76" w:rsidP="00E65326">
      <w:pPr>
        <w:spacing w:after="0"/>
        <w:rPr>
          <w:rFonts w:ascii="Arial" w:hAnsi="Arial" w:cs="Arial"/>
          <w:color w:val="000000"/>
          <w:sz w:val="24"/>
          <w:szCs w:val="24"/>
        </w:rPr>
      </w:pPr>
    </w:p>
    <w:p w:rsidR="00EF6A76" w:rsidRPr="00FC536D" w:rsidRDefault="00EF6A76" w:rsidP="00986A83">
      <w:pPr>
        <w:spacing w:after="0"/>
        <w:rPr>
          <w:rFonts w:ascii="Arial" w:hAnsi="Arial" w:cs="Arial"/>
          <w:color w:val="000000"/>
          <w:sz w:val="24"/>
          <w:szCs w:val="24"/>
        </w:rPr>
      </w:pPr>
      <w:r w:rsidRPr="00FC536D">
        <w:rPr>
          <w:rFonts w:ascii="Arial" w:hAnsi="Arial" w:cs="Arial"/>
          <w:color w:val="000000"/>
          <w:sz w:val="24"/>
          <w:szCs w:val="24"/>
        </w:rPr>
        <w:t xml:space="preserve">For any administration </w:t>
      </w:r>
      <w:r>
        <w:rPr>
          <w:rFonts w:ascii="Arial" w:hAnsi="Arial" w:cs="Arial"/>
          <w:color w:val="000000"/>
          <w:sz w:val="24"/>
          <w:szCs w:val="24"/>
        </w:rPr>
        <w:t>planned at the 80 mg/m</w:t>
      </w:r>
      <w:r w:rsidRPr="00FC536D">
        <w:rPr>
          <w:rFonts w:ascii="Arial" w:hAnsi="Arial" w:cs="Arial"/>
          <w:color w:val="000000"/>
          <w:sz w:val="24"/>
          <w:szCs w:val="24"/>
          <w:vertAlign w:val="superscript"/>
        </w:rPr>
        <w:t>2</w:t>
      </w:r>
      <w:r>
        <w:rPr>
          <w:rFonts w:ascii="Arial" w:hAnsi="Arial" w:cs="Arial"/>
          <w:color w:val="000000"/>
          <w:sz w:val="24"/>
          <w:szCs w:val="24"/>
        </w:rPr>
        <w:t xml:space="preserve">/week dose, if the </w:t>
      </w:r>
      <w:proofErr w:type="spellStart"/>
      <w:r>
        <w:rPr>
          <w:rFonts w:ascii="Arial" w:hAnsi="Arial" w:cs="Arial"/>
          <w:color w:val="000000"/>
          <w:sz w:val="24"/>
          <w:szCs w:val="24"/>
        </w:rPr>
        <w:t>neutrophil</w:t>
      </w:r>
      <w:proofErr w:type="spellEnd"/>
      <w:r>
        <w:rPr>
          <w:rFonts w:ascii="Arial" w:hAnsi="Arial" w:cs="Arial"/>
          <w:color w:val="000000"/>
          <w:sz w:val="24"/>
          <w:szCs w:val="24"/>
        </w:rPr>
        <w:t xml:space="preserve"> count falls below 500/</w:t>
      </w:r>
      <w:r w:rsidRPr="004D732A">
        <w:rPr>
          <w:rFonts w:ascii="Arial" w:hAnsi="Arial" w:cs="Arial"/>
          <w:sz w:val="24"/>
          <w:szCs w:val="24"/>
        </w:rPr>
        <w:t>mm</w:t>
      </w:r>
      <w:r w:rsidRPr="004D732A">
        <w:rPr>
          <w:rFonts w:ascii="Arial" w:hAnsi="Arial" w:cs="Arial"/>
          <w:sz w:val="24"/>
          <w:szCs w:val="24"/>
          <w:vertAlign w:val="superscript"/>
        </w:rPr>
        <w:t>3</w:t>
      </w:r>
      <w:r w:rsidRPr="004D732A">
        <w:rPr>
          <w:rFonts w:ascii="Arial" w:hAnsi="Arial" w:cs="Arial"/>
          <w:sz w:val="24"/>
          <w:szCs w:val="24"/>
        </w:rPr>
        <w:t xml:space="preserve"> or more than once between 500 and 1000/mm</w:t>
      </w:r>
      <w:r w:rsidRPr="004D732A">
        <w:rPr>
          <w:rFonts w:ascii="Arial" w:hAnsi="Arial" w:cs="Arial"/>
          <w:sz w:val="24"/>
          <w:szCs w:val="24"/>
          <w:vertAlign w:val="superscript"/>
        </w:rPr>
        <w:t>3</w:t>
      </w:r>
      <w:r w:rsidRPr="004D732A">
        <w:rPr>
          <w:rFonts w:ascii="Arial" w:hAnsi="Arial" w:cs="Arial"/>
          <w:sz w:val="24"/>
          <w:szCs w:val="24"/>
        </w:rPr>
        <w:t>,  the dose must be delayed until recovery and reduced from 80 to 60 mg/m</w:t>
      </w:r>
      <w:r w:rsidRPr="004D732A">
        <w:rPr>
          <w:rFonts w:ascii="Arial" w:hAnsi="Arial" w:cs="Arial"/>
          <w:sz w:val="24"/>
          <w:szCs w:val="24"/>
          <w:vertAlign w:val="superscript"/>
        </w:rPr>
        <w:t>2</w:t>
      </w:r>
      <w:r w:rsidRPr="004D732A">
        <w:rPr>
          <w:rFonts w:ascii="Arial" w:hAnsi="Arial" w:cs="Arial"/>
          <w:sz w:val="24"/>
          <w:szCs w:val="24"/>
        </w:rPr>
        <w:t xml:space="preserve"> per week during</w:t>
      </w:r>
      <w:r>
        <w:rPr>
          <w:rFonts w:ascii="Arial" w:hAnsi="Arial" w:cs="Arial"/>
          <w:color w:val="000000"/>
          <w:sz w:val="24"/>
          <w:szCs w:val="24"/>
        </w:rPr>
        <w:t xml:space="preserve"> the 3 subsequent administrations.</w:t>
      </w:r>
    </w:p>
    <w:p w:rsidR="00EF6A76" w:rsidRDefault="00EF6A76" w:rsidP="00986A83">
      <w:pPr>
        <w:spacing w:after="0"/>
        <w:rPr>
          <w:rFonts w:ascii="Arial" w:hAnsi="Arial" w:cs="Arial"/>
          <w:b/>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1559"/>
        <w:gridCol w:w="1701"/>
        <w:gridCol w:w="1701"/>
        <w:gridCol w:w="1701"/>
      </w:tblGrid>
      <w:tr w:rsidR="00EF6A76" w:rsidRPr="00111642" w:rsidTr="001D3DE9">
        <w:tc>
          <w:tcPr>
            <w:tcW w:w="2802" w:type="dxa"/>
          </w:tcPr>
          <w:p w:rsidR="00EF6A76" w:rsidRPr="001D3DE9" w:rsidRDefault="00EF6A76" w:rsidP="001D3DE9">
            <w:pPr>
              <w:spacing w:before="120" w:after="0"/>
              <w:rPr>
                <w:rFonts w:ascii="Arial" w:hAnsi="Arial" w:cs="Arial"/>
                <w:b/>
                <w:color w:val="000000"/>
                <w:sz w:val="20"/>
                <w:szCs w:val="20"/>
              </w:rPr>
            </w:pPr>
            <w:proofErr w:type="spellStart"/>
            <w:r w:rsidRPr="001D3DE9">
              <w:rPr>
                <w:rFonts w:ascii="Arial" w:hAnsi="Arial" w:cs="Arial"/>
                <w:b/>
                <w:color w:val="000000"/>
                <w:sz w:val="20"/>
                <w:szCs w:val="20"/>
              </w:rPr>
              <w:t>Neutrophil</w:t>
            </w:r>
            <w:proofErr w:type="spellEnd"/>
            <w:r w:rsidRPr="001D3DE9">
              <w:rPr>
                <w:rFonts w:ascii="Arial" w:hAnsi="Arial" w:cs="Arial"/>
                <w:b/>
                <w:color w:val="000000"/>
                <w:sz w:val="20"/>
                <w:szCs w:val="20"/>
              </w:rPr>
              <w:t xml:space="preserve"> count beyond the 4</w:t>
            </w:r>
            <w:r w:rsidRPr="001D3DE9">
              <w:rPr>
                <w:rFonts w:ascii="Arial" w:hAnsi="Arial" w:cs="Arial"/>
                <w:b/>
                <w:color w:val="000000"/>
                <w:sz w:val="20"/>
                <w:szCs w:val="20"/>
                <w:vertAlign w:val="superscript"/>
              </w:rPr>
              <w:t>th</w:t>
            </w:r>
            <w:r w:rsidRPr="001D3DE9">
              <w:rPr>
                <w:rFonts w:ascii="Arial" w:hAnsi="Arial" w:cs="Arial"/>
                <w:b/>
                <w:color w:val="000000"/>
                <w:sz w:val="20"/>
                <w:szCs w:val="20"/>
              </w:rPr>
              <w:t xml:space="preserve"> administration at 80 mg/m</w:t>
            </w:r>
            <w:r w:rsidRPr="001D3DE9">
              <w:rPr>
                <w:rFonts w:ascii="Arial" w:hAnsi="Arial" w:cs="Arial"/>
                <w:b/>
                <w:color w:val="000000"/>
                <w:sz w:val="20"/>
                <w:szCs w:val="20"/>
                <w:vertAlign w:val="superscript"/>
              </w:rPr>
              <w:t>2</w:t>
            </w:r>
            <w:r w:rsidRPr="001D3DE9">
              <w:rPr>
                <w:rFonts w:ascii="Arial" w:hAnsi="Arial" w:cs="Arial"/>
                <w:b/>
                <w:color w:val="000000"/>
                <w:sz w:val="20"/>
                <w:szCs w:val="20"/>
              </w:rPr>
              <w:t>/week.</w:t>
            </w:r>
          </w:p>
        </w:tc>
        <w:tc>
          <w:tcPr>
            <w:tcW w:w="1559"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&gt;</w:t>
            </w:r>
            <w:r w:rsidR="00747540">
              <w:rPr>
                <w:rFonts w:ascii="Arial" w:hAnsi="Arial" w:cs="Arial"/>
                <w:b/>
                <w:color w:val="000000"/>
                <w:sz w:val="20"/>
                <w:szCs w:val="20"/>
              </w:rPr>
              <w:t xml:space="preserve"> </w:t>
            </w:r>
            <w:r w:rsidRPr="001D3DE9">
              <w:rPr>
                <w:rFonts w:ascii="Arial" w:hAnsi="Arial" w:cs="Arial"/>
                <w:b/>
                <w:color w:val="000000"/>
                <w:sz w:val="20"/>
                <w:szCs w:val="20"/>
              </w:rPr>
              <w:t>1000</w:t>
            </w:r>
          </w:p>
        </w:tc>
        <w:tc>
          <w:tcPr>
            <w:tcW w:w="1701"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w:t>
            </w:r>
            <w:r w:rsidR="00747540">
              <w:rPr>
                <w:rFonts w:ascii="Arial" w:hAnsi="Arial" w:cs="Arial"/>
                <w:b/>
                <w:color w:val="000000"/>
                <w:sz w:val="20"/>
                <w:szCs w:val="20"/>
              </w:rPr>
              <w:t xml:space="preserve"> </w:t>
            </w:r>
            <w:r w:rsidRPr="001D3DE9">
              <w:rPr>
                <w:rFonts w:ascii="Arial" w:hAnsi="Arial" w:cs="Arial"/>
                <w:b/>
                <w:color w:val="000000"/>
                <w:sz w:val="20"/>
                <w:szCs w:val="20"/>
              </w:rPr>
              <w:t xml:space="preserve">500 and </w:t>
            </w:r>
            <w:r w:rsidR="00747540">
              <w:rPr>
                <w:rFonts w:ascii="Arial" w:hAnsi="Arial" w:cs="Arial"/>
                <w:b/>
                <w:color w:val="000000"/>
                <w:sz w:val="20"/>
                <w:szCs w:val="20"/>
              </w:rPr>
              <w:t xml:space="preserve">        </w:t>
            </w:r>
            <w:r w:rsidRPr="001D3DE9">
              <w:rPr>
                <w:rFonts w:ascii="Arial" w:hAnsi="Arial" w:cs="Arial"/>
                <w:b/>
                <w:color w:val="000000"/>
                <w:sz w:val="20"/>
                <w:szCs w:val="20"/>
              </w:rPr>
              <w:t>&lt;</w:t>
            </w:r>
            <w:r w:rsidR="00747540">
              <w:rPr>
                <w:rFonts w:ascii="Arial" w:hAnsi="Arial" w:cs="Arial"/>
                <w:b/>
                <w:color w:val="000000"/>
                <w:sz w:val="20"/>
                <w:szCs w:val="20"/>
              </w:rPr>
              <w:t xml:space="preserve"> 1000             </w:t>
            </w:r>
            <w:r w:rsidRPr="001D3DE9">
              <w:rPr>
                <w:rFonts w:ascii="Arial" w:hAnsi="Arial" w:cs="Arial"/>
                <w:b/>
                <w:color w:val="000000"/>
                <w:sz w:val="20"/>
                <w:szCs w:val="20"/>
              </w:rPr>
              <w:t>(1 episode)</w:t>
            </w:r>
          </w:p>
        </w:tc>
        <w:tc>
          <w:tcPr>
            <w:tcW w:w="1701"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w:t>
            </w:r>
            <w:r w:rsidR="00747540">
              <w:rPr>
                <w:rFonts w:ascii="Arial" w:hAnsi="Arial" w:cs="Arial"/>
                <w:b/>
                <w:color w:val="000000"/>
                <w:sz w:val="20"/>
                <w:szCs w:val="20"/>
              </w:rPr>
              <w:t xml:space="preserve"> </w:t>
            </w:r>
            <w:r w:rsidRPr="001D3DE9">
              <w:rPr>
                <w:rFonts w:ascii="Arial" w:hAnsi="Arial" w:cs="Arial"/>
                <w:b/>
                <w:color w:val="000000"/>
                <w:sz w:val="20"/>
                <w:szCs w:val="20"/>
              </w:rPr>
              <w:t xml:space="preserve">500 and </w:t>
            </w:r>
            <w:r w:rsidR="00747540">
              <w:rPr>
                <w:rFonts w:ascii="Arial" w:hAnsi="Arial" w:cs="Arial"/>
                <w:b/>
                <w:color w:val="000000"/>
                <w:sz w:val="20"/>
                <w:szCs w:val="20"/>
              </w:rPr>
              <w:t xml:space="preserve">        </w:t>
            </w:r>
            <w:r w:rsidRPr="001D3DE9">
              <w:rPr>
                <w:rFonts w:ascii="Arial" w:hAnsi="Arial" w:cs="Arial"/>
                <w:b/>
                <w:color w:val="000000"/>
                <w:sz w:val="20"/>
                <w:szCs w:val="20"/>
              </w:rPr>
              <w:t>&lt;</w:t>
            </w:r>
            <w:r w:rsidR="00747540">
              <w:rPr>
                <w:rFonts w:ascii="Arial" w:hAnsi="Arial" w:cs="Arial"/>
                <w:b/>
                <w:color w:val="000000"/>
                <w:sz w:val="20"/>
                <w:szCs w:val="20"/>
              </w:rPr>
              <w:t xml:space="preserve"> 1000             </w:t>
            </w:r>
            <w:r w:rsidRPr="001D3DE9">
              <w:rPr>
                <w:rFonts w:ascii="Arial" w:hAnsi="Arial" w:cs="Arial"/>
                <w:b/>
                <w:color w:val="000000"/>
                <w:sz w:val="20"/>
                <w:szCs w:val="20"/>
              </w:rPr>
              <w:t>(2 episodes)</w:t>
            </w:r>
          </w:p>
        </w:tc>
        <w:tc>
          <w:tcPr>
            <w:tcW w:w="1701" w:type="dxa"/>
          </w:tcPr>
          <w:p w:rsidR="00EF6A76" w:rsidRPr="001D3DE9" w:rsidRDefault="00EF6A76" w:rsidP="001D3DE9">
            <w:pPr>
              <w:spacing w:before="120" w:after="0"/>
              <w:jc w:val="center"/>
              <w:rPr>
                <w:rFonts w:ascii="Arial" w:hAnsi="Arial" w:cs="Arial"/>
                <w:b/>
                <w:color w:val="000000"/>
                <w:sz w:val="20"/>
                <w:szCs w:val="20"/>
              </w:rPr>
            </w:pPr>
            <w:proofErr w:type="spellStart"/>
            <w:r w:rsidRPr="001D3DE9">
              <w:rPr>
                <w:rFonts w:ascii="Arial" w:hAnsi="Arial" w:cs="Arial"/>
                <w:b/>
                <w:color w:val="000000"/>
                <w:sz w:val="20"/>
                <w:szCs w:val="20"/>
              </w:rPr>
              <w:t>Neutrophils</w:t>
            </w:r>
            <w:proofErr w:type="spellEnd"/>
            <w:r w:rsidRPr="001D3DE9">
              <w:rPr>
                <w:rFonts w:ascii="Arial" w:hAnsi="Arial" w:cs="Arial"/>
                <w:b/>
                <w:color w:val="000000"/>
                <w:sz w:val="20"/>
                <w:szCs w:val="20"/>
              </w:rPr>
              <w:t xml:space="preserve">   &lt;</w:t>
            </w:r>
            <w:r w:rsidR="00747540">
              <w:rPr>
                <w:rFonts w:ascii="Arial" w:hAnsi="Arial" w:cs="Arial"/>
                <w:b/>
                <w:color w:val="000000"/>
                <w:sz w:val="20"/>
                <w:szCs w:val="20"/>
              </w:rPr>
              <w:t xml:space="preserve"> </w:t>
            </w:r>
            <w:r w:rsidRPr="001D3DE9">
              <w:rPr>
                <w:rFonts w:ascii="Arial" w:hAnsi="Arial" w:cs="Arial"/>
                <w:b/>
                <w:color w:val="000000"/>
                <w:sz w:val="20"/>
                <w:szCs w:val="20"/>
              </w:rPr>
              <w:t>500</w:t>
            </w:r>
          </w:p>
        </w:tc>
      </w:tr>
      <w:tr w:rsidR="00EF6A76" w:rsidRPr="00084E8D" w:rsidTr="001D3DE9">
        <w:tc>
          <w:tcPr>
            <w:tcW w:w="2802" w:type="dxa"/>
          </w:tcPr>
          <w:p w:rsidR="00EF6A76" w:rsidRPr="001D3DE9" w:rsidRDefault="00EF6A76" w:rsidP="001D3DE9">
            <w:pPr>
              <w:spacing w:before="120" w:after="0"/>
              <w:rPr>
                <w:rFonts w:ascii="Arial" w:hAnsi="Arial" w:cs="Arial"/>
                <w:b/>
                <w:color w:val="000000"/>
                <w:sz w:val="20"/>
                <w:szCs w:val="20"/>
              </w:rPr>
            </w:pPr>
            <w:r w:rsidRPr="001D3DE9">
              <w:rPr>
                <w:rFonts w:ascii="Arial" w:hAnsi="Arial" w:cs="Arial"/>
                <w:b/>
                <w:color w:val="000000"/>
                <w:sz w:val="20"/>
                <w:szCs w:val="20"/>
              </w:rPr>
              <w:t>Recommended dose for the next administration.</w:t>
            </w:r>
          </w:p>
        </w:tc>
        <w:tc>
          <w:tcPr>
            <w:tcW w:w="3260" w:type="dxa"/>
            <w:gridSpan w:val="2"/>
          </w:tcPr>
          <w:p w:rsidR="00EF6A76" w:rsidRPr="001D3DE9" w:rsidRDefault="00EF6A76" w:rsidP="001D3DE9">
            <w:pPr>
              <w:spacing w:before="120" w:after="0"/>
              <w:jc w:val="center"/>
              <w:rPr>
                <w:rFonts w:ascii="Arial" w:hAnsi="Arial" w:cs="Arial"/>
                <w:b/>
                <w:color w:val="000000"/>
                <w:sz w:val="20"/>
                <w:szCs w:val="20"/>
              </w:rPr>
            </w:pPr>
            <w:r w:rsidRPr="001D3DE9">
              <w:rPr>
                <w:rFonts w:ascii="Arial" w:hAnsi="Arial" w:cs="Arial"/>
                <w:b/>
                <w:color w:val="000000"/>
                <w:sz w:val="20"/>
                <w:szCs w:val="20"/>
              </w:rPr>
              <w:t>80</w:t>
            </w:r>
          </w:p>
        </w:tc>
        <w:tc>
          <w:tcPr>
            <w:tcW w:w="3402" w:type="dxa"/>
            <w:gridSpan w:val="2"/>
          </w:tcPr>
          <w:p w:rsidR="00EF6A76" w:rsidRPr="001D3DE9" w:rsidRDefault="00EF6A76" w:rsidP="001D3DE9">
            <w:pPr>
              <w:spacing w:before="120" w:after="0"/>
              <w:jc w:val="center"/>
              <w:rPr>
                <w:rFonts w:ascii="Arial" w:hAnsi="Arial" w:cs="Arial"/>
                <w:b/>
                <w:color w:val="000000"/>
                <w:sz w:val="20"/>
                <w:szCs w:val="20"/>
              </w:rPr>
            </w:pPr>
            <w:r w:rsidRPr="001D3DE9">
              <w:rPr>
                <w:rFonts w:ascii="Arial" w:hAnsi="Arial" w:cs="Arial"/>
                <w:b/>
                <w:color w:val="000000"/>
                <w:sz w:val="20"/>
                <w:szCs w:val="20"/>
              </w:rPr>
              <w:t>60</w:t>
            </w:r>
          </w:p>
        </w:tc>
      </w:tr>
    </w:tbl>
    <w:p w:rsidR="00EF6A76" w:rsidRDefault="00EF6A76" w:rsidP="00986A83">
      <w:pPr>
        <w:spacing w:after="0"/>
        <w:rPr>
          <w:rFonts w:ascii="Arial" w:hAnsi="Arial" w:cs="Arial"/>
          <w:b/>
          <w:color w:val="000000"/>
          <w:sz w:val="24"/>
          <w:szCs w:val="24"/>
        </w:rPr>
      </w:pPr>
    </w:p>
    <w:p w:rsidR="00EF6A76" w:rsidRPr="00A957FC" w:rsidRDefault="00EF6A76" w:rsidP="00986A83">
      <w:pPr>
        <w:spacing w:after="0"/>
        <w:rPr>
          <w:rFonts w:ascii="Arial" w:hAnsi="Arial" w:cs="Arial"/>
          <w:color w:val="000000"/>
          <w:sz w:val="24"/>
          <w:szCs w:val="24"/>
        </w:rPr>
      </w:pPr>
      <w:r w:rsidRPr="00A957FC">
        <w:rPr>
          <w:rFonts w:ascii="Arial" w:hAnsi="Arial" w:cs="Arial"/>
          <w:color w:val="000000"/>
          <w:sz w:val="24"/>
          <w:szCs w:val="24"/>
        </w:rPr>
        <w:t>It is possible</w:t>
      </w:r>
      <w:r>
        <w:rPr>
          <w:rFonts w:ascii="Arial" w:hAnsi="Arial" w:cs="Arial"/>
          <w:color w:val="000000"/>
          <w:sz w:val="24"/>
          <w:szCs w:val="24"/>
        </w:rPr>
        <w:t xml:space="preserve"> to re-escalate the dose from 60 to 80 mg/m</w:t>
      </w:r>
      <w:r w:rsidRPr="00C556DD">
        <w:rPr>
          <w:rFonts w:ascii="Arial" w:hAnsi="Arial" w:cs="Arial"/>
          <w:color w:val="000000"/>
          <w:sz w:val="24"/>
          <w:szCs w:val="24"/>
          <w:vertAlign w:val="superscript"/>
        </w:rPr>
        <w:t>2</w:t>
      </w:r>
      <w:r>
        <w:rPr>
          <w:rFonts w:ascii="Arial" w:hAnsi="Arial" w:cs="Arial"/>
          <w:color w:val="000000"/>
          <w:sz w:val="24"/>
          <w:szCs w:val="24"/>
        </w:rPr>
        <w:t xml:space="preserve">/week if the </w:t>
      </w:r>
      <w:proofErr w:type="spellStart"/>
      <w:r>
        <w:rPr>
          <w:rFonts w:ascii="Arial" w:hAnsi="Arial" w:cs="Arial"/>
          <w:color w:val="000000"/>
          <w:sz w:val="24"/>
          <w:szCs w:val="24"/>
        </w:rPr>
        <w:t>neutrophil</w:t>
      </w:r>
      <w:proofErr w:type="spellEnd"/>
      <w:r>
        <w:rPr>
          <w:rFonts w:ascii="Arial" w:hAnsi="Arial" w:cs="Arial"/>
          <w:color w:val="000000"/>
          <w:sz w:val="24"/>
          <w:szCs w:val="24"/>
        </w:rPr>
        <w:t xml:space="preserve"> count does not drop below 500/mm</w:t>
      </w:r>
      <w:r w:rsidRPr="00C556DD">
        <w:rPr>
          <w:rFonts w:ascii="Arial" w:hAnsi="Arial" w:cs="Arial"/>
          <w:color w:val="000000"/>
          <w:sz w:val="24"/>
          <w:szCs w:val="24"/>
          <w:vertAlign w:val="superscript"/>
        </w:rPr>
        <w:t>3</w:t>
      </w:r>
      <w:r>
        <w:rPr>
          <w:rFonts w:ascii="Arial" w:hAnsi="Arial" w:cs="Arial"/>
          <w:color w:val="000000"/>
          <w:sz w:val="24"/>
          <w:szCs w:val="24"/>
        </w:rPr>
        <w:t>, or more than once between 500 and 1000/mm</w:t>
      </w:r>
      <w:r w:rsidRPr="00C556DD">
        <w:rPr>
          <w:rFonts w:ascii="Arial" w:hAnsi="Arial" w:cs="Arial"/>
          <w:color w:val="000000"/>
          <w:sz w:val="24"/>
          <w:szCs w:val="24"/>
          <w:vertAlign w:val="superscript"/>
        </w:rPr>
        <w:t>3</w:t>
      </w:r>
      <w:r>
        <w:rPr>
          <w:rFonts w:ascii="Arial" w:hAnsi="Arial" w:cs="Arial"/>
          <w:color w:val="000000"/>
          <w:sz w:val="24"/>
          <w:szCs w:val="24"/>
        </w:rPr>
        <w:t xml:space="preserve"> during the three administrations given at the 60 mg/m</w:t>
      </w:r>
      <w:r w:rsidRPr="00C556DD">
        <w:rPr>
          <w:rFonts w:ascii="Arial" w:hAnsi="Arial" w:cs="Arial"/>
          <w:color w:val="000000"/>
          <w:sz w:val="24"/>
          <w:szCs w:val="24"/>
          <w:vertAlign w:val="superscript"/>
        </w:rPr>
        <w:t>2</w:t>
      </w:r>
      <w:r>
        <w:rPr>
          <w:rFonts w:ascii="Arial" w:hAnsi="Arial" w:cs="Arial"/>
          <w:color w:val="000000"/>
          <w:sz w:val="24"/>
          <w:szCs w:val="24"/>
        </w:rPr>
        <w:t xml:space="preserve"> dose.</w:t>
      </w:r>
    </w:p>
    <w:p w:rsidR="00EF6A76" w:rsidRDefault="00EF6A76" w:rsidP="00986A83">
      <w:pPr>
        <w:spacing w:after="0"/>
        <w:rPr>
          <w:rFonts w:ascii="Arial" w:hAnsi="Arial" w:cs="Arial"/>
          <w:b/>
          <w:color w:val="000000"/>
          <w:sz w:val="24"/>
          <w:szCs w:val="24"/>
        </w:rPr>
      </w:pPr>
    </w:p>
    <w:p w:rsidR="00EF6A76" w:rsidRDefault="00EF6A76" w:rsidP="00986A83">
      <w:pPr>
        <w:spacing w:after="0"/>
        <w:rPr>
          <w:rFonts w:ascii="Arial" w:hAnsi="Arial" w:cs="Arial"/>
          <w:b/>
          <w:color w:val="000000"/>
          <w:sz w:val="24"/>
          <w:szCs w:val="24"/>
        </w:rPr>
      </w:pPr>
      <w:r>
        <w:rPr>
          <w:rFonts w:ascii="Arial" w:hAnsi="Arial" w:cs="Arial"/>
          <w:b/>
          <w:color w:val="000000"/>
          <w:sz w:val="24"/>
          <w:szCs w:val="24"/>
        </w:rPr>
        <w:t>Dose modification for hepatic insufficiency</w:t>
      </w:r>
    </w:p>
    <w:p w:rsidR="00EF6A76" w:rsidRDefault="00EF6A76" w:rsidP="00986A83">
      <w:pPr>
        <w:spacing w:after="0"/>
        <w:rPr>
          <w:rFonts w:ascii="Arial" w:hAnsi="Arial" w:cs="Arial"/>
          <w:color w:val="000000"/>
          <w:sz w:val="24"/>
          <w:szCs w:val="24"/>
        </w:rPr>
      </w:pPr>
      <w:proofErr w:type="spellStart"/>
      <w:r w:rsidRPr="00C556DD">
        <w:rPr>
          <w:rFonts w:ascii="Arial" w:hAnsi="Arial" w:cs="Arial"/>
          <w:color w:val="000000"/>
          <w:sz w:val="24"/>
          <w:szCs w:val="24"/>
        </w:rPr>
        <w:t>Vinorelbine</w:t>
      </w:r>
      <w:proofErr w:type="spellEnd"/>
      <w:r>
        <w:rPr>
          <w:rFonts w:ascii="Arial" w:hAnsi="Arial" w:cs="Arial"/>
          <w:color w:val="000000"/>
          <w:sz w:val="24"/>
          <w:szCs w:val="24"/>
        </w:rPr>
        <w:t xml:space="preserve"> is contraindicated in patients with severe hepatic insufficiency.  There is limited experience in patients with mild or moderate hepatic impairment, however available data suggests that dose modification is not required.  Haematological toxicity should be closely monitored.</w:t>
      </w:r>
    </w:p>
    <w:p w:rsidR="00EF6A76" w:rsidRDefault="00EF6A76" w:rsidP="00986A83">
      <w:pPr>
        <w:spacing w:after="0"/>
        <w:rPr>
          <w:rFonts w:ascii="Arial" w:hAnsi="Arial" w:cs="Arial"/>
          <w:color w:val="000000"/>
          <w:sz w:val="24"/>
          <w:szCs w:val="24"/>
        </w:rPr>
      </w:pPr>
    </w:p>
    <w:p w:rsidR="00EF6A76" w:rsidRDefault="00EF6A76" w:rsidP="00986A83">
      <w:pPr>
        <w:spacing w:after="0"/>
        <w:rPr>
          <w:rFonts w:ascii="Arial" w:hAnsi="Arial" w:cs="Arial"/>
          <w:b/>
          <w:color w:val="000000"/>
          <w:sz w:val="24"/>
          <w:szCs w:val="24"/>
        </w:rPr>
      </w:pPr>
      <w:r w:rsidRPr="00C556DD">
        <w:rPr>
          <w:rFonts w:ascii="Arial" w:hAnsi="Arial" w:cs="Arial"/>
          <w:b/>
          <w:color w:val="000000"/>
          <w:sz w:val="24"/>
          <w:szCs w:val="24"/>
        </w:rPr>
        <w:t>Combination chemotherapy</w:t>
      </w:r>
    </w:p>
    <w:p w:rsidR="00EF6A76" w:rsidRDefault="00EF6A76" w:rsidP="00986A83">
      <w:pPr>
        <w:spacing w:after="0"/>
        <w:rPr>
          <w:rFonts w:ascii="Arial" w:hAnsi="Arial" w:cs="Arial"/>
          <w:b/>
          <w:color w:val="000000"/>
          <w:sz w:val="24"/>
          <w:szCs w:val="24"/>
        </w:rPr>
      </w:pPr>
    </w:p>
    <w:p w:rsidR="00EF6A76" w:rsidRPr="00A33D5A" w:rsidRDefault="002B3D36" w:rsidP="00986A83">
      <w:pPr>
        <w:spacing w:after="0"/>
        <w:rPr>
          <w:rFonts w:ascii="Arial" w:hAnsi="Arial" w:cs="Arial"/>
          <w:color w:val="000000" w:themeColor="text1"/>
          <w:sz w:val="24"/>
          <w:szCs w:val="24"/>
          <w:u w:val="single"/>
        </w:rPr>
      </w:pPr>
      <w:r w:rsidRPr="009400D7">
        <w:rPr>
          <w:rFonts w:ascii="Arial" w:hAnsi="Arial" w:cs="Arial"/>
          <w:color w:val="000000" w:themeColor="text1"/>
          <w:sz w:val="24"/>
          <w:szCs w:val="24"/>
        </w:rPr>
        <w:lastRenderedPageBreak/>
        <w:t xml:space="preserve"> </w:t>
      </w:r>
      <w:r>
        <w:rPr>
          <w:rFonts w:ascii="Arial" w:hAnsi="Arial" w:cs="Arial"/>
          <w:color w:val="000000" w:themeColor="text1"/>
          <w:sz w:val="24"/>
          <w:szCs w:val="24"/>
          <w:u w:val="single"/>
        </w:rPr>
        <w:t>General</w:t>
      </w:r>
    </w:p>
    <w:p w:rsidR="00EF6A76" w:rsidRDefault="00EF6A76" w:rsidP="00986A83">
      <w:pPr>
        <w:spacing w:after="0"/>
        <w:rPr>
          <w:rFonts w:ascii="Arial" w:hAnsi="Arial" w:cs="Arial"/>
          <w:color w:val="000000"/>
          <w:sz w:val="24"/>
          <w:szCs w:val="24"/>
        </w:rPr>
      </w:pPr>
    </w:p>
    <w:p w:rsidR="00EF6A76" w:rsidRPr="00C556DD" w:rsidRDefault="00EF6A76" w:rsidP="00986A83">
      <w:pPr>
        <w:spacing w:after="0"/>
        <w:rPr>
          <w:rFonts w:ascii="Arial" w:hAnsi="Arial" w:cs="Arial"/>
          <w:color w:val="000000"/>
          <w:sz w:val="24"/>
          <w:szCs w:val="24"/>
        </w:rPr>
      </w:pPr>
      <w:r>
        <w:rPr>
          <w:rFonts w:ascii="Arial" w:hAnsi="Arial" w:cs="Arial"/>
          <w:color w:val="000000"/>
          <w:sz w:val="24"/>
          <w:szCs w:val="24"/>
        </w:rPr>
        <w:t xml:space="preserve">The use of oral </w:t>
      </w:r>
      <w:proofErr w:type="spellStart"/>
      <w:r>
        <w:rPr>
          <w:rFonts w:ascii="Arial" w:hAnsi="Arial" w:cs="Arial"/>
          <w:color w:val="000000"/>
          <w:sz w:val="24"/>
          <w:szCs w:val="24"/>
        </w:rPr>
        <w:t>vinorelbine</w:t>
      </w:r>
      <w:proofErr w:type="spellEnd"/>
      <w:r>
        <w:rPr>
          <w:rFonts w:ascii="Arial" w:hAnsi="Arial" w:cs="Arial"/>
          <w:color w:val="000000"/>
          <w:sz w:val="24"/>
          <w:szCs w:val="24"/>
        </w:rPr>
        <w:t xml:space="preserve"> in combination regimens has not been extensively studied.  However, based on pharmacokinetic studies, the oral dose of 80 mg/m</w:t>
      </w:r>
      <w:r w:rsidRPr="00925613">
        <w:rPr>
          <w:rFonts w:ascii="Arial" w:hAnsi="Arial" w:cs="Arial"/>
          <w:color w:val="000000"/>
          <w:sz w:val="24"/>
          <w:szCs w:val="24"/>
          <w:vertAlign w:val="superscript"/>
        </w:rPr>
        <w:t>2</w:t>
      </w:r>
      <w:r>
        <w:rPr>
          <w:rFonts w:ascii="Arial" w:hAnsi="Arial" w:cs="Arial"/>
          <w:color w:val="000000"/>
          <w:sz w:val="24"/>
          <w:szCs w:val="24"/>
        </w:rPr>
        <w:t xml:space="preserve"> was demonstrated to correspond to 30 mg/m</w:t>
      </w:r>
      <w:r w:rsidRPr="00925613">
        <w:rPr>
          <w:rFonts w:ascii="Arial" w:hAnsi="Arial" w:cs="Arial"/>
          <w:color w:val="000000"/>
          <w:sz w:val="24"/>
          <w:szCs w:val="24"/>
          <w:vertAlign w:val="superscript"/>
        </w:rPr>
        <w:t>2</w:t>
      </w:r>
      <w:r>
        <w:rPr>
          <w:rFonts w:ascii="Arial" w:hAnsi="Arial" w:cs="Arial"/>
          <w:color w:val="000000"/>
          <w:sz w:val="24"/>
          <w:szCs w:val="24"/>
        </w:rPr>
        <w:t xml:space="preserve"> of the IV form and 60 mg/m</w:t>
      </w:r>
      <w:r w:rsidRPr="00925613">
        <w:rPr>
          <w:rFonts w:ascii="Arial" w:hAnsi="Arial" w:cs="Arial"/>
          <w:color w:val="000000"/>
          <w:sz w:val="24"/>
          <w:szCs w:val="24"/>
          <w:vertAlign w:val="superscript"/>
        </w:rPr>
        <w:t>2</w:t>
      </w:r>
      <w:r>
        <w:rPr>
          <w:rFonts w:ascii="Arial" w:hAnsi="Arial" w:cs="Arial"/>
          <w:color w:val="000000"/>
          <w:sz w:val="24"/>
          <w:szCs w:val="24"/>
        </w:rPr>
        <w:t xml:space="preserve"> orally to 25 mg/m</w:t>
      </w:r>
      <w:r w:rsidRPr="00925613">
        <w:rPr>
          <w:rFonts w:ascii="Arial" w:hAnsi="Arial" w:cs="Arial"/>
          <w:color w:val="000000"/>
          <w:sz w:val="24"/>
          <w:szCs w:val="24"/>
          <w:vertAlign w:val="superscript"/>
        </w:rPr>
        <w:t>2</w:t>
      </w:r>
      <w:r>
        <w:rPr>
          <w:rFonts w:ascii="Arial" w:hAnsi="Arial" w:cs="Arial"/>
          <w:color w:val="000000"/>
          <w:sz w:val="24"/>
          <w:szCs w:val="24"/>
        </w:rPr>
        <w:t xml:space="preserve"> IV.</w:t>
      </w:r>
    </w:p>
    <w:p w:rsidR="00EF6A76" w:rsidRDefault="00EF6A76" w:rsidP="00986A83">
      <w:pPr>
        <w:spacing w:after="0"/>
        <w:rPr>
          <w:rFonts w:ascii="Arial" w:hAnsi="Arial" w:cs="Arial"/>
          <w:b/>
          <w:color w:val="000000"/>
          <w:sz w:val="24"/>
          <w:szCs w:val="24"/>
        </w:rPr>
      </w:pPr>
    </w:p>
    <w:p w:rsidR="00EF6A76" w:rsidRDefault="00EF6A76" w:rsidP="00986A83">
      <w:pPr>
        <w:spacing w:after="0"/>
        <w:rPr>
          <w:rFonts w:ascii="Arial" w:hAnsi="Arial" w:cs="Arial"/>
          <w:color w:val="000000"/>
          <w:sz w:val="24"/>
          <w:szCs w:val="24"/>
        </w:rPr>
      </w:pPr>
      <w:r w:rsidRPr="00925613">
        <w:rPr>
          <w:rFonts w:ascii="Arial" w:hAnsi="Arial" w:cs="Arial"/>
          <w:color w:val="000000"/>
          <w:sz w:val="24"/>
          <w:szCs w:val="24"/>
        </w:rPr>
        <w:t xml:space="preserve">In combination regimens, intravenous </w:t>
      </w:r>
      <w:proofErr w:type="spellStart"/>
      <w:r w:rsidRPr="00925613">
        <w:rPr>
          <w:rFonts w:ascii="Arial" w:hAnsi="Arial" w:cs="Arial"/>
          <w:color w:val="000000"/>
          <w:sz w:val="24"/>
          <w:szCs w:val="24"/>
        </w:rPr>
        <w:t>vinorelbine</w:t>
      </w:r>
      <w:proofErr w:type="spellEnd"/>
      <w:r w:rsidRPr="00925613">
        <w:rPr>
          <w:rFonts w:ascii="Arial" w:hAnsi="Arial" w:cs="Arial"/>
          <w:color w:val="000000"/>
          <w:sz w:val="24"/>
          <w:szCs w:val="24"/>
        </w:rPr>
        <w:t xml:space="preserve"> dosing may be replaced with oral </w:t>
      </w:r>
      <w:proofErr w:type="spellStart"/>
      <w:r w:rsidRPr="00925613">
        <w:rPr>
          <w:rFonts w:ascii="Arial" w:hAnsi="Arial" w:cs="Arial"/>
          <w:color w:val="000000"/>
          <w:sz w:val="24"/>
          <w:szCs w:val="24"/>
        </w:rPr>
        <w:t>vinorelbine</w:t>
      </w:r>
      <w:proofErr w:type="spellEnd"/>
      <w:r w:rsidRPr="00925613">
        <w:rPr>
          <w:rFonts w:ascii="Arial" w:hAnsi="Arial" w:cs="Arial"/>
          <w:color w:val="000000"/>
          <w:sz w:val="24"/>
          <w:szCs w:val="24"/>
        </w:rPr>
        <w:t xml:space="preserve"> therapy.  The recommended dose is 60 mg/m</w:t>
      </w:r>
      <w:r w:rsidRPr="00925613">
        <w:rPr>
          <w:rFonts w:ascii="Arial" w:hAnsi="Arial" w:cs="Arial"/>
          <w:color w:val="000000"/>
          <w:sz w:val="24"/>
          <w:szCs w:val="24"/>
          <w:vertAlign w:val="superscript"/>
        </w:rPr>
        <w:t>2</w:t>
      </w:r>
      <w:r w:rsidRPr="00925613">
        <w:rPr>
          <w:rFonts w:ascii="Arial" w:hAnsi="Arial" w:cs="Arial"/>
          <w:color w:val="000000"/>
          <w:sz w:val="24"/>
          <w:szCs w:val="24"/>
        </w:rPr>
        <w:t xml:space="preserve">.  The safety of higher doses of oral </w:t>
      </w:r>
      <w:proofErr w:type="spellStart"/>
      <w:r w:rsidRPr="00925613">
        <w:rPr>
          <w:rFonts w:ascii="Arial" w:hAnsi="Arial" w:cs="Arial"/>
          <w:color w:val="000000"/>
          <w:sz w:val="24"/>
          <w:szCs w:val="24"/>
        </w:rPr>
        <w:t>vinorelbine</w:t>
      </w:r>
      <w:proofErr w:type="spellEnd"/>
      <w:r w:rsidRPr="00925613">
        <w:rPr>
          <w:rFonts w:ascii="Arial" w:hAnsi="Arial" w:cs="Arial"/>
          <w:color w:val="000000"/>
          <w:sz w:val="24"/>
          <w:szCs w:val="24"/>
        </w:rPr>
        <w:t xml:space="preserve"> (e.g. 80 mg/m</w:t>
      </w:r>
      <w:r w:rsidRPr="00925613">
        <w:rPr>
          <w:rFonts w:ascii="Arial" w:hAnsi="Arial" w:cs="Arial"/>
          <w:color w:val="000000"/>
          <w:sz w:val="24"/>
          <w:szCs w:val="24"/>
          <w:vertAlign w:val="superscript"/>
        </w:rPr>
        <w:t>2</w:t>
      </w:r>
      <w:r w:rsidRPr="00925613">
        <w:rPr>
          <w:rFonts w:ascii="Arial" w:hAnsi="Arial" w:cs="Arial"/>
          <w:color w:val="000000"/>
          <w:sz w:val="24"/>
          <w:szCs w:val="24"/>
        </w:rPr>
        <w:t>) in combination regimens has not been established</w:t>
      </w:r>
      <w:r w:rsidR="00CD6D2A">
        <w:rPr>
          <w:rFonts w:ascii="Arial" w:hAnsi="Arial" w:cs="Arial"/>
          <w:color w:val="000000"/>
          <w:sz w:val="24"/>
          <w:szCs w:val="24"/>
        </w:rPr>
        <w:t xml:space="preserve">, except for use with </w:t>
      </w:r>
      <w:proofErr w:type="spellStart"/>
      <w:r w:rsidR="00CD6D2A">
        <w:rPr>
          <w:rFonts w:ascii="Arial" w:hAnsi="Arial" w:cs="Arial"/>
          <w:color w:val="000000"/>
          <w:sz w:val="24"/>
          <w:szCs w:val="24"/>
        </w:rPr>
        <w:t>capecitabine</w:t>
      </w:r>
      <w:proofErr w:type="spellEnd"/>
      <w:r w:rsidR="00CD6D2A">
        <w:rPr>
          <w:rFonts w:ascii="Arial" w:hAnsi="Arial" w:cs="Arial"/>
          <w:color w:val="000000"/>
          <w:sz w:val="24"/>
          <w:szCs w:val="24"/>
        </w:rPr>
        <w:t xml:space="preserve"> in advanced breast cancer (see below)</w:t>
      </w:r>
      <w:r w:rsidRPr="00925613">
        <w:rPr>
          <w:rFonts w:ascii="Arial" w:hAnsi="Arial" w:cs="Arial"/>
          <w:color w:val="000000"/>
          <w:sz w:val="24"/>
          <w:szCs w:val="24"/>
        </w:rPr>
        <w:t>.</w:t>
      </w:r>
    </w:p>
    <w:p w:rsidR="00EF6A76" w:rsidRDefault="00EF6A76" w:rsidP="00986A83">
      <w:pPr>
        <w:spacing w:after="0"/>
        <w:rPr>
          <w:rFonts w:ascii="Arial" w:hAnsi="Arial" w:cs="Arial"/>
          <w:color w:val="000000"/>
          <w:sz w:val="24"/>
          <w:szCs w:val="24"/>
        </w:rPr>
      </w:pPr>
    </w:p>
    <w:p w:rsidR="00EF6A76" w:rsidRPr="00A33D5A" w:rsidRDefault="002B3D36" w:rsidP="00986A83">
      <w:pPr>
        <w:spacing w:after="0"/>
        <w:rPr>
          <w:rFonts w:ascii="Arial" w:hAnsi="Arial" w:cs="Arial"/>
          <w:color w:val="000000"/>
          <w:sz w:val="24"/>
          <w:szCs w:val="24"/>
          <w:u w:val="single"/>
        </w:rPr>
      </w:pPr>
      <w:r>
        <w:rPr>
          <w:rFonts w:ascii="Arial" w:hAnsi="Arial" w:cs="Arial"/>
          <w:color w:val="000000"/>
          <w:sz w:val="24"/>
          <w:szCs w:val="24"/>
          <w:u w:val="single"/>
        </w:rPr>
        <w:t xml:space="preserve">Combination with </w:t>
      </w:r>
      <w:proofErr w:type="spellStart"/>
      <w:r>
        <w:rPr>
          <w:rFonts w:ascii="Arial" w:hAnsi="Arial" w:cs="Arial"/>
          <w:color w:val="000000"/>
          <w:sz w:val="24"/>
          <w:szCs w:val="24"/>
          <w:u w:val="single"/>
        </w:rPr>
        <w:t>Capecitabine</w:t>
      </w:r>
      <w:proofErr w:type="spellEnd"/>
      <w:r>
        <w:rPr>
          <w:rFonts w:ascii="Arial" w:hAnsi="Arial" w:cs="Arial"/>
          <w:color w:val="000000"/>
          <w:sz w:val="24"/>
          <w:szCs w:val="24"/>
          <w:u w:val="single"/>
        </w:rPr>
        <w:t xml:space="preserve"> in </w:t>
      </w:r>
      <w:r w:rsidR="00EF6A76" w:rsidRPr="00A33D5A">
        <w:rPr>
          <w:rFonts w:ascii="Arial" w:hAnsi="Arial" w:cs="Arial"/>
          <w:color w:val="000000"/>
          <w:sz w:val="24"/>
          <w:szCs w:val="24"/>
          <w:u w:val="single"/>
        </w:rPr>
        <w:t>Advanced Breast Cancer</w:t>
      </w:r>
    </w:p>
    <w:p w:rsidR="002B3D36" w:rsidRPr="008D11A4" w:rsidRDefault="002B3D36" w:rsidP="008D11A4">
      <w:pPr>
        <w:spacing w:after="0"/>
        <w:rPr>
          <w:rFonts w:ascii="Arial" w:hAnsi="Arial" w:cs="Arial"/>
          <w:color w:val="000000"/>
          <w:sz w:val="24"/>
          <w:szCs w:val="24"/>
          <w:lang w:val="fr-FR"/>
        </w:rPr>
      </w:pPr>
    </w:p>
    <w:p w:rsidR="00EF6A76" w:rsidRPr="00A33D5A" w:rsidRDefault="00EF6A76" w:rsidP="008D11A4">
      <w:pPr>
        <w:spacing w:after="0"/>
        <w:rPr>
          <w:rFonts w:ascii="Arial" w:hAnsi="Arial" w:cs="Arial"/>
          <w:color w:val="000000" w:themeColor="text1"/>
          <w:sz w:val="24"/>
          <w:szCs w:val="24"/>
        </w:rPr>
      </w:pPr>
      <w:r w:rsidRPr="00A33D5A">
        <w:rPr>
          <w:rFonts w:ascii="Arial" w:hAnsi="Arial" w:cs="Arial"/>
          <w:color w:val="000000" w:themeColor="text1"/>
          <w:sz w:val="24"/>
          <w:szCs w:val="24"/>
          <w:lang w:val="en-GB"/>
        </w:rPr>
        <w:t>In combination</w:t>
      </w:r>
      <w:r w:rsidR="002B3D36">
        <w:rPr>
          <w:rFonts w:ascii="Arial" w:hAnsi="Arial" w:cs="Arial"/>
          <w:color w:val="000000" w:themeColor="text1"/>
          <w:sz w:val="24"/>
          <w:szCs w:val="24"/>
          <w:lang w:val="en-GB"/>
        </w:rPr>
        <w:t xml:space="preserve"> with </w:t>
      </w:r>
      <w:proofErr w:type="spellStart"/>
      <w:r w:rsidR="002B3D36">
        <w:rPr>
          <w:rFonts w:ascii="Arial" w:hAnsi="Arial" w:cs="Arial"/>
          <w:color w:val="000000" w:themeColor="text1"/>
          <w:sz w:val="24"/>
          <w:szCs w:val="24"/>
          <w:lang w:val="en-GB"/>
        </w:rPr>
        <w:t>capecitabine</w:t>
      </w:r>
      <w:proofErr w:type="spellEnd"/>
      <w:r w:rsidR="002B3D36">
        <w:rPr>
          <w:rFonts w:ascii="Arial" w:hAnsi="Arial" w:cs="Arial"/>
          <w:color w:val="000000" w:themeColor="text1"/>
          <w:sz w:val="24"/>
          <w:szCs w:val="24"/>
          <w:lang w:val="en-GB"/>
        </w:rPr>
        <w:t xml:space="preserve"> for the treatment of advanced breast cancer</w:t>
      </w:r>
      <w:r w:rsidRPr="00A33D5A">
        <w:rPr>
          <w:rFonts w:ascii="Arial" w:hAnsi="Arial" w:cs="Arial"/>
          <w:color w:val="000000" w:themeColor="text1"/>
          <w:sz w:val="24"/>
          <w:szCs w:val="24"/>
          <w:lang w:val="en-GB"/>
        </w:rPr>
        <w:t>, the administration of NAVELBINE</w:t>
      </w:r>
      <w:r w:rsidRPr="00A33D5A">
        <w:rPr>
          <w:rFonts w:ascii="Arial" w:hAnsi="Arial" w:cs="Arial"/>
          <w:color w:val="000000" w:themeColor="text1"/>
          <w:sz w:val="24"/>
          <w:szCs w:val="24"/>
          <w:vertAlign w:val="superscript"/>
          <w:lang w:val="en-GB"/>
        </w:rPr>
        <w:t>®</w:t>
      </w:r>
      <w:r w:rsidRPr="00A33D5A">
        <w:rPr>
          <w:rFonts w:ascii="Arial" w:hAnsi="Arial" w:cs="Arial"/>
          <w:color w:val="000000" w:themeColor="text1"/>
          <w:sz w:val="24"/>
          <w:szCs w:val="24"/>
          <w:lang w:val="en-GB"/>
        </w:rPr>
        <w:t xml:space="preserve"> Oral is recommended on days 1 and 8 </w:t>
      </w:r>
      <w:r w:rsidR="007D1F0A" w:rsidRPr="00A33D5A">
        <w:rPr>
          <w:rFonts w:ascii="Arial" w:hAnsi="Arial" w:cs="Arial"/>
          <w:color w:val="000000" w:themeColor="text1"/>
          <w:sz w:val="24"/>
          <w:szCs w:val="24"/>
          <w:lang w:val="en-GB"/>
        </w:rPr>
        <w:t>for</w:t>
      </w:r>
      <w:r w:rsidRPr="00A33D5A">
        <w:rPr>
          <w:rFonts w:ascii="Arial" w:hAnsi="Arial" w:cs="Arial"/>
          <w:color w:val="000000" w:themeColor="text1"/>
          <w:sz w:val="24"/>
          <w:szCs w:val="24"/>
          <w:lang w:val="en-GB"/>
        </w:rPr>
        <w:t xml:space="preserve"> three week cycles at 60 mg/m² for the first cycle, then increased </w:t>
      </w:r>
      <w:r w:rsidR="00E20DF6" w:rsidRPr="00A33D5A">
        <w:rPr>
          <w:rFonts w:ascii="Arial" w:hAnsi="Arial" w:cs="Arial"/>
          <w:color w:val="000000" w:themeColor="text1"/>
          <w:sz w:val="24"/>
          <w:szCs w:val="24"/>
          <w:lang w:val="en-GB"/>
        </w:rPr>
        <w:t>to</w:t>
      </w:r>
      <w:r w:rsidRPr="00A33D5A">
        <w:rPr>
          <w:rFonts w:ascii="Arial" w:hAnsi="Arial" w:cs="Arial"/>
          <w:color w:val="000000" w:themeColor="text1"/>
          <w:sz w:val="24"/>
          <w:szCs w:val="24"/>
          <w:lang w:val="en-GB"/>
        </w:rPr>
        <w:t xml:space="preserve"> 80 mg/m²</w:t>
      </w:r>
      <w:r w:rsidR="007D1F0A" w:rsidRPr="00A33D5A">
        <w:rPr>
          <w:rFonts w:ascii="Arial" w:hAnsi="Arial" w:cs="Arial"/>
          <w:color w:val="000000" w:themeColor="text1"/>
          <w:sz w:val="24"/>
          <w:szCs w:val="24"/>
          <w:lang w:val="en-GB"/>
        </w:rPr>
        <w:t xml:space="preserve"> for subsequent cycles</w:t>
      </w:r>
      <w:r w:rsidRPr="00A33D5A">
        <w:rPr>
          <w:rFonts w:ascii="Arial" w:hAnsi="Arial" w:cs="Arial"/>
          <w:color w:val="000000" w:themeColor="text1"/>
          <w:sz w:val="24"/>
          <w:szCs w:val="24"/>
          <w:lang w:val="en-GB"/>
        </w:rPr>
        <w:t xml:space="preserve">, </w:t>
      </w:r>
      <w:r w:rsidRPr="00A33D5A">
        <w:rPr>
          <w:rFonts w:ascii="Arial" w:hAnsi="Arial" w:cs="Arial"/>
          <w:color w:val="000000" w:themeColor="text1"/>
          <w:sz w:val="24"/>
          <w:szCs w:val="24"/>
        </w:rPr>
        <w:t xml:space="preserve">except in patients for whom the </w:t>
      </w:r>
      <w:proofErr w:type="spellStart"/>
      <w:r w:rsidRPr="00A33D5A">
        <w:rPr>
          <w:rFonts w:ascii="Arial" w:hAnsi="Arial" w:cs="Arial"/>
          <w:color w:val="000000" w:themeColor="text1"/>
          <w:sz w:val="24"/>
          <w:szCs w:val="24"/>
        </w:rPr>
        <w:t>neutrophil</w:t>
      </w:r>
      <w:proofErr w:type="spellEnd"/>
      <w:r w:rsidRPr="00A33D5A">
        <w:rPr>
          <w:rFonts w:ascii="Arial" w:hAnsi="Arial" w:cs="Arial"/>
          <w:color w:val="000000" w:themeColor="text1"/>
          <w:sz w:val="24"/>
          <w:szCs w:val="24"/>
        </w:rPr>
        <w:t xml:space="preserve"> count has dropped below</w:t>
      </w:r>
      <w:r w:rsidR="00F8624A" w:rsidRPr="00A33D5A">
        <w:rPr>
          <w:rFonts w:ascii="Arial" w:hAnsi="Arial" w:cs="Arial"/>
          <w:color w:val="000000" w:themeColor="text1"/>
          <w:sz w:val="24"/>
          <w:szCs w:val="24"/>
        </w:rPr>
        <w:t xml:space="preserve"> </w:t>
      </w:r>
      <w:r w:rsidRPr="00A33D5A">
        <w:rPr>
          <w:rFonts w:ascii="Arial" w:hAnsi="Arial" w:cs="Arial"/>
          <w:color w:val="000000" w:themeColor="text1"/>
          <w:sz w:val="24"/>
          <w:szCs w:val="24"/>
        </w:rPr>
        <w:t>500/mm</w:t>
      </w:r>
      <w:r w:rsidRPr="00A33D5A">
        <w:rPr>
          <w:rFonts w:ascii="Arial" w:hAnsi="Arial" w:cs="Arial"/>
          <w:color w:val="000000" w:themeColor="text1"/>
          <w:sz w:val="24"/>
          <w:szCs w:val="24"/>
          <w:vertAlign w:val="superscript"/>
        </w:rPr>
        <w:t>3</w:t>
      </w:r>
      <w:r w:rsidRPr="00A33D5A">
        <w:rPr>
          <w:rFonts w:ascii="Arial" w:hAnsi="Arial" w:cs="Arial"/>
          <w:color w:val="000000" w:themeColor="text1"/>
          <w:sz w:val="24"/>
          <w:szCs w:val="24"/>
        </w:rPr>
        <w:t xml:space="preserve"> or more than once between 500 and 1000/mm</w:t>
      </w:r>
      <w:r w:rsidRPr="00A33D5A">
        <w:rPr>
          <w:rFonts w:ascii="Arial" w:hAnsi="Arial" w:cs="Arial"/>
          <w:color w:val="000000" w:themeColor="text1"/>
          <w:sz w:val="24"/>
          <w:szCs w:val="24"/>
          <w:vertAlign w:val="superscript"/>
        </w:rPr>
        <w:t>3</w:t>
      </w:r>
      <w:r w:rsidRPr="00A33D5A">
        <w:rPr>
          <w:rFonts w:ascii="Arial" w:hAnsi="Arial" w:cs="Arial"/>
          <w:color w:val="000000" w:themeColor="text1"/>
          <w:sz w:val="24"/>
          <w:szCs w:val="24"/>
        </w:rPr>
        <w:t xml:space="preserve"> during the first administration at 60 mg/m</w:t>
      </w:r>
      <w:r w:rsidRPr="00A33D5A">
        <w:rPr>
          <w:rFonts w:ascii="Arial" w:hAnsi="Arial" w:cs="Arial"/>
          <w:color w:val="000000" w:themeColor="text1"/>
          <w:sz w:val="24"/>
          <w:szCs w:val="24"/>
          <w:vertAlign w:val="superscript"/>
        </w:rPr>
        <w:t>2</w:t>
      </w:r>
      <w:r w:rsidRPr="00A33D5A">
        <w:rPr>
          <w:rFonts w:ascii="Arial" w:hAnsi="Arial" w:cs="Arial"/>
          <w:color w:val="000000" w:themeColor="text1"/>
          <w:sz w:val="24"/>
          <w:szCs w:val="24"/>
        </w:rPr>
        <w:t xml:space="preserve">. </w:t>
      </w:r>
      <w:proofErr w:type="spellStart"/>
      <w:r w:rsidR="00CD6D2A">
        <w:rPr>
          <w:rFonts w:ascii="Arial" w:hAnsi="Arial" w:cs="Arial"/>
          <w:color w:val="000000" w:themeColor="text1"/>
          <w:sz w:val="24"/>
          <w:szCs w:val="24"/>
        </w:rPr>
        <w:t>Capecitabine</w:t>
      </w:r>
      <w:proofErr w:type="spellEnd"/>
      <w:r w:rsidR="00CD6D2A">
        <w:rPr>
          <w:rFonts w:ascii="Arial" w:hAnsi="Arial" w:cs="Arial"/>
          <w:color w:val="000000" w:themeColor="text1"/>
          <w:sz w:val="24"/>
          <w:szCs w:val="24"/>
        </w:rPr>
        <w:t xml:space="preserve"> should be administered at a dose of 1000 mg/m</w:t>
      </w:r>
      <w:r w:rsidR="00CD6D2A" w:rsidRPr="009400D7">
        <w:rPr>
          <w:rFonts w:ascii="Arial" w:hAnsi="Arial" w:cs="Arial"/>
          <w:color w:val="000000" w:themeColor="text1"/>
          <w:sz w:val="24"/>
          <w:szCs w:val="24"/>
          <w:vertAlign w:val="superscript"/>
        </w:rPr>
        <w:t>2</w:t>
      </w:r>
      <w:r w:rsidR="00CD6D2A">
        <w:rPr>
          <w:rFonts w:ascii="Arial" w:hAnsi="Arial" w:cs="Arial"/>
          <w:color w:val="000000" w:themeColor="text1"/>
          <w:sz w:val="24"/>
          <w:szCs w:val="24"/>
        </w:rPr>
        <w:t xml:space="preserve"> on days 1-14 of the three week cycle.</w:t>
      </w:r>
    </w:p>
    <w:p w:rsidR="00F8624A" w:rsidRPr="007D1F0A" w:rsidRDefault="00F8624A" w:rsidP="008D11A4">
      <w:pPr>
        <w:spacing w:after="0"/>
        <w:rPr>
          <w:rFonts w:ascii="Arial" w:hAnsi="Arial" w:cs="Arial"/>
          <w:color w:val="FF0000"/>
          <w:sz w:val="24"/>
          <w:szCs w:val="24"/>
          <w:lang w:val="en-GB"/>
        </w:rPr>
      </w:pPr>
    </w:p>
    <w:p w:rsidR="00EF6A76" w:rsidRDefault="00EF6A76" w:rsidP="00986A83">
      <w:pPr>
        <w:spacing w:after="0"/>
        <w:rPr>
          <w:rFonts w:ascii="Arial" w:hAnsi="Arial" w:cs="Arial"/>
          <w:color w:val="000000"/>
          <w:sz w:val="24"/>
          <w:szCs w:val="24"/>
        </w:rPr>
      </w:pPr>
      <w:r>
        <w:rPr>
          <w:rFonts w:ascii="Arial" w:hAnsi="Arial" w:cs="Arial"/>
          <w:color w:val="000000"/>
          <w:sz w:val="24"/>
          <w:szCs w:val="24"/>
        </w:rPr>
        <w:t>The following table gives the dose required for appropriate ranges of body surface area (BSA).</w:t>
      </w:r>
    </w:p>
    <w:p w:rsidR="00EF6A76" w:rsidRDefault="00EF6A76" w:rsidP="00986A83">
      <w:pPr>
        <w:spacing w:after="0"/>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EF6A76" w:rsidTr="001D3DE9">
        <w:tc>
          <w:tcPr>
            <w:tcW w:w="3080" w:type="dxa"/>
          </w:tcPr>
          <w:p w:rsidR="00EF6A76" w:rsidRPr="001D3DE9" w:rsidRDefault="00EF6A76" w:rsidP="001D3DE9">
            <w:pPr>
              <w:spacing w:before="120" w:after="0"/>
              <w:jc w:val="center"/>
              <w:rPr>
                <w:rFonts w:ascii="Arial" w:hAnsi="Arial" w:cs="Arial"/>
                <w:color w:val="000000"/>
              </w:rPr>
            </w:pPr>
          </w:p>
        </w:tc>
        <w:tc>
          <w:tcPr>
            <w:tcW w:w="3081" w:type="dxa"/>
          </w:tcPr>
          <w:p w:rsidR="00EF6A76" w:rsidRPr="001D3DE9" w:rsidRDefault="00EF6A76" w:rsidP="001D3DE9">
            <w:pPr>
              <w:spacing w:before="120" w:after="0"/>
              <w:jc w:val="center"/>
              <w:rPr>
                <w:rFonts w:ascii="Arial" w:hAnsi="Arial" w:cs="Arial"/>
                <w:b/>
                <w:color w:val="000000"/>
              </w:rPr>
            </w:pPr>
            <w:r w:rsidRPr="001D3DE9">
              <w:rPr>
                <w:rFonts w:ascii="Arial" w:hAnsi="Arial" w:cs="Arial"/>
                <w:b/>
                <w:color w:val="000000"/>
              </w:rPr>
              <w:t>60 mg/m</w:t>
            </w:r>
            <w:r w:rsidRPr="001D3DE9">
              <w:rPr>
                <w:rFonts w:ascii="Arial" w:hAnsi="Arial" w:cs="Arial"/>
                <w:b/>
                <w:color w:val="000000"/>
                <w:vertAlign w:val="superscript"/>
              </w:rPr>
              <w:t>2</w:t>
            </w:r>
          </w:p>
        </w:tc>
        <w:tc>
          <w:tcPr>
            <w:tcW w:w="3081" w:type="dxa"/>
          </w:tcPr>
          <w:p w:rsidR="00EF6A76" w:rsidRPr="001D3DE9" w:rsidRDefault="00EF6A76" w:rsidP="001D3DE9">
            <w:pPr>
              <w:spacing w:before="120" w:after="0"/>
              <w:jc w:val="center"/>
              <w:rPr>
                <w:rFonts w:ascii="Arial" w:hAnsi="Arial" w:cs="Arial"/>
                <w:b/>
                <w:color w:val="000000"/>
              </w:rPr>
            </w:pPr>
            <w:r w:rsidRPr="001D3DE9">
              <w:rPr>
                <w:rFonts w:ascii="Arial" w:hAnsi="Arial" w:cs="Arial"/>
                <w:b/>
                <w:color w:val="000000"/>
              </w:rPr>
              <w:t>80 mg/m</w:t>
            </w:r>
            <w:r w:rsidRPr="001D3DE9">
              <w:rPr>
                <w:rFonts w:ascii="Arial" w:hAnsi="Arial" w:cs="Arial"/>
                <w:b/>
                <w:color w:val="000000"/>
                <w:vertAlign w:val="superscript"/>
              </w:rPr>
              <w:t>2</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BSA (m</w:t>
            </w:r>
            <w:r w:rsidRPr="001D3DE9">
              <w:rPr>
                <w:rFonts w:ascii="Arial" w:hAnsi="Arial" w:cs="Arial"/>
                <w:color w:val="000000"/>
                <w:vertAlign w:val="superscript"/>
              </w:rPr>
              <w:t>2</w:t>
            </w:r>
            <w:r w:rsidRPr="001D3DE9">
              <w:rPr>
                <w:rFonts w:ascii="Arial" w:hAnsi="Arial" w:cs="Arial"/>
                <w:color w:val="000000"/>
              </w:rPr>
              <w:t>)</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Dose (mg)</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Dose (mg)</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0.95 to 1</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60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80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1.05 to 1.14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70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90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1.15 to 1.24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70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100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1.25 to 1.34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80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100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1.35 to 1.44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80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110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1.45 to 1.54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90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120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1.55 to 1.64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100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130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1.65 to 1.74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100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140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1.75 to 1.84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110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140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1.85 to 1.94</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110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150</w:t>
            </w:r>
          </w:p>
        </w:tc>
      </w:tr>
      <w:tr w:rsidR="00EF6A76" w:rsidTr="001D3DE9">
        <w:tc>
          <w:tcPr>
            <w:tcW w:w="3080"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 1.95</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120</w:t>
            </w:r>
          </w:p>
        </w:tc>
        <w:tc>
          <w:tcPr>
            <w:tcW w:w="3081" w:type="dxa"/>
          </w:tcPr>
          <w:p w:rsidR="00EF6A76" w:rsidRPr="001D3DE9" w:rsidRDefault="00EF6A76" w:rsidP="001D3DE9">
            <w:pPr>
              <w:spacing w:before="120" w:after="0"/>
              <w:jc w:val="center"/>
              <w:rPr>
                <w:rFonts w:ascii="Arial" w:hAnsi="Arial" w:cs="Arial"/>
                <w:color w:val="000000"/>
              </w:rPr>
            </w:pPr>
            <w:r w:rsidRPr="001D3DE9">
              <w:rPr>
                <w:rFonts w:ascii="Arial" w:hAnsi="Arial" w:cs="Arial"/>
                <w:color w:val="000000"/>
              </w:rPr>
              <w:t>160</w:t>
            </w:r>
          </w:p>
        </w:tc>
      </w:tr>
    </w:tbl>
    <w:p w:rsidR="00EF6A76" w:rsidRPr="00925613" w:rsidRDefault="00EF6A76" w:rsidP="00986A83">
      <w:pPr>
        <w:spacing w:after="0"/>
        <w:rPr>
          <w:rFonts w:ascii="Arial" w:hAnsi="Arial" w:cs="Arial"/>
          <w:color w:val="000000"/>
          <w:sz w:val="24"/>
          <w:szCs w:val="24"/>
        </w:rPr>
      </w:pPr>
    </w:p>
    <w:p w:rsidR="00EF6A76" w:rsidRPr="003C0540" w:rsidRDefault="00EF6A76" w:rsidP="00E65326">
      <w:pPr>
        <w:spacing w:after="0"/>
        <w:rPr>
          <w:rFonts w:ascii="Arial" w:hAnsi="Arial" w:cs="Arial"/>
          <w:color w:val="000000"/>
          <w:sz w:val="24"/>
          <w:szCs w:val="24"/>
        </w:rPr>
      </w:pPr>
      <w:r w:rsidRPr="003C0540">
        <w:rPr>
          <w:rFonts w:ascii="Arial" w:hAnsi="Arial" w:cs="Arial"/>
          <w:sz w:val="24"/>
          <w:szCs w:val="24"/>
        </w:rPr>
        <w:t xml:space="preserve">Even </w:t>
      </w:r>
      <w:r w:rsidRPr="004D732A">
        <w:rPr>
          <w:rFonts w:ascii="Arial" w:hAnsi="Arial" w:cs="Arial"/>
          <w:sz w:val="24"/>
          <w:szCs w:val="24"/>
        </w:rPr>
        <w:t>for</w:t>
      </w:r>
      <w:r>
        <w:rPr>
          <w:rFonts w:ascii="Arial" w:hAnsi="Arial" w:cs="Arial"/>
          <w:sz w:val="24"/>
          <w:szCs w:val="24"/>
        </w:rPr>
        <w:t xml:space="preserve"> </w:t>
      </w:r>
      <w:r w:rsidRPr="003C0540">
        <w:rPr>
          <w:rFonts w:ascii="Arial" w:hAnsi="Arial" w:cs="Arial"/>
          <w:sz w:val="24"/>
          <w:szCs w:val="24"/>
        </w:rPr>
        <w:t xml:space="preserve">patients with a body surface area (BSA) </w:t>
      </w:r>
      <w:r w:rsidRPr="003C0540">
        <w:rPr>
          <w:rFonts w:ascii="Arial" w:hAnsi="Arial" w:cs="Arial"/>
          <w:color w:val="000000"/>
          <w:sz w:val="24"/>
          <w:szCs w:val="24"/>
        </w:rPr>
        <w:t>≥ 2 m</w:t>
      </w:r>
      <w:r w:rsidRPr="003C0540">
        <w:rPr>
          <w:rFonts w:ascii="Arial" w:hAnsi="Arial" w:cs="Arial"/>
          <w:color w:val="000000"/>
          <w:sz w:val="24"/>
          <w:szCs w:val="24"/>
          <w:vertAlign w:val="superscript"/>
        </w:rPr>
        <w:t>2</w:t>
      </w:r>
      <w:r>
        <w:rPr>
          <w:rFonts w:ascii="Arial" w:hAnsi="Arial" w:cs="Arial"/>
          <w:color w:val="000000"/>
          <w:sz w:val="24"/>
          <w:szCs w:val="24"/>
        </w:rPr>
        <w:t>,</w:t>
      </w:r>
      <w:r w:rsidRPr="003C0540">
        <w:rPr>
          <w:rFonts w:ascii="Arial" w:hAnsi="Arial" w:cs="Arial"/>
          <w:color w:val="000000"/>
          <w:sz w:val="24"/>
          <w:szCs w:val="24"/>
        </w:rPr>
        <w:t xml:space="preserve"> the dose should never exceed 120 mg per week at 60 mg/m</w:t>
      </w:r>
      <w:r w:rsidRPr="003C0540">
        <w:rPr>
          <w:rFonts w:ascii="Arial" w:hAnsi="Arial" w:cs="Arial"/>
          <w:color w:val="000000"/>
          <w:sz w:val="24"/>
          <w:szCs w:val="24"/>
          <w:vertAlign w:val="superscript"/>
        </w:rPr>
        <w:t>2</w:t>
      </w:r>
      <w:r w:rsidRPr="003C0540">
        <w:rPr>
          <w:rFonts w:ascii="Arial" w:hAnsi="Arial" w:cs="Arial"/>
          <w:color w:val="000000"/>
          <w:sz w:val="24"/>
          <w:szCs w:val="24"/>
        </w:rPr>
        <w:t xml:space="preserve"> and 160 mg per week at 80 mg/m</w:t>
      </w:r>
      <w:r w:rsidRPr="003C0540">
        <w:rPr>
          <w:rFonts w:ascii="Arial" w:hAnsi="Arial" w:cs="Arial"/>
          <w:color w:val="000000"/>
          <w:sz w:val="24"/>
          <w:szCs w:val="24"/>
          <w:vertAlign w:val="superscript"/>
        </w:rPr>
        <w:t>2</w:t>
      </w:r>
      <w:r w:rsidRPr="003C0540">
        <w:rPr>
          <w:rFonts w:ascii="Arial" w:hAnsi="Arial" w:cs="Arial"/>
          <w:color w:val="000000"/>
          <w:sz w:val="24"/>
          <w:szCs w:val="24"/>
        </w:rPr>
        <w:t>.</w:t>
      </w:r>
    </w:p>
    <w:p w:rsidR="00EF6A76" w:rsidRDefault="00EF6A76" w:rsidP="00E65326">
      <w:pPr>
        <w:spacing w:after="0"/>
        <w:rPr>
          <w:rFonts w:ascii="Arial" w:hAnsi="Arial" w:cs="Arial"/>
          <w:color w:val="000000"/>
          <w:sz w:val="24"/>
          <w:szCs w:val="24"/>
        </w:rPr>
      </w:pPr>
    </w:p>
    <w:p w:rsidR="00EF6A76" w:rsidRPr="003C0540" w:rsidRDefault="00EF6A76" w:rsidP="00E65326">
      <w:pPr>
        <w:spacing w:after="0"/>
        <w:rPr>
          <w:rFonts w:ascii="Arial" w:hAnsi="Arial" w:cs="Arial"/>
          <w:color w:val="000000"/>
          <w:sz w:val="24"/>
          <w:szCs w:val="24"/>
        </w:rPr>
      </w:pPr>
      <w:r w:rsidRPr="003C0540">
        <w:rPr>
          <w:rFonts w:ascii="Arial" w:hAnsi="Arial" w:cs="Arial"/>
          <w:color w:val="000000"/>
          <w:sz w:val="24"/>
          <w:szCs w:val="24"/>
        </w:rPr>
        <w:t xml:space="preserve">Procedures for </w:t>
      </w:r>
      <w:r>
        <w:rPr>
          <w:rFonts w:ascii="Arial" w:hAnsi="Arial" w:cs="Arial"/>
          <w:color w:val="000000"/>
          <w:sz w:val="24"/>
          <w:szCs w:val="24"/>
        </w:rPr>
        <w:t xml:space="preserve">proper </w:t>
      </w:r>
      <w:r w:rsidRPr="003C0540">
        <w:rPr>
          <w:rFonts w:ascii="Arial" w:hAnsi="Arial" w:cs="Arial"/>
          <w:color w:val="000000"/>
          <w:sz w:val="24"/>
          <w:szCs w:val="24"/>
        </w:rPr>
        <w:t>handling</w:t>
      </w:r>
      <w:r>
        <w:rPr>
          <w:rFonts w:ascii="Arial" w:hAnsi="Arial" w:cs="Arial"/>
          <w:color w:val="000000"/>
          <w:sz w:val="24"/>
          <w:szCs w:val="24"/>
        </w:rPr>
        <w:t xml:space="preserve"> and disposal of anticancer drugs should be used.  Several guidelines on this subject have been published.</w:t>
      </w:r>
    </w:p>
    <w:p w:rsidR="00EF6A76" w:rsidRDefault="00EF6A76" w:rsidP="00E65326">
      <w:pPr>
        <w:spacing w:after="0"/>
        <w:rPr>
          <w:rFonts w:ascii="Arial" w:hAnsi="Arial" w:cs="Arial"/>
          <w:sz w:val="24"/>
          <w:szCs w:val="24"/>
        </w:rPr>
      </w:pPr>
    </w:p>
    <w:p w:rsidR="00EF6A76" w:rsidRPr="000C056B" w:rsidRDefault="00EF6A76" w:rsidP="00E65326">
      <w:pPr>
        <w:spacing w:after="0"/>
        <w:rPr>
          <w:rFonts w:ascii="Arial" w:hAnsi="Arial" w:cs="Arial"/>
          <w:b/>
          <w:sz w:val="24"/>
          <w:szCs w:val="24"/>
        </w:rPr>
      </w:pPr>
      <w:r w:rsidRPr="000C056B">
        <w:rPr>
          <w:rFonts w:ascii="Arial" w:hAnsi="Arial" w:cs="Arial"/>
          <w:b/>
          <w:sz w:val="24"/>
          <w:szCs w:val="24"/>
        </w:rPr>
        <w:t>OVERDOSAGE</w:t>
      </w:r>
    </w:p>
    <w:p w:rsidR="00EF6A76" w:rsidRDefault="00EF6A76" w:rsidP="00E65326">
      <w:pPr>
        <w:spacing w:after="0"/>
        <w:rPr>
          <w:rFonts w:ascii="Arial" w:hAnsi="Arial" w:cs="Arial"/>
          <w:sz w:val="24"/>
          <w:szCs w:val="24"/>
        </w:rPr>
      </w:pPr>
    </w:p>
    <w:p w:rsidR="00EF6A76" w:rsidRDefault="00EF6A76" w:rsidP="00E65326">
      <w:pPr>
        <w:spacing w:after="0"/>
        <w:rPr>
          <w:rFonts w:ascii="Arial" w:hAnsi="Arial" w:cs="Arial"/>
          <w:sz w:val="24"/>
          <w:szCs w:val="24"/>
        </w:rPr>
      </w:pPr>
      <w:r>
        <w:rPr>
          <w:rFonts w:ascii="Arial" w:hAnsi="Arial" w:cs="Arial"/>
          <w:sz w:val="24"/>
          <w:szCs w:val="24"/>
        </w:rPr>
        <w:t xml:space="preserve">There is no known antidote for overdoses of </w:t>
      </w:r>
      <w:r w:rsidRPr="00160FE1">
        <w:rPr>
          <w:rFonts w:ascii="Arial" w:hAnsi="Arial" w:cs="Arial"/>
          <w:sz w:val="24"/>
          <w:szCs w:val="24"/>
        </w:rPr>
        <w:t>NAVELBINE</w:t>
      </w:r>
      <w:r w:rsidRPr="00160FE1">
        <w:rPr>
          <w:rFonts w:ascii="Arial" w:hAnsi="Arial" w:cs="Arial"/>
          <w:sz w:val="24"/>
          <w:szCs w:val="24"/>
          <w:vertAlign w:val="superscript"/>
        </w:rPr>
        <w:t>®</w:t>
      </w:r>
      <w:r w:rsidRPr="00160FE1">
        <w:rPr>
          <w:rFonts w:ascii="Arial" w:hAnsi="Arial" w:cs="Arial"/>
          <w:sz w:val="24"/>
          <w:szCs w:val="24"/>
        </w:rPr>
        <w:t xml:space="preserve"> Oral</w:t>
      </w:r>
      <w:r>
        <w:rPr>
          <w:rFonts w:ascii="Arial" w:hAnsi="Arial" w:cs="Arial"/>
          <w:sz w:val="24"/>
          <w:szCs w:val="24"/>
        </w:rPr>
        <w:t xml:space="preserve">.  No case of </w:t>
      </w:r>
      <w:proofErr w:type="spellStart"/>
      <w:r>
        <w:rPr>
          <w:rFonts w:ascii="Arial" w:hAnsi="Arial" w:cs="Arial"/>
          <w:sz w:val="24"/>
          <w:szCs w:val="24"/>
        </w:rPr>
        <w:t>overdosage</w:t>
      </w:r>
      <w:proofErr w:type="spellEnd"/>
      <w:r>
        <w:rPr>
          <w:rFonts w:ascii="Arial" w:hAnsi="Arial" w:cs="Arial"/>
          <w:sz w:val="24"/>
          <w:szCs w:val="24"/>
        </w:rPr>
        <w:t xml:space="preserve"> has been reported with </w:t>
      </w:r>
      <w:r w:rsidRPr="00160FE1">
        <w:rPr>
          <w:rFonts w:ascii="Arial" w:hAnsi="Arial" w:cs="Arial"/>
          <w:sz w:val="24"/>
          <w:szCs w:val="24"/>
        </w:rPr>
        <w:t>NAVELBINE</w:t>
      </w:r>
      <w:r w:rsidRPr="00160FE1">
        <w:rPr>
          <w:rFonts w:ascii="Arial" w:hAnsi="Arial" w:cs="Arial"/>
          <w:sz w:val="24"/>
          <w:szCs w:val="24"/>
          <w:vertAlign w:val="superscript"/>
        </w:rPr>
        <w:t>®</w:t>
      </w:r>
      <w:r w:rsidRPr="00160FE1">
        <w:rPr>
          <w:rFonts w:ascii="Arial" w:hAnsi="Arial" w:cs="Arial"/>
          <w:sz w:val="24"/>
          <w:szCs w:val="24"/>
        </w:rPr>
        <w:t xml:space="preserve"> Oral</w:t>
      </w:r>
      <w:r>
        <w:rPr>
          <w:rFonts w:ascii="Arial" w:hAnsi="Arial" w:cs="Arial"/>
          <w:sz w:val="24"/>
          <w:szCs w:val="24"/>
        </w:rPr>
        <w:t xml:space="preserve">, however the primary anticipated complications of </w:t>
      </w:r>
      <w:proofErr w:type="spellStart"/>
      <w:r>
        <w:rPr>
          <w:rFonts w:ascii="Arial" w:hAnsi="Arial" w:cs="Arial"/>
          <w:sz w:val="24"/>
          <w:szCs w:val="24"/>
        </w:rPr>
        <w:t>overdosage</w:t>
      </w:r>
      <w:proofErr w:type="spellEnd"/>
      <w:r>
        <w:rPr>
          <w:rFonts w:ascii="Arial" w:hAnsi="Arial" w:cs="Arial"/>
          <w:sz w:val="24"/>
          <w:szCs w:val="24"/>
        </w:rPr>
        <w:t xml:space="preserve"> would consist of bone marrow suppression and peripheral neurotoxicity.  If </w:t>
      </w:r>
      <w:proofErr w:type="spellStart"/>
      <w:r>
        <w:rPr>
          <w:rFonts w:ascii="Arial" w:hAnsi="Arial" w:cs="Arial"/>
          <w:sz w:val="24"/>
          <w:szCs w:val="24"/>
        </w:rPr>
        <w:t>overdosage</w:t>
      </w:r>
      <w:proofErr w:type="spellEnd"/>
      <w:r>
        <w:rPr>
          <w:rFonts w:ascii="Arial" w:hAnsi="Arial" w:cs="Arial"/>
          <w:sz w:val="24"/>
          <w:szCs w:val="24"/>
        </w:rPr>
        <w:t xml:space="preserve"> occurs, general supportive measures together with appropriate blood transfusions and antibiotics should be instituted as deemed necessary by the physician.</w:t>
      </w:r>
    </w:p>
    <w:p w:rsidR="00EF6A76" w:rsidRDefault="00EF6A76" w:rsidP="00E65326">
      <w:pPr>
        <w:spacing w:after="0"/>
        <w:rPr>
          <w:rFonts w:ascii="Arial" w:hAnsi="Arial" w:cs="Arial"/>
          <w:sz w:val="24"/>
          <w:szCs w:val="24"/>
        </w:rPr>
      </w:pPr>
    </w:p>
    <w:p w:rsidR="00922C45" w:rsidRPr="00666EE6" w:rsidRDefault="00EF6A76" w:rsidP="00922C45">
      <w:pPr>
        <w:spacing w:after="0"/>
        <w:rPr>
          <w:rFonts w:ascii="Arial" w:hAnsi="Arial" w:cs="Arial"/>
          <w:b/>
          <w:sz w:val="24"/>
          <w:szCs w:val="24"/>
        </w:rPr>
      </w:pPr>
      <w:r w:rsidRPr="00666EE6">
        <w:rPr>
          <w:rFonts w:ascii="Arial" w:hAnsi="Arial" w:cs="Arial"/>
          <w:b/>
          <w:sz w:val="24"/>
          <w:szCs w:val="24"/>
        </w:rPr>
        <w:t>PRESENTATION</w:t>
      </w:r>
      <w:r w:rsidR="00922C45">
        <w:rPr>
          <w:rFonts w:ascii="Arial" w:hAnsi="Arial" w:cs="Arial"/>
          <w:b/>
          <w:sz w:val="24"/>
          <w:szCs w:val="24"/>
        </w:rPr>
        <w:t xml:space="preserve"> AND </w:t>
      </w:r>
      <w:r w:rsidR="00922C45" w:rsidRPr="00666EE6">
        <w:rPr>
          <w:rFonts w:ascii="Arial" w:hAnsi="Arial" w:cs="Arial"/>
          <w:b/>
          <w:sz w:val="24"/>
          <w:szCs w:val="24"/>
        </w:rPr>
        <w:t>STORAGE CONDITIONS</w:t>
      </w:r>
    </w:p>
    <w:p w:rsidR="00EF6A76" w:rsidRDefault="00EF6A76" w:rsidP="00E65326">
      <w:pPr>
        <w:spacing w:after="0"/>
        <w:rPr>
          <w:rFonts w:ascii="Arial" w:hAnsi="Arial" w:cs="Arial"/>
          <w:b/>
          <w:sz w:val="24"/>
          <w:szCs w:val="24"/>
        </w:rPr>
      </w:pPr>
    </w:p>
    <w:p w:rsidR="00EF6A76" w:rsidRPr="00B706DD" w:rsidRDefault="00EF6A76" w:rsidP="00E65326">
      <w:pPr>
        <w:spacing w:after="0"/>
        <w:rPr>
          <w:rFonts w:ascii="Arial" w:hAnsi="Arial" w:cs="Arial"/>
          <w:b/>
          <w:sz w:val="24"/>
          <w:szCs w:val="24"/>
        </w:rPr>
      </w:pPr>
      <w:r>
        <w:rPr>
          <w:rFonts w:ascii="Arial" w:hAnsi="Arial" w:cs="Arial"/>
          <w:b/>
          <w:sz w:val="24"/>
          <w:szCs w:val="24"/>
        </w:rPr>
        <w:t>Presentation</w:t>
      </w:r>
    </w:p>
    <w:p w:rsidR="00EF6A76" w:rsidRDefault="00EF6A76" w:rsidP="00FD3845">
      <w:pPr>
        <w:tabs>
          <w:tab w:val="left" w:pos="2410"/>
        </w:tabs>
        <w:spacing w:after="0"/>
        <w:ind w:left="2410" w:hanging="2410"/>
        <w:rPr>
          <w:rFonts w:ascii="Arial" w:hAnsi="Arial" w:cs="Arial"/>
          <w:sz w:val="24"/>
          <w:szCs w:val="24"/>
        </w:rPr>
      </w:pPr>
      <w:r>
        <w:rPr>
          <w:rFonts w:ascii="Arial" w:hAnsi="Arial" w:cs="Arial"/>
          <w:sz w:val="24"/>
          <w:szCs w:val="24"/>
        </w:rPr>
        <w:t>20 mg soft capsule:</w:t>
      </w:r>
      <w:r>
        <w:rPr>
          <w:rFonts w:ascii="Arial" w:hAnsi="Arial" w:cs="Arial"/>
          <w:sz w:val="24"/>
          <w:szCs w:val="24"/>
        </w:rPr>
        <w:tab/>
        <w:t>light brown soft capsule printed N20.</w:t>
      </w:r>
    </w:p>
    <w:p w:rsidR="00EF6A76" w:rsidRDefault="00EF6A76" w:rsidP="0084663A">
      <w:pPr>
        <w:tabs>
          <w:tab w:val="left" w:pos="2410"/>
        </w:tabs>
        <w:spacing w:after="0"/>
        <w:ind w:left="2410" w:hanging="2410"/>
        <w:rPr>
          <w:rFonts w:ascii="Arial" w:hAnsi="Arial" w:cs="Arial"/>
          <w:sz w:val="24"/>
          <w:szCs w:val="24"/>
        </w:rPr>
      </w:pPr>
      <w:r>
        <w:rPr>
          <w:rFonts w:ascii="Arial" w:hAnsi="Arial" w:cs="Arial"/>
          <w:sz w:val="24"/>
          <w:szCs w:val="24"/>
        </w:rPr>
        <w:t>30 mg soft capsule:</w:t>
      </w:r>
      <w:r>
        <w:rPr>
          <w:rFonts w:ascii="Arial" w:hAnsi="Arial" w:cs="Arial"/>
          <w:sz w:val="24"/>
          <w:szCs w:val="24"/>
        </w:rPr>
        <w:tab/>
        <w:t>pink soft capsule printed N30.</w:t>
      </w:r>
    </w:p>
    <w:p w:rsidR="00EF6A76" w:rsidRDefault="00EF6A76" w:rsidP="00355079">
      <w:pPr>
        <w:tabs>
          <w:tab w:val="left" w:pos="2410"/>
        </w:tabs>
        <w:spacing w:after="0"/>
        <w:ind w:left="2410" w:hanging="2410"/>
        <w:rPr>
          <w:rFonts w:ascii="Arial" w:hAnsi="Arial" w:cs="Arial"/>
          <w:sz w:val="24"/>
          <w:szCs w:val="24"/>
        </w:rPr>
      </w:pPr>
      <w:r>
        <w:rPr>
          <w:rFonts w:ascii="Arial" w:hAnsi="Arial" w:cs="Arial"/>
          <w:sz w:val="24"/>
          <w:szCs w:val="24"/>
        </w:rPr>
        <w:t>40 mg soft capsule</w:t>
      </w:r>
      <w:r w:rsidR="00F8624A">
        <w:rPr>
          <w:rFonts w:ascii="Arial" w:hAnsi="Arial" w:cs="Arial"/>
          <w:sz w:val="24"/>
          <w:szCs w:val="24"/>
        </w:rPr>
        <w:t>*</w:t>
      </w:r>
      <w:r>
        <w:rPr>
          <w:rFonts w:ascii="Arial" w:hAnsi="Arial" w:cs="Arial"/>
          <w:sz w:val="24"/>
          <w:szCs w:val="24"/>
        </w:rPr>
        <w:t>:</w:t>
      </w:r>
      <w:r>
        <w:rPr>
          <w:rFonts w:ascii="Arial" w:hAnsi="Arial" w:cs="Arial"/>
          <w:sz w:val="24"/>
          <w:szCs w:val="24"/>
        </w:rPr>
        <w:tab/>
        <w:t>brown soft capsule printed N40.</w:t>
      </w:r>
    </w:p>
    <w:p w:rsidR="00EF6A76" w:rsidRDefault="00EF6A76" w:rsidP="00355079">
      <w:pPr>
        <w:tabs>
          <w:tab w:val="left" w:pos="2410"/>
        </w:tabs>
        <w:spacing w:after="0"/>
        <w:ind w:left="2410" w:hanging="2410"/>
        <w:rPr>
          <w:rFonts w:ascii="Arial" w:hAnsi="Arial" w:cs="Arial"/>
          <w:sz w:val="24"/>
          <w:szCs w:val="24"/>
        </w:rPr>
      </w:pPr>
      <w:r>
        <w:rPr>
          <w:rFonts w:ascii="Arial" w:hAnsi="Arial" w:cs="Arial"/>
          <w:sz w:val="24"/>
          <w:szCs w:val="24"/>
        </w:rPr>
        <w:t>80 mg soft capsule</w:t>
      </w:r>
      <w:r w:rsidR="00F8624A">
        <w:rPr>
          <w:rFonts w:ascii="Arial" w:hAnsi="Arial" w:cs="Arial"/>
          <w:sz w:val="24"/>
          <w:szCs w:val="24"/>
        </w:rPr>
        <w:t>*</w:t>
      </w:r>
      <w:r>
        <w:rPr>
          <w:rFonts w:ascii="Arial" w:hAnsi="Arial" w:cs="Arial"/>
          <w:sz w:val="24"/>
          <w:szCs w:val="24"/>
        </w:rPr>
        <w:t>:</w:t>
      </w:r>
      <w:r>
        <w:rPr>
          <w:rFonts w:ascii="Arial" w:hAnsi="Arial" w:cs="Arial"/>
          <w:sz w:val="24"/>
          <w:szCs w:val="24"/>
        </w:rPr>
        <w:tab/>
        <w:t>pale yellow soft capsule printed N80.</w:t>
      </w:r>
    </w:p>
    <w:p w:rsidR="00EF6A76" w:rsidRDefault="00EF6A76" w:rsidP="00FD3845">
      <w:pPr>
        <w:tabs>
          <w:tab w:val="left" w:pos="2410"/>
        </w:tabs>
        <w:spacing w:after="0"/>
        <w:ind w:left="2410" w:hanging="2410"/>
        <w:rPr>
          <w:rFonts w:ascii="Arial" w:hAnsi="Arial" w:cs="Arial"/>
          <w:sz w:val="24"/>
          <w:szCs w:val="24"/>
        </w:rPr>
      </w:pPr>
    </w:p>
    <w:p w:rsidR="00EF6A76" w:rsidRPr="00A21F75" w:rsidRDefault="00EF6A76" w:rsidP="00B706DD">
      <w:pPr>
        <w:spacing w:after="0"/>
        <w:rPr>
          <w:rFonts w:ascii="Arial" w:hAnsi="Arial" w:cs="Arial"/>
          <w:sz w:val="24"/>
          <w:szCs w:val="24"/>
        </w:rPr>
      </w:pPr>
      <w:r w:rsidRPr="00A21F75">
        <w:rPr>
          <w:rFonts w:ascii="Arial" w:hAnsi="Arial" w:cs="Arial"/>
          <w:sz w:val="24"/>
          <w:szCs w:val="24"/>
        </w:rPr>
        <w:t>Pack size: 1 capsule</w:t>
      </w:r>
    </w:p>
    <w:p w:rsidR="00EF6A76" w:rsidRDefault="00EF6A76" w:rsidP="00E65326">
      <w:pPr>
        <w:spacing w:after="0"/>
        <w:rPr>
          <w:rFonts w:ascii="Arial" w:hAnsi="Arial" w:cs="Arial"/>
          <w:sz w:val="24"/>
          <w:szCs w:val="24"/>
        </w:rPr>
      </w:pPr>
    </w:p>
    <w:p w:rsidR="00EF6A76" w:rsidRPr="00851437" w:rsidRDefault="00EF6A76" w:rsidP="00E65326">
      <w:pPr>
        <w:spacing w:after="0"/>
        <w:rPr>
          <w:rFonts w:ascii="Arial" w:hAnsi="Arial" w:cs="Arial"/>
          <w:sz w:val="24"/>
          <w:szCs w:val="24"/>
        </w:rPr>
      </w:pPr>
      <w:r w:rsidRPr="00865E2D">
        <w:rPr>
          <w:rFonts w:ascii="Arial" w:hAnsi="Arial" w:cs="Arial"/>
          <w:sz w:val="24"/>
          <w:szCs w:val="24"/>
        </w:rPr>
        <w:t xml:space="preserve">Store </w:t>
      </w:r>
      <w:r>
        <w:rPr>
          <w:rFonts w:ascii="Arial" w:hAnsi="Arial" w:cs="Arial"/>
          <w:sz w:val="24"/>
          <w:szCs w:val="24"/>
        </w:rPr>
        <w:t>at</w:t>
      </w:r>
      <w:r w:rsidRPr="00865E2D">
        <w:rPr>
          <w:rFonts w:ascii="Arial" w:hAnsi="Arial" w:cs="Arial"/>
          <w:sz w:val="24"/>
          <w:szCs w:val="24"/>
        </w:rPr>
        <w:t xml:space="preserve"> </w:t>
      </w:r>
      <w:r>
        <w:rPr>
          <w:rFonts w:ascii="Arial" w:hAnsi="Arial" w:cs="Arial"/>
          <w:sz w:val="24"/>
          <w:szCs w:val="24"/>
        </w:rPr>
        <w:t>2 to 8</w:t>
      </w:r>
      <w:r w:rsidRPr="00865E2D">
        <w:rPr>
          <w:rFonts w:ascii="Arial" w:hAnsi="Arial" w:cs="Arial"/>
          <w:sz w:val="24"/>
          <w:szCs w:val="24"/>
          <w:vertAlign w:val="superscript"/>
        </w:rPr>
        <w:t>o</w:t>
      </w:r>
      <w:r>
        <w:rPr>
          <w:rFonts w:ascii="Arial" w:hAnsi="Arial" w:cs="Arial"/>
          <w:sz w:val="24"/>
          <w:szCs w:val="24"/>
        </w:rPr>
        <w:t>C (Refrigerate.  Do not freeze) in the original container.  Protect from light.</w:t>
      </w:r>
    </w:p>
    <w:p w:rsidR="009400D7" w:rsidRDefault="009400D7" w:rsidP="00E65326">
      <w:pPr>
        <w:spacing w:after="0"/>
        <w:rPr>
          <w:rFonts w:ascii="Arial" w:hAnsi="Arial" w:cs="Arial"/>
          <w:b/>
          <w:sz w:val="24"/>
          <w:szCs w:val="24"/>
        </w:rPr>
      </w:pPr>
    </w:p>
    <w:p w:rsidR="00EF6A76" w:rsidRDefault="00EF6A76" w:rsidP="00E65326">
      <w:pPr>
        <w:spacing w:after="0"/>
        <w:rPr>
          <w:rFonts w:ascii="Arial" w:hAnsi="Arial" w:cs="Arial"/>
          <w:b/>
          <w:sz w:val="24"/>
          <w:szCs w:val="24"/>
        </w:rPr>
      </w:pPr>
      <w:r w:rsidRPr="00666EE6">
        <w:rPr>
          <w:rFonts w:ascii="Arial" w:hAnsi="Arial" w:cs="Arial"/>
          <w:b/>
          <w:sz w:val="24"/>
          <w:szCs w:val="24"/>
        </w:rPr>
        <w:t>NAME AND ADDRESS OF THE SPONSOR</w:t>
      </w:r>
    </w:p>
    <w:p w:rsidR="00EF6A76" w:rsidRDefault="00EF6A76" w:rsidP="00E65326">
      <w:pPr>
        <w:spacing w:after="0"/>
        <w:rPr>
          <w:rFonts w:ascii="Arial" w:hAnsi="Arial" w:cs="Arial"/>
          <w:b/>
          <w:sz w:val="24"/>
          <w:szCs w:val="24"/>
        </w:rPr>
      </w:pPr>
    </w:p>
    <w:p w:rsidR="00EF6A76" w:rsidRPr="00EF6565" w:rsidRDefault="00EF6A76" w:rsidP="00E65326">
      <w:pPr>
        <w:spacing w:after="0"/>
        <w:rPr>
          <w:rFonts w:ascii="Arial" w:hAnsi="Arial" w:cs="Arial"/>
          <w:sz w:val="24"/>
          <w:szCs w:val="24"/>
        </w:rPr>
      </w:pPr>
      <w:r w:rsidRPr="00EF6565">
        <w:rPr>
          <w:rFonts w:ascii="Arial" w:hAnsi="Arial" w:cs="Arial"/>
          <w:sz w:val="24"/>
          <w:szCs w:val="24"/>
        </w:rPr>
        <w:t xml:space="preserve">Pierre Fabre </w:t>
      </w:r>
      <w:proofErr w:type="spellStart"/>
      <w:r w:rsidRPr="00EF6565">
        <w:rPr>
          <w:rFonts w:ascii="Arial" w:hAnsi="Arial" w:cs="Arial"/>
          <w:sz w:val="24"/>
          <w:szCs w:val="24"/>
        </w:rPr>
        <w:t>Médicament</w:t>
      </w:r>
      <w:proofErr w:type="spellEnd"/>
      <w:r w:rsidRPr="00EF6565">
        <w:rPr>
          <w:rFonts w:ascii="Arial" w:hAnsi="Arial" w:cs="Arial"/>
          <w:sz w:val="24"/>
          <w:szCs w:val="24"/>
        </w:rPr>
        <w:t xml:space="preserve"> Australia Pty Limited</w:t>
      </w:r>
    </w:p>
    <w:p w:rsidR="00EF6A76" w:rsidRPr="00EF6565" w:rsidRDefault="00F8624A" w:rsidP="00E65326">
      <w:pPr>
        <w:spacing w:after="0"/>
        <w:rPr>
          <w:rFonts w:ascii="Arial" w:hAnsi="Arial" w:cs="Arial"/>
          <w:sz w:val="24"/>
          <w:szCs w:val="24"/>
        </w:rPr>
      </w:pPr>
      <w:r>
        <w:rPr>
          <w:rFonts w:ascii="Arial" w:hAnsi="Arial" w:cs="Arial"/>
          <w:sz w:val="24"/>
          <w:szCs w:val="24"/>
        </w:rPr>
        <w:t>Suite 3B, Richardson Place</w:t>
      </w:r>
    </w:p>
    <w:p w:rsidR="00EF6A76" w:rsidRPr="00EF6565" w:rsidRDefault="00F8624A" w:rsidP="00E65326">
      <w:pPr>
        <w:spacing w:after="0"/>
        <w:rPr>
          <w:rFonts w:ascii="Arial" w:hAnsi="Arial" w:cs="Arial"/>
          <w:sz w:val="24"/>
          <w:szCs w:val="24"/>
        </w:rPr>
      </w:pPr>
      <w:r>
        <w:rPr>
          <w:rFonts w:ascii="Arial" w:hAnsi="Arial" w:cs="Arial"/>
          <w:sz w:val="24"/>
          <w:szCs w:val="24"/>
        </w:rPr>
        <w:t>North Ryde NSW 2113</w:t>
      </w:r>
    </w:p>
    <w:p w:rsidR="00EF6A76" w:rsidRPr="00EF6565" w:rsidRDefault="00EF6A76" w:rsidP="00E65326">
      <w:pPr>
        <w:spacing w:after="0"/>
        <w:rPr>
          <w:rFonts w:ascii="Arial" w:hAnsi="Arial" w:cs="Arial"/>
          <w:sz w:val="24"/>
          <w:szCs w:val="24"/>
        </w:rPr>
      </w:pPr>
      <w:r w:rsidRPr="00EF6565">
        <w:rPr>
          <w:rFonts w:ascii="Arial" w:hAnsi="Arial" w:cs="Arial"/>
          <w:sz w:val="24"/>
          <w:szCs w:val="24"/>
        </w:rPr>
        <w:t xml:space="preserve">Australia </w:t>
      </w:r>
    </w:p>
    <w:p w:rsidR="00EF6A76" w:rsidRDefault="00EF6A76" w:rsidP="00E65326">
      <w:pPr>
        <w:spacing w:after="0"/>
        <w:rPr>
          <w:rFonts w:ascii="Arial" w:hAnsi="Arial" w:cs="Arial"/>
          <w:b/>
          <w:color w:val="0033CC"/>
          <w:sz w:val="24"/>
          <w:szCs w:val="24"/>
          <w:u w:val="double"/>
        </w:rPr>
      </w:pPr>
    </w:p>
    <w:p w:rsidR="00EF6A76" w:rsidRPr="004D732A" w:rsidRDefault="00EF6A76" w:rsidP="00E65326">
      <w:pPr>
        <w:spacing w:after="0"/>
        <w:rPr>
          <w:rFonts w:ascii="Arial" w:hAnsi="Arial" w:cs="Arial"/>
          <w:b/>
          <w:sz w:val="24"/>
          <w:szCs w:val="24"/>
        </w:rPr>
      </w:pPr>
      <w:r w:rsidRPr="004D732A">
        <w:rPr>
          <w:rFonts w:ascii="Arial" w:hAnsi="Arial" w:cs="Arial"/>
          <w:b/>
          <w:sz w:val="24"/>
          <w:szCs w:val="24"/>
        </w:rPr>
        <w:t>POISON SCHEDULE</w:t>
      </w:r>
    </w:p>
    <w:p w:rsidR="00EF6A76" w:rsidRPr="004D732A" w:rsidRDefault="00EF6A76" w:rsidP="00E65326">
      <w:pPr>
        <w:spacing w:after="0"/>
        <w:rPr>
          <w:rFonts w:ascii="Arial" w:hAnsi="Arial" w:cs="Arial"/>
          <w:sz w:val="24"/>
          <w:szCs w:val="24"/>
        </w:rPr>
      </w:pPr>
    </w:p>
    <w:p w:rsidR="00EF6A76" w:rsidRPr="004D732A" w:rsidRDefault="00EF6A76" w:rsidP="00E65326">
      <w:pPr>
        <w:spacing w:after="0"/>
        <w:rPr>
          <w:rFonts w:ascii="Arial" w:hAnsi="Arial" w:cs="Arial"/>
          <w:sz w:val="24"/>
          <w:szCs w:val="24"/>
        </w:rPr>
      </w:pPr>
      <w:r w:rsidRPr="004D732A">
        <w:rPr>
          <w:rFonts w:ascii="Arial" w:hAnsi="Arial" w:cs="Arial"/>
          <w:sz w:val="24"/>
          <w:szCs w:val="24"/>
        </w:rPr>
        <w:t>S4</w:t>
      </w:r>
    </w:p>
    <w:p w:rsidR="00EF6A76" w:rsidRPr="004D732A" w:rsidRDefault="00EF6A76" w:rsidP="00E65326">
      <w:pPr>
        <w:spacing w:after="0"/>
        <w:rPr>
          <w:rFonts w:ascii="Arial" w:hAnsi="Arial" w:cs="Arial"/>
          <w:sz w:val="24"/>
          <w:szCs w:val="24"/>
        </w:rPr>
      </w:pPr>
    </w:p>
    <w:p w:rsidR="00EF6A76" w:rsidRPr="004D732A" w:rsidRDefault="00EF6A76" w:rsidP="00E65326">
      <w:pPr>
        <w:spacing w:after="0"/>
        <w:rPr>
          <w:rFonts w:ascii="Arial" w:hAnsi="Arial" w:cs="Arial"/>
          <w:b/>
          <w:sz w:val="24"/>
          <w:szCs w:val="24"/>
        </w:rPr>
      </w:pPr>
      <w:r w:rsidRPr="004D732A">
        <w:rPr>
          <w:rFonts w:ascii="Arial" w:hAnsi="Arial" w:cs="Arial"/>
          <w:b/>
          <w:sz w:val="24"/>
          <w:szCs w:val="24"/>
        </w:rPr>
        <w:t xml:space="preserve">DATE OF </w:t>
      </w:r>
      <w:r w:rsidR="003F5AF1">
        <w:rPr>
          <w:rFonts w:ascii="Arial" w:hAnsi="Arial" w:cs="Arial"/>
          <w:b/>
          <w:sz w:val="24"/>
          <w:szCs w:val="24"/>
        </w:rPr>
        <w:t>FIRST INCLUSION IN THE AUSTRALIAN REGISTER OF THERAPEUTIC GOODS</w:t>
      </w:r>
    </w:p>
    <w:p w:rsidR="00EF6A76" w:rsidRDefault="00EF6A76" w:rsidP="00E65326">
      <w:pPr>
        <w:spacing w:after="0"/>
        <w:rPr>
          <w:rFonts w:ascii="Arial" w:hAnsi="Arial" w:cs="Arial"/>
          <w:sz w:val="24"/>
          <w:szCs w:val="24"/>
        </w:rPr>
      </w:pPr>
    </w:p>
    <w:p w:rsidR="007733C0" w:rsidRPr="00A33D5A" w:rsidRDefault="00747540" w:rsidP="00E65326">
      <w:pPr>
        <w:spacing w:after="0"/>
        <w:rPr>
          <w:rFonts w:ascii="Arial" w:hAnsi="Arial" w:cs="Arial"/>
          <w:sz w:val="24"/>
          <w:szCs w:val="24"/>
        </w:rPr>
      </w:pPr>
      <w:r>
        <w:rPr>
          <w:rFonts w:ascii="Arial" w:hAnsi="Arial" w:cs="Arial"/>
          <w:sz w:val="24"/>
          <w:szCs w:val="24"/>
        </w:rPr>
        <w:t>31</w:t>
      </w:r>
      <w:r w:rsidR="007733C0">
        <w:rPr>
          <w:rFonts w:ascii="Arial" w:hAnsi="Arial" w:cs="Arial"/>
          <w:sz w:val="24"/>
          <w:szCs w:val="24"/>
        </w:rPr>
        <w:t xml:space="preserve"> </w:t>
      </w:r>
      <w:r>
        <w:rPr>
          <w:rFonts w:ascii="Arial" w:hAnsi="Arial" w:cs="Arial"/>
          <w:sz w:val="24"/>
          <w:szCs w:val="24"/>
        </w:rPr>
        <w:t>May</w:t>
      </w:r>
      <w:r w:rsidR="007733C0">
        <w:rPr>
          <w:rFonts w:ascii="Arial" w:hAnsi="Arial" w:cs="Arial"/>
          <w:sz w:val="24"/>
          <w:szCs w:val="24"/>
        </w:rPr>
        <w:t xml:space="preserve"> 20</w:t>
      </w:r>
      <w:r>
        <w:rPr>
          <w:rFonts w:ascii="Arial" w:hAnsi="Arial" w:cs="Arial"/>
          <w:sz w:val="24"/>
          <w:szCs w:val="24"/>
        </w:rPr>
        <w:t>05</w:t>
      </w:r>
    </w:p>
    <w:p w:rsidR="00F8624A" w:rsidRDefault="00F8624A" w:rsidP="00F8624A">
      <w:pPr>
        <w:spacing w:after="0"/>
        <w:rPr>
          <w:rFonts w:ascii="Arial" w:hAnsi="Arial" w:cs="Arial"/>
          <w:sz w:val="24"/>
          <w:szCs w:val="24"/>
        </w:rPr>
      </w:pPr>
    </w:p>
    <w:p w:rsidR="005512CE" w:rsidRPr="004D732A" w:rsidRDefault="005512CE" w:rsidP="005512CE">
      <w:pPr>
        <w:spacing w:after="0"/>
        <w:rPr>
          <w:rFonts w:ascii="Arial" w:hAnsi="Arial" w:cs="Arial"/>
          <w:b/>
          <w:sz w:val="24"/>
          <w:szCs w:val="24"/>
        </w:rPr>
      </w:pPr>
      <w:r w:rsidRPr="004D732A">
        <w:rPr>
          <w:rFonts w:ascii="Arial" w:hAnsi="Arial" w:cs="Arial"/>
          <w:b/>
          <w:sz w:val="24"/>
          <w:szCs w:val="24"/>
        </w:rPr>
        <w:t xml:space="preserve">DATE OF </w:t>
      </w:r>
      <w:r>
        <w:rPr>
          <w:rFonts w:ascii="Arial" w:hAnsi="Arial" w:cs="Arial"/>
          <w:b/>
          <w:sz w:val="24"/>
          <w:szCs w:val="24"/>
        </w:rPr>
        <w:t>MOST RECENT AMENDMENT</w:t>
      </w:r>
    </w:p>
    <w:p w:rsidR="005512CE" w:rsidRDefault="005512CE" w:rsidP="005512CE">
      <w:pPr>
        <w:spacing w:after="0"/>
        <w:rPr>
          <w:rFonts w:ascii="Arial" w:hAnsi="Arial" w:cs="Arial"/>
          <w:sz w:val="24"/>
          <w:szCs w:val="24"/>
        </w:rPr>
      </w:pPr>
    </w:p>
    <w:p w:rsidR="005512CE" w:rsidRPr="00A33D5A" w:rsidRDefault="005512CE" w:rsidP="005512CE">
      <w:pPr>
        <w:spacing w:after="0"/>
        <w:rPr>
          <w:rFonts w:ascii="Arial" w:hAnsi="Arial" w:cs="Arial"/>
          <w:sz w:val="24"/>
          <w:szCs w:val="24"/>
        </w:rPr>
      </w:pPr>
      <w:r>
        <w:rPr>
          <w:rFonts w:ascii="Arial" w:hAnsi="Arial" w:cs="Arial"/>
          <w:sz w:val="24"/>
          <w:szCs w:val="24"/>
        </w:rPr>
        <w:t>21 December 2011</w:t>
      </w:r>
    </w:p>
    <w:p w:rsidR="005512CE" w:rsidRDefault="005512CE" w:rsidP="00F8624A">
      <w:pPr>
        <w:spacing w:after="0"/>
        <w:rPr>
          <w:rFonts w:ascii="Arial" w:hAnsi="Arial" w:cs="Arial"/>
          <w:sz w:val="24"/>
          <w:szCs w:val="24"/>
        </w:rPr>
      </w:pPr>
    </w:p>
    <w:p w:rsidR="00EF6A76" w:rsidRDefault="00F8624A" w:rsidP="00497FD9">
      <w:pPr>
        <w:spacing w:after="0"/>
        <w:rPr>
          <w:rFonts w:ascii="Arial" w:hAnsi="Arial" w:cs="Arial"/>
          <w:sz w:val="24"/>
          <w:szCs w:val="24"/>
        </w:rPr>
      </w:pPr>
      <w:r>
        <w:rPr>
          <w:rFonts w:ascii="Arial" w:hAnsi="Arial" w:cs="Arial"/>
          <w:sz w:val="24"/>
          <w:szCs w:val="24"/>
        </w:rPr>
        <w:t>*Not marketed</w:t>
      </w:r>
      <w:r w:rsidR="00EF6A76" w:rsidRPr="00C325DA">
        <w:rPr>
          <w:rFonts w:ascii="Arial" w:hAnsi="Arial" w:cs="Arial"/>
          <w:sz w:val="24"/>
          <w:szCs w:val="24"/>
        </w:rPr>
        <w:tab/>
      </w:r>
    </w:p>
    <w:sectPr w:rsidR="00EF6A76" w:rsidSect="003A2F9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2B" w:rsidRDefault="00CE0E2B" w:rsidP="00F71835">
      <w:pPr>
        <w:spacing w:after="0" w:line="240" w:lineRule="auto"/>
      </w:pPr>
      <w:r>
        <w:separator/>
      </w:r>
    </w:p>
  </w:endnote>
  <w:endnote w:type="continuationSeparator" w:id="0">
    <w:p w:rsidR="00CE0E2B" w:rsidRDefault="00CE0E2B" w:rsidP="00F71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E2B" w:rsidRDefault="00CE0E2B" w:rsidP="00B36BF8">
    <w:pPr>
      <w:tabs>
        <w:tab w:val="left" w:pos="3315"/>
        <w:tab w:val="center" w:pos="4513"/>
      </w:tabs>
      <w:spacing w:after="120"/>
      <w:rPr>
        <w:rFonts w:ascii="Arial" w:hAnsi="Arial" w:cs="Arial"/>
        <w:sz w:val="20"/>
        <w:szCs w:val="20"/>
      </w:rPr>
    </w:pPr>
    <w:r w:rsidRPr="003A5A5E">
      <w:rPr>
        <w:rFonts w:ascii="Arial" w:hAnsi="Arial" w:cs="Arial"/>
        <w:sz w:val="20"/>
        <w:szCs w:val="20"/>
      </w:rPr>
      <w:t xml:space="preserve">Version: </w:t>
    </w:r>
    <w:r>
      <w:rPr>
        <w:rFonts w:ascii="Arial" w:hAnsi="Arial" w:cs="Arial"/>
        <w:sz w:val="20"/>
        <w:szCs w:val="20"/>
      </w:rPr>
      <w:t>A</w:t>
    </w:r>
    <w:r w:rsidRPr="003A5A5E">
      <w:rPr>
        <w:rFonts w:ascii="Arial" w:hAnsi="Arial" w:cs="Arial"/>
        <w:sz w:val="20"/>
        <w:szCs w:val="20"/>
      </w:rPr>
      <w:t>0</w:t>
    </w:r>
    <w:r>
      <w:rPr>
        <w:rFonts w:ascii="Arial" w:hAnsi="Arial" w:cs="Arial"/>
        <w:sz w:val="20"/>
        <w:szCs w:val="20"/>
      </w:rPr>
      <w:t>1</w:t>
    </w:r>
    <w:r w:rsidRPr="003A5A5E">
      <w:rPr>
        <w:rFonts w:ascii="Arial" w:hAnsi="Arial" w:cs="Arial"/>
        <w:sz w:val="20"/>
        <w:szCs w:val="20"/>
      </w:rPr>
      <w:t>-</w:t>
    </w:r>
    <w:r w:rsidR="00AF4A21">
      <w:rPr>
        <w:rFonts w:ascii="Arial" w:hAnsi="Arial" w:cs="Arial"/>
        <w:sz w:val="20"/>
        <w:szCs w:val="20"/>
      </w:rPr>
      <w:t>211211</w:t>
    </w:r>
    <w:r w:rsidRPr="003A5A5E">
      <w:rPr>
        <w:rFonts w:ascii="Arial" w:hAnsi="Arial" w:cs="Arial"/>
        <w:sz w:val="20"/>
        <w:szCs w:val="20"/>
      </w:rPr>
      <w:tab/>
    </w:r>
    <w:r>
      <w:rPr>
        <w:rFonts w:ascii="Arial" w:hAnsi="Arial" w:cs="Arial"/>
        <w:sz w:val="20"/>
        <w:szCs w:val="20"/>
      </w:rPr>
      <w:tab/>
    </w:r>
    <w:r w:rsidRPr="003A5A5E">
      <w:rPr>
        <w:rFonts w:ascii="Arial" w:hAnsi="Arial" w:cs="Arial"/>
        <w:sz w:val="20"/>
        <w:szCs w:val="20"/>
      </w:rPr>
      <w:t xml:space="preserve">Page </w:t>
    </w:r>
    <w:r w:rsidR="00D93FD1" w:rsidRPr="003A5A5E">
      <w:rPr>
        <w:rFonts w:ascii="Arial" w:hAnsi="Arial" w:cs="Arial"/>
        <w:sz w:val="20"/>
        <w:szCs w:val="20"/>
      </w:rPr>
      <w:fldChar w:fldCharType="begin"/>
    </w:r>
    <w:r w:rsidRPr="003A5A5E">
      <w:rPr>
        <w:rFonts w:ascii="Arial" w:hAnsi="Arial" w:cs="Arial"/>
        <w:sz w:val="20"/>
        <w:szCs w:val="20"/>
      </w:rPr>
      <w:instrText xml:space="preserve"> PAGE </w:instrText>
    </w:r>
    <w:r w:rsidR="00D93FD1" w:rsidRPr="003A5A5E">
      <w:rPr>
        <w:rFonts w:ascii="Arial" w:hAnsi="Arial" w:cs="Arial"/>
        <w:sz w:val="20"/>
        <w:szCs w:val="20"/>
      </w:rPr>
      <w:fldChar w:fldCharType="separate"/>
    </w:r>
    <w:r w:rsidR="003256C7">
      <w:rPr>
        <w:rFonts w:ascii="Arial" w:hAnsi="Arial" w:cs="Arial"/>
        <w:noProof/>
        <w:sz w:val="20"/>
        <w:szCs w:val="20"/>
      </w:rPr>
      <w:t>23</w:t>
    </w:r>
    <w:r w:rsidR="00D93FD1" w:rsidRPr="003A5A5E">
      <w:rPr>
        <w:rFonts w:ascii="Arial" w:hAnsi="Arial" w:cs="Arial"/>
        <w:sz w:val="20"/>
        <w:szCs w:val="20"/>
      </w:rPr>
      <w:fldChar w:fldCharType="end"/>
    </w:r>
    <w:r w:rsidRPr="003A5A5E">
      <w:rPr>
        <w:rFonts w:ascii="Arial" w:hAnsi="Arial" w:cs="Arial"/>
        <w:sz w:val="20"/>
        <w:szCs w:val="20"/>
      </w:rPr>
      <w:t xml:space="preserve"> of </w:t>
    </w:r>
    <w:r w:rsidR="00D93FD1" w:rsidRPr="003A5A5E">
      <w:rPr>
        <w:rFonts w:ascii="Arial" w:hAnsi="Arial" w:cs="Arial"/>
        <w:sz w:val="20"/>
        <w:szCs w:val="20"/>
      </w:rPr>
      <w:fldChar w:fldCharType="begin"/>
    </w:r>
    <w:r w:rsidRPr="003A5A5E">
      <w:rPr>
        <w:rFonts w:ascii="Arial" w:hAnsi="Arial" w:cs="Arial"/>
        <w:sz w:val="20"/>
        <w:szCs w:val="20"/>
      </w:rPr>
      <w:instrText xml:space="preserve"> NUMPAGES  </w:instrText>
    </w:r>
    <w:r w:rsidR="00D93FD1" w:rsidRPr="003A5A5E">
      <w:rPr>
        <w:rFonts w:ascii="Arial" w:hAnsi="Arial" w:cs="Arial"/>
        <w:sz w:val="20"/>
        <w:szCs w:val="20"/>
      </w:rPr>
      <w:fldChar w:fldCharType="separate"/>
    </w:r>
    <w:r w:rsidR="003256C7">
      <w:rPr>
        <w:rFonts w:ascii="Arial" w:hAnsi="Arial" w:cs="Arial"/>
        <w:noProof/>
        <w:sz w:val="20"/>
        <w:szCs w:val="20"/>
      </w:rPr>
      <w:t>23</w:t>
    </w:r>
    <w:r w:rsidR="00D93FD1" w:rsidRPr="003A5A5E">
      <w:rPr>
        <w:rFonts w:ascii="Arial" w:hAnsi="Arial" w:cs="Arial"/>
        <w:sz w:val="20"/>
        <w:szCs w:val="20"/>
      </w:rPr>
      <w:fldChar w:fldCharType="end"/>
    </w:r>
    <w:r w:rsidRPr="003A5A5E">
      <w:rPr>
        <w:rFonts w:ascii="Arial" w:hAnsi="Arial" w:cs="Arial"/>
        <w:sz w:val="20"/>
        <w:szCs w:val="20"/>
      </w:rPr>
      <w:tab/>
    </w:r>
    <w:r w:rsidRPr="003A5A5E">
      <w:rPr>
        <w:rFonts w:ascii="Arial" w:hAnsi="Arial" w:cs="Arial"/>
        <w:sz w:val="20"/>
        <w:szCs w:val="20"/>
      </w:rPr>
      <w:tab/>
    </w:r>
    <w:r>
      <w:rPr>
        <w:rFonts w:ascii="Arial" w:hAnsi="Arial" w:cs="Arial"/>
        <w:sz w:val="20"/>
        <w:szCs w:val="20"/>
      </w:rPr>
      <w:tab/>
    </w:r>
    <w:proofErr w:type="spellStart"/>
    <w:r w:rsidRPr="003A5A5E">
      <w:rPr>
        <w:rFonts w:ascii="Arial" w:hAnsi="Arial" w:cs="Arial"/>
        <w:sz w:val="20"/>
        <w:szCs w:val="20"/>
      </w:rPr>
      <w:t>Supercedes</w:t>
    </w:r>
    <w:proofErr w:type="spellEnd"/>
    <w:r w:rsidRPr="003A5A5E">
      <w:rPr>
        <w:rFonts w:ascii="Arial" w:hAnsi="Arial" w:cs="Arial"/>
        <w:sz w:val="20"/>
        <w:szCs w:val="20"/>
      </w:rPr>
      <w:t>:</w:t>
    </w:r>
    <w:r>
      <w:rPr>
        <w:rFonts w:ascii="Arial" w:hAnsi="Arial" w:cs="Arial"/>
        <w:sz w:val="20"/>
        <w:szCs w:val="20"/>
      </w:rPr>
      <w:t xml:space="preserve"> NIL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2B" w:rsidRDefault="00CE0E2B" w:rsidP="00F71835">
      <w:pPr>
        <w:spacing w:after="0" w:line="240" w:lineRule="auto"/>
      </w:pPr>
      <w:r>
        <w:separator/>
      </w:r>
    </w:p>
  </w:footnote>
  <w:footnote w:type="continuationSeparator" w:id="0">
    <w:p w:rsidR="00CE0E2B" w:rsidRDefault="00CE0E2B" w:rsidP="00F718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0" w:type="auto"/>
      <w:shd w:val="clear" w:color="auto" w:fill="E4F2E0"/>
      <w:tblLook w:val="04A0"/>
    </w:tblPr>
    <w:tblGrid>
      <w:gridCol w:w="8720"/>
    </w:tblGrid>
    <w:tr w:rsidR="00F569A9" w:rsidRPr="00F569A9" w:rsidTr="00013933">
      <w:tc>
        <w:tcPr>
          <w:tcW w:w="8720" w:type="dxa"/>
          <w:shd w:val="clear" w:color="auto" w:fill="E4F2E0"/>
        </w:tcPr>
        <w:p w:rsidR="00F569A9" w:rsidRPr="00F569A9" w:rsidRDefault="00F569A9" w:rsidP="00F569A9">
          <w:pPr>
            <w:spacing w:before="40" w:after="40" w:line="240" w:lineRule="atLeast"/>
            <w:rPr>
              <w:b/>
              <w:sz w:val="20"/>
              <w:szCs w:val="20"/>
            </w:rPr>
          </w:pPr>
          <w:r w:rsidRPr="00F569A9">
            <w:rPr>
              <w:b/>
              <w:sz w:val="20"/>
              <w:szCs w:val="20"/>
            </w:rPr>
            <w:t xml:space="preserve">Attachment 1: Product information for </w:t>
          </w:r>
          <w:proofErr w:type="spellStart"/>
          <w:r w:rsidRPr="00F569A9">
            <w:rPr>
              <w:b/>
              <w:sz w:val="20"/>
              <w:szCs w:val="20"/>
            </w:rPr>
            <w:t>AusPAR</w:t>
          </w:r>
          <w:proofErr w:type="spellEnd"/>
          <w:r w:rsidRPr="00F569A9">
            <w:rPr>
              <w:b/>
              <w:sz w:val="20"/>
              <w:szCs w:val="20"/>
            </w:rPr>
            <w:t xml:space="preserve"> </w:t>
          </w:r>
          <w:proofErr w:type="spellStart"/>
          <w:r w:rsidRPr="00F569A9">
            <w:rPr>
              <w:b/>
              <w:sz w:val="20"/>
              <w:szCs w:val="20"/>
            </w:rPr>
            <w:t>Navelbine</w:t>
          </w:r>
          <w:proofErr w:type="spellEnd"/>
          <w:r w:rsidRPr="00F569A9">
            <w:rPr>
              <w:b/>
              <w:sz w:val="20"/>
              <w:szCs w:val="20"/>
            </w:rPr>
            <w:t xml:space="preserve"> Pierre Fabre Medicament Australia Pty Ltd PM-2010-03252-3-4 Final 30 May 2012. This Product Information was approved at the time this </w:t>
          </w:r>
          <w:proofErr w:type="spellStart"/>
          <w:r w:rsidRPr="00F569A9">
            <w:rPr>
              <w:b/>
              <w:sz w:val="20"/>
              <w:szCs w:val="20"/>
            </w:rPr>
            <w:t>AusPAR</w:t>
          </w:r>
          <w:proofErr w:type="spellEnd"/>
          <w:r w:rsidRPr="00F569A9">
            <w:rPr>
              <w:b/>
              <w:sz w:val="20"/>
              <w:szCs w:val="20"/>
            </w:rPr>
            <w:t xml:space="preserve"> was published.</w:t>
          </w:r>
        </w:p>
      </w:tc>
    </w:tr>
  </w:tbl>
  <w:p w:rsidR="00F569A9" w:rsidRDefault="00F569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D0F"/>
    <w:multiLevelType w:val="hybridMultilevel"/>
    <w:tmpl w:val="19AE7128"/>
    <w:lvl w:ilvl="0" w:tplc="F990C6BE">
      <w:start w:val="320"/>
      <w:numFmt w:val="bullet"/>
      <w:lvlText w:val=""/>
      <w:lvlJc w:val="left"/>
      <w:pPr>
        <w:ind w:left="720" w:hanging="360"/>
      </w:pPr>
      <w:rPr>
        <w:rFonts w:ascii="Wingdings" w:eastAsia="Times New Roman"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5029F"/>
    <w:multiLevelType w:val="hybridMultilevel"/>
    <w:tmpl w:val="7990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AC79C2"/>
    <w:multiLevelType w:val="hybridMultilevel"/>
    <w:tmpl w:val="90105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D70AD1"/>
    <w:multiLevelType w:val="hybridMultilevel"/>
    <w:tmpl w:val="3774CF4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
    <w:nsid w:val="26582E45"/>
    <w:multiLevelType w:val="hybridMultilevel"/>
    <w:tmpl w:val="761A39C6"/>
    <w:lvl w:ilvl="0" w:tplc="6C660DA2">
      <w:start w:val="2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BB363E"/>
    <w:multiLevelType w:val="hybridMultilevel"/>
    <w:tmpl w:val="2996A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3000C8"/>
    <w:multiLevelType w:val="hybridMultilevel"/>
    <w:tmpl w:val="28721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F1C50F3"/>
    <w:multiLevelType w:val="hybridMultilevel"/>
    <w:tmpl w:val="9432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7900DD"/>
    <w:multiLevelType w:val="hybridMultilevel"/>
    <w:tmpl w:val="94805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4460CC2"/>
    <w:multiLevelType w:val="hybridMultilevel"/>
    <w:tmpl w:val="A2CE3670"/>
    <w:lvl w:ilvl="0" w:tplc="80F84D6C">
      <w:start w:val="28"/>
      <w:numFmt w:val="bullet"/>
      <w:lvlText w:val=""/>
      <w:lvlJc w:val="left"/>
      <w:pPr>
        <w:ind w:left="720" w:hanging="360"/>
      </w:pPr>
      <w:rPr>
        <w:rFonts w:ascii="Symbol" w:eastAsia="Times New Roman" w:hAnsi="Symbol" w:hint="default"/>
        <w:b/>
        <w:color w:val="0033CC"/>
        <w:sz w:val="20"/>
        <w:u w:val="double"/>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4F00FD4"/>
    <w:multiLevelType w:val="hybridMultilevel"/>
    <w:tmpl w:val="CDB64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254628"/>
    <w:multiLevelType w:val="hybridMultilevel"/>
    <w:tmpl w:val="3DB49B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nsid w:val="7C6341C1"/>
    <w:multiLevelType w:val="hybridMultilevel"/>
    <w:tmpl w:val="2F789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6"/>
  </w:num>
  <w:num w:numId="9">
    <w:abstractNumId w:val="7"/>
  </w:num>
  <w:num w:numId="10">
    <w:abstractNumId w:val="2"/>
  </w:num>
  <w:num w:numId="11">
    <w:abstractNumId w:val="0"/>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rsids>
    <w:rsidRoot w:val="00BB6B6B"/>
    <w:rsid w:val="000022F6"/>
    <w:rsid w:val="000076FD"/>
    <w:rsid w:val="000104D7"/>
    <w:rsid w:val="000142F0"/>
    <w:rsid w:val="00014546"/>
    <w:rsid w:val="00014FF7"/>
    <w:rsid w:val="00016565"/>
    <w:rsid w:val="000166A9"/>
    <w:rsid w:val="00016AF5"/>
    <w:rsid w:val="000276EA"/>
    <w:rsid w:val="00027BFB"/>
    <w:rsid w:val="00030B5A"/>
    <w:rsid w:val="00030F88"/>
    <w:rsid w:val="00032BCA"/>
    <w:rsid w:val="0003345F"/>
    <w:rsid w:val="00034C5E"/>
    <w:rsid w:val="00035DDE"/>
    <w:rsid w:val="00042F13"/>
    <w:rsid w:val="0004415E"/>
    <w:rsid w:val="00053316"/>
    <w:rsid w:val="000538E1"/>
    <w:rsid w:val="00056925"/>
    <w:rsid w:val="000617C3"/>
    <w:rsid w:val="000658A2"/>
    <w:rsid w:val="00066057"/>
    <w:rsid w:val="000707E7"/>
    <w:rsid w:val="00074C32"/>
    <w:rsid w:val="00076C32"/>
    <w:rsid w:val="00080635"/>
    <w:rsid w:val="00082751"/>
    <w:rsid w:val="000835F5"/>
    <w:rsid w:val="00084E8D"/>
    <w:rsid w:val="00084EBD"/>
    <w:rsid w:val="00090CC3"/>
    <w:rsid w:val="00094FA9"/>
    <w:rsid w:val="00095A3F"/>
    <w:rsid w:val="0009603A"/>
    <w:rsid w:val="000A53A5"/>
    <w:rsid w:val="000B0A39"/>
    <w:rsid w:val="000B135F"/>
    <w:rsid w:val="000C056B"/>
    <w:rsid w:val="000C05EF"/>
    <w:rsid w:val="000C0721"/>
    <w:rsid w:val="000C0732"/>
    <w:rsid w:val="000C5447"/>
    <w:rsid w:val="000D5AEF"/>
    <w:rsid w:val="000E02C0"/>
    <w:rsid w:val="000E1EE0"/>
    <w:rsid w:val="000E2DFB"/>
    <w:rsid w:val="000E34AA"/>
    <w:rsid w:val="000F03FD"/>
    <w:rsid w:val="000F212A"/>
    <w:rsid w:val="00104A70"/>
    <w:rsid w:val="00111642"/>
    <w:rsid w:val="001127C2"/>
    <w:rsid w:val="00113C03"/>
    <w:rsid w:val="00113C83"/>
    <w:rsid w:val="00115282"/>
    <w:rsid w:val="00120ACE"/>
    <w:rsid w:val="00122854"/>
    <w:rsid w:val="0012377F"/>
    <w:rsid w:val="00123983"/>
    <w:rsid w:val="00127826"/>
    <w:rsid w:val="00133EB4"/>
    <w:rsid w:val="00134E7F"/>
    <w:rsid w:val="00135231"/>
    <w:rsid w:val="00136F58"/>
    <w:rsid w:val="00140B66"/>
    <w:rsid w:val="0014201F"/>
    <w:rsid w:val="00146C53"/>
    <w:rsid w:val="00147D95"/>
    <w:rsid w:val="00151E44"/>
    <w:rsid w:val="00152FF2"/>
    <w:rsid w:val="00153446"/>
    <w:rsid w:val="0015369B"/>
    <w:rsid w:val="00157A33"/>
    <w:rsid w:val="00160FE1"/>
    <w:rsid w:val="00167680"/>
    <w:rsid w:val="00177FDE"/>
    <w:rsid w:val="00180829"/>
    <w:rsid w:val="00186F58"/>
    <w:rsid w:val="001B223E"/>
    <w:rsid w:val="001B7191"/>
    <w:rsid w:val="001C57C8"/>
    <w:rsid w:val="001C7249"/>
    <w:rsid w:val="001C7A08"/>
    <w:rsid w:val="001D0C3C"/>
    <w:rsid w:val="001D10F1"/>
    <w:rsid w:val="001D3C8C"/>
    <w:rsid w:val="001D3DE9"/>
    <w:rsid w:val="001D4445"/>
    <w:rsid w:val="001D591A"/>
    <w:rsid w:val="001E0150"/>
    <w:rsid w:val="001E16AD"/>
    <w:rsid w:val="001E2C81"/>
    <w:rsid w:val="001E42BE"/>
    <w:rsid w:val="001E47F8"/>
    <w:rsid w:val="001E490D"/>
    <w:rsid w:val="001E589C"/>
    <w:rsid w:val="001E5E74"/>
    <w:rsid w:val="001E6EDC"/>
    <w:rsid w:val="001E7408"/>
    <w:rsid w:val="001F15E5"/>
    <w:rsid w:val="001F2FD1"/>
    <w:rsid w:val="001F6405"/>
    <w:rsid w:val="001F655E"/>
    <w:rsid w:val="0020163F"/>
    <w:rsid w:val="00201DEF"/>
    <w:rsid w:val="0020599A"/>
    <w:rsid w:val="00206361"/>
    <w:rsid w:val="002101BF"/>
    <w:rsid w:val="00212B05"/>
    <w:rsid w:val="00216755"/>
    <w:rsid w:val="00220B6C"/>
    <w:rsid w:val="00221EB3"/>
    <w:rsid w:val="002242AD"/>
    <w:rsid w:val="00237FAA"/>
    <w:rsid w:val="00246255"/>
    <w:rsid w:val="00251A2D"/>
    <w:rsid w:val="00253175"/>
    <w:rsid w:val="002543EE"/>
    <w:rsid w:val="00255EB0"/>
    <w:rsid w:val="00256DC0"/>
    <w:rsid w:val="00271B10"/>
    <w:rsid w:val="00273BD4"/>
    <w:rsid w:val="002779CE"/>
    <w:rsid w:val="00282944"/>
    <w:rsid w:val="00286A88"/>
    <w:rsid w:val="00286F30"/>
    <w:rsid w:val="00291144"/>
    <w:rsid w:val="00295F45"/>
    <w:rsid w:val="002961D6"/>
    <w:rsid w:val="002A1C8B"/>
    <w:rsid w:val="002A3848"/>
    <w:rsid w:val="002A4AB5"/>
    <w:rsid w:val="002A76A0"/>
    <w:rsid w:val="002B09C5"/>
    <w:rsid w:val="002B3D36"/>
    <w:rsid w:val="002C52E9"/>
    <w:rsid w:val="002C71A4"/>
    <w:rsid w:val="002C7744"/>
    <w:rsid w:val="002C7875"/>
    <w:rsid w:val="002D7D4E"/>
    <w:rsid w:val="002E0FC0"/>
    <w:rsid w:val="002E11F8"/>
    <w:rsid w:val="002E26B0"/>
    <w:rsid w:val="002F08F5"/>
    <w:rsid w:val="002F1BD0"/>
    <w:rsid w:val="002F5E6B"/>
    <w:rsid w:val="00301E3F"/>
    <w:rsid w:val="00302E4D"/>
    <w:rsid w:val="00311283"/>
    <w:rsid w:val="00312EC8"/>
    <w:rsid w:val="003235F5"/>
    <w:rsid w:val="00323748"/>
    <w:rsid w:val="00324B23"/>
    <w:rsid w:val="003256C7"/>
    <w:rsid w:val="0032582D"/>
    <w:rsid w:val="00326985"/>
    <w:rsid w:val="00327927"/>
    <w:rsid w:val="0033083B"/>
    <w:rsid w:val="003323BD"/>
    <w:rsid w:val="00334A9D"/>
    <w:rsid w:val="003350A8"/>
    <w:rsid w:val="00335BE5"/>
    <w:rsid w:val="00336CEF"/>
    <w:rsid w:val="003447C1"/>
    <w:rsid w:val="003455AF"/>
    <w:rsid w:val="00350752"/>
    <w:rsid w:val="00355079"/>
    <w:rsid w:val="003617AF"/>
    <w:rsid w:val="00364E85"/>
    <w:rsid w:val="003701EE"/>
    <w:rsid w:val="00374F73"/>
    <w:rsid w:val="0038472D"/>
    <w:rsid w:val="00393A6A"/>
    <w:rsid w:val="003A2147"/>
    <w:rsid w:val="003A2F91"/>
    <w:rsid w:val="003A536D"/>
    <w:rsid w:val="003A5A5E"/>
    <w:rsid w:val="003A5D1B"/>
    <w:rsid w:val="003B0FB8"/>
    <w:rsid w:val="003C0540"/>
    <w:rsid w:val="003C4DD5"/>
    <w:rsid w:val="003D0567"/>
    <w:rsid w:val="003D56EF"/>
    <w:rsid w:val="003D63A3"/>
    <w:rsid w:val="003E46C2"/>
    <w:rsid w:val="003E61D2"/>
    <w:rsid w:val="003F3B46"/>
    <w:rsid w:val="003F5AF1"/>
    <w:rsid w:val="00401236"/>
    <w:rsid w:val="004040AE"/>
    <w:rsid w:val="004045E0"/>
    <w:rsid w:val="00406614"/>
    <w:rsid w:val="004126C0"/>
    <w:rsid w:val="0042009F"/>
    <w:rsid w:val="00420211"/>
    <w:rsid w:val="00421DB7"/>
    <w:rsid w:val="00421DF9"/>
    <w:rsid w:val="00422D7C"/>
    <w:rsid w:val="00425293"/>
    <w:rsid w:val="0042664C"/>
    <w:rsid w:val="0042681F"/>
    <w:rsid w:val="00426CD6"/>
    <w:rsid w:val="004274F9"/>
    <w:rsid w:val="004275AA"/>
    <w:rsid w:val="004326D0"/>
    <w:rsid w:val="00441978"/>
    <w:rsid w:val="00444721"/>
    <w:rsid w:val="004460F5"/>
    <w:rsid w:val="00446C8B"/>
    <w:rsid w:val="004503E3"/>
    <w:rsid w:val="0045053E"/>
    <w:rsid w:val="0045536F"/>
    <w:rsid w:val="00456C59"/>
    <w:rsid w:val="004610F0"/>
    <w:rsid w:val="00463B12"/>
    <w:rsid w:val="00464DFA"/>
    <w:rsid w:val="00472083"/>
    <w:rsid w:val="004749B8"/>
    <w:rsid w:val="00475B04"/>
    <w:rsid w:val="0048029C"/>
    <w:rsid w:val="00482A66"/>
    <w:rsid w:val="0048359B"/>
    <w:rsid w:val="00486C99"/>
    <w:rsid w:val="004873E9"/>
    <w:rsid w:val="00491CC0"/>
    <w:rsid w:val="00492607"/>
    <w:rsid w:val="004935F0"/>
    <w:rsid w:val="00497EE7"/>
    <w:rsid w:val="00497FD9"/>
    <w:rsid w:val="004A6A7F"/>
    <w:rsid w:val="004B3349"/>
    <w:rsid w:val="004B341D"/>
    <w:rsid w:val="004B7D4E"/>
    <w:rsid w:val="004C0EEA"/>
    <w:rsid w:val="004C381C"/>
    <w:rsid w:val="004C47C4"/>
    <w:rsid w:val="004C70EF"/>
    <w:rsid w:val="004D732A"/>
    <w:rsid w:val="004E1324"/>
    <w:rsid w:val="004E2DC4"/>
    <w:rsid w:val="004E6F73"/>
    <w:rsid w:val="004F5C00"/>
    <w:rsid w:val="00500BEF"/>
    <w:rsid w:val="00505ACB"/>
    <w:rsid w:val="005170BD"/>
    <w:rsid w:val="005172EA"/>
    <w:rsid w:val="00522553"/>
    <w:rsid w:val="005253CD"/>
    <w:rsid w:val="0052771A"/>
    <w:rsid w:val="00530CF1"/>
    <w:rsid w:val="00531A6C"/>
    <w:rsid w:val="0053321B"/>
    <w:rsid w:val="00537718"/>
    <w:rsid w:val="00540820"/>
    <w:rsid w:val="00547D8E"/>
    <w:rsid w:val="00550320"/>
    <w:rsid w:val="005512CE"/>
    <w:rsid w:val="00551AA9"/>
    <w:rsid w:val="0055492C"/>
    <w:rsid w:val="005629F7"/>
    <w:rsid w:val="005719DC"/>
    <w:rsid w:val="005734AE"/>
    <w:rsid w:val="00575004"/>
    <w:rsid w:val="005770C8"/>
    <w:rsid w:val="0057790C"/>
    <w:rsid w:val="00582E49"/>
    <w:rsid w:val="005901D8"/>
    <w:rsid w:val="00591DCB"/>
    <w:rsid w:val="0059600C"/>
    <w:rsid w:val="005A3037"/>
    <w:rsid w:val="005A5001"/>
    <w:rsid w:val="005A50BC"/>
    <w:rsid w:val="005A5C51"/>
    <w:rsid w:val="005B13F9"/>
    <w:rsid w:val="005B3B04"/>
    <w:rsid w:val="005C0EAB"/>
    <w:rsid w:val="005C69C1"/>
    <w:rsid w:val="005C7B54"/>
    <w:rsid w:val="005D0477"/>
    <w:rsid w:val="005D3717"/>
    <w:rsid w:val="005D5802"/>
    <w:rsid w:val="005D7A07"/>
    <w:rsid w:val="005E08CA"/>
    <w:rsid w:val="005E0A30"/>
    <w:rsid w:val="005E2C80"/>
    <w:rsid w:val="005E3353"/>
    <w:rsid w:val="005E3955"/>
    <w:rsid w:val="005E3DD4"/>
    <w:rsid w:val="005E6FA9"/>
    <w:rsid w:val="005F0705"/>
    <w:rsid w:val="005F48E6"/>
    <w:rsid w:val="00601D16"/>
    <w:rsid w:val="0060211C"/>
    <w:rsid w:val="00611BD5"/>
    <w:rsid w:val="006127E5"/>
    <w:rsid w:val="00612E47"/>
    <w:rsid w:val="00613D08"/>
    <w:rsid w:val="006224F1"/>
    <w:rsid w:val="00633F45"/>
    <w:rsid w:val="00634A83"/>
    <w:rsid w:val="00643C07"/>
    <w:rsid w:val="006602F3"/>
    <w:rsid w:val="00660C58"/>
    <w:rsid w:val="00666EE6"/>
    <w:rsid w:val="00667B05"/>
    <w:rsid w:val="00667FA1"/>
    <w:rsid w:val="006732AD"/>
    <w:rsid w:val="00676AB4"/>
    <w:rsid w:val="00677AD7"/>
    <w:rsid w:val="00682B38"/>
    <w:rsid w:val="00685EC5"/>
    <w:rsid w:val="006948FA"/>
    <w:rsid w:val="00695D5E"/>
    <w:rsid w:val="00696D79"/>
    <w:rsid w:val="006A1B99"/>
    <w:rsid w:val="006A573A"/>
    <w:rsid w:val="006A7FA2"/>
    <w:rsid w:val="006B4211"/>
    <w:rsid w:val="006B7713"/>
    <w:rsid w:val="006B781A"/>
    <w:rsid w:val="006C3FA9"/>
    <w:rsid w:val="006C68B3"/>
    <w:rsid w:val="006C79B2"/>
    <w:rsid w:val="006D2588"/>
    <w:rsid w:val="006E5B4C"/>
    <w:rsid w:val="006E61C2"/>
    <w:rsid w:val="006F62E0"/>
    <w:rsid w:val="00700B03"/>
    <w:rsid w:val="00702167"/>
    <w:rsid w:val="00706722"/>
    <w:rsid w:val="007076AD"/>
    <w:rsid w:val="00713243"/>
    <w:rsid w:val="0071482C"/>
    <w:rsid w:val="00720E6E"/>
    <w:rsid w:val="00722F5E"/>
    <w:rsid w:val="00731245"/>
    <w:rsid w:val="00732D25"/>
    <w:rsid w:val="00736250"/>
    <w:rsid w:val="00737B8B"/>
    <w:rsid w:val="00740645"/>
    <w:rsid w:val="00742982"/>
    <w:rsid w:val="007441DF"/>
    <w:rsid w:val="00744CD5"/>
    <w:rsid w:val="0074564F"/>
    <w:rsid w:val="007456AA"/>
    <w:rsid w:val="00747540"/>
    <w:rsid w:val="007535D1"/>
    <w:rsid w:val="00760CE6"/>
    <w:rsid w:val="00761890"/>
    <w:rsid w:val="00762206"/>
    <w:rsid w:val="00762B0B"/>
    <w:rsid w:val="00771F68"/>
    <w:rsid w:val="007733C0"/>
    <w:rsid w:val="0077767B"/>
    <w:rsid w:val="007855FC"/>
    <w:rsid w:val="00792E79"/>
    <w:rsid w:val="007A01EE"/>
    <w:rsid w:val="007A1C35"/>
    <w:rsid w:val="007A6745"/>
    <w:rsid w:val="007A7009"/>
    <w:rsid w:val="007B56DF"/>
    <w:rsid w:val="007C00C3"/>
    <w:rsid w:val="007C064E"/>
    <w:rsid w:val="007C1ABD"/>
    <w:rsid w:val="007C2226"/>
    <w:rsid w:val="007C24E7"/>
    <w:rsid w:val="007C3B32"/>
    <w:rsid w:val="007D1658"/>
    <w:rsid w:val="007D1F0A"/>
    <w:rsid w:val="007D20A8"/>
    <w:rsid w:val="007D4D87"/>
    <w:rsid w:val="007E2565"/>
    <w:rsid w:val="007E25BF"/>
    <w:rsid w:val="007E5956"/>
    <w:rsid w:val="007E5D60"/>
    <w:rsid w:val="007F4B69"/>
    <w:rsid w:val="00802331"/>
    <w:rsid w:val="008028E0"/>
    <w:rsid w:val="00804858"/>
    <w:rsid w:val="00804B0A"/>
    <w:rsid w:val="008056C3"/>
    <w:rsid w:val="00807A42"/>
    <w:rsid w:val="00810AA9"/>
    <w:rsid w:val="00810B2C"/>
    <w:rsid w:val="00815BEA"/>
    <w:rsid w:val="00831FAF"/>
    <w:rsid w:val="0083239F"/>
    <w:rsid w:val="00833D0B"/>
    <w:rsid w:val="00834772"/>
    <w:rsid w:val="008408C3"/>
    <w:rsid w:val="0084663A"/>
    <w:rsid w:val="00851437"/>
    <w:rsid w:val="008538CE"/>
    <w:rsid w:val="008552E4"/>
    <w:rsid w:val="00865E2D"/>
    <w:rsid w:val="00870061"/>
    <w:rsid w:val="00871CA7"/>
    <w:rsid w:val="00871D63"/>
    <w:rsid w:val="008721CD"/>
    <w:rsid w:val="00872696"/>
    <w:rsid w:val="00883351"/>
    <w:rsid w:val="00884986"/>
    <w:rsid w:val="0089307C"/>
    <w:rsid w:val="008A0DE3"/>
    <w:rsid w:val="008A3E0C"/>
    <w:rsid w:val="008A433A"/>
    <w:rsid w:val="008A53B7"/>
    <w:rsid w:val="008A5443"/>
    <w:rsid w:val="008C058E"/>
    <w:rsid w:val="008C0BA7"/>
    <w:rsid w:val="008C51C4"/>
    <w:rsid w:val="008C5A60"/>
    <w:rsid w:val="008D11A4"/>
    <w:rsid w:val="008E0E9E"/>
    <w:rsid w:val="008F149C"/>
    <w:rsid w:val="008F1788"/>
    <w:rsid w:val="008F64A5"/>
    <w:rsid w:val="008F7456"/>
    <w:rsid w:val="0090342C"/>
    <w:rsid w:val="009043B0"/>
    <w:rsid w:val="0090494B"/>
    <w:rsid w:val="00910565"/>
    <w:rsid w:val="00913EB1"/>
    <w:rsid w:val="00922C45"/>
    <w:rsid w:val="00925613"/>
    <w:rsid w:val="00927085"/>
    <w:rsid w:val="0093111E"/>
    <w:rsid w:val="00932684"/>
    <w:rsid w:val="009357F2"/>
    <w:rsid w:val="00935E60"/>
    <w:rsid w:val="009400D7"/>
    <w:rsid w:val="00941B80"/>
    <w:rsid w:val="00942C3E"/>
    <w:rsid w:val="009433DD"/>
    <w:rsid w:val="0094638E"/>
    <w:rsid w:val="0095162D"/>
    <w:rsid w:val="009521B8"/>
    <w:rsid w:val="009549F4"/>
    <w:rsid w:val="00956B8F"/>
    <w:rsid w:val="00957321"/>
    <w:rsid w:val="009607AB"/>
    <w:rsid w:val="00964158"/>
    <w:rsid w:val="009751AC"/>
    <w:rsid w:val="0097552C"/>
    <w:rsid w:val="00975B74"/>
    <w:rsid w:val="00977769"/>
    <w:rsid w:val="00980912"/>
    <w:rsid w:val="00981A3D"/>
    <w:rsid w:val="009840B4"/>
    <w:rsid w:val="00986A83"/>
    <w:rsid w:val="009903DA"/>
    <w:rsid w:val="00993753"/>
    <w:rsid w:val="00994D64"/>
    <w:rsid w:val="00995E57"/>
    <w:rsid w:val="00996C6F"/>
    <w:rsid w:val="009A3AE9"/>
    <w:rsid w:val="009A3B06"/>
    <w:rsid w:val="009B070C"/>
    <w:rsid w:val="009B283F"/>
    <w:rsid w:val="009B3389"/>
    <w:rsid w:val="009B349F"/>
    <w:rsid w:val="009B4CF2"/>
    <w:rsid w:val="009B588F"/>
    <w:rsid w:val="009B6FE8"/>
    <w:rsid w:val="009C60E0"/>
    <w:rsid w:val="009D19FE"/>
    <w:rsid w:val="009D1DB6"/>
    <w:rsid w:val="009D37D6"/>
    <w:rsid w:val="009D7098"/>
    <w:rsid w:val="009F186D"/>
    <w:rsid w:val="009F29D0"/>
    <w:rsid w:val="009F4B7B"/>
    <w:rsid w:val="00A01407"/>
    <w:rsid w:val="00A01D91"/>
    <w:rsid w:val="00A16960"/>
    <w:rsid w:val="00A17512"/>
    <w:rsid w:val="00A17949"/>
    <w:rsid w:val="00A21F75"/>
    <w:rsid w:val="00A221AB"/>
    <w:rsid w:val="00A25275"/>
    <w:rsid w:val="00A25CB4"/>
    <w:rsid w:val="00A31834"/>
    <w:rsid w:val="00A33D5A"/>
    <w:rsid w:val="00A53DD5"/>
    <w:rsid w:val="00A56667"/>
    <w:rsid w:val="00A63F78"/>
    <w:rsid w:val="00A75825"/>
    <w:rsid w:val="00A823BE"/>
    <w:rsid w:val="00A82854"/>
    <w:rsid w:val="00A82A48"/>
    <w:rsid w:val="00A85695"/>
    <w:rsid w:val="00A86975"/>
    <w:rsid w:val="00A91AA7"/>
    <w:rsid w:val="00A92E1E"/>
    <w:rsid w:val="00A93419"/>
    <w:rsid w:val="00A957FC"/>
    <w:rsid w:val="00A966B7"/>
    <w:rsid w:val="00AA0AC5"/>
    <w:rsid w:val="00AA21E8"/>
    <w:rsid w:val="00AA2EC4"/>
    <w:rsid w:val="00AB318E"/>
    <w:rsid w:val="00AB55C5"/>
    <w:rsid w:val="00AC2106"/>
    <w:rsid w:val="00AC2140"/>
    <w:rsid w:val="00AC386C"/>
    <w:rsid w:val="00AC6FCB"/>
    <w:rsid w:val="00AC7C30"/>
    <w:rsid w:val="00AD23C2"/>
    <w:rsid w:val="00AD2A34"/>
    <w:rsid w:val="00AD2B17"/>
    <w:rsid w:val="00AE118C"/>
    <w:rsid w:val="00AF2B86"/>
    <w:rsid w:val="00AF3A9E"/>
    <w:rsid w:val="00AF4A21"/>
    <w:rsid w:val="00B01681"/>
    <w:rsid w:val="00B0171C"/>
    <w:rsid w:val="00B1631F"/>
    <w:rsid w:val="00B17CBF"/>
    <w:rsid w:val="00B31311"/>
    <w:rsid w:val="00B324F4"/>
    <w:rsid w:val="00B32DB9"/>
    <w:rsid w:val="00B34DD2"/>
    <w:rsid w:val="00B36BF8"/>
    <w:rsid w:val="00B405C1"/>
    <w:rsid w:val="00B43408"/>
    <w:rsid w:val="00B44B31"/>
    <w:rsid w:val="00B44CB9"/>
    <w:rsid w:val="00B54D98"/>
    <w:rsid w:val="00B55E89"/>
    <w:rsid w:val="00B566AD"/>
    <w:rsid w:val="00B64B58"/>
    <w:rsid w:val="00B706DD"/>
    <w:rsid w:val="00B70E00"/>
    <w:rsid w:val="00B70EA1"/>
    <w:rsid w:val="00B740D5"/>
    <w:rsid w:val="00B768F9"/>
    <w:rsid w:val="00B80B52"/>
    <w:rsid w:val="00B82925"/>
    <w:rsid w:val="00B841CC"/>
    <w:rsid w:val="00B8540C"/>
    <w:rsid w:val="00B954DF"/>
    <w:rsid w:val="00B9773F"/>
    <w:rsid w:val="00BA5F71"/>
    <w:rsid w:val="00BB03CE"/>
    <w:rsid w:val="00BB0C45"/>
    <w:rsid w:val="00BB6B6B"/>
    <w:rsid w:val="00BC31B8"/>
    <w:rsid w:val="00BC3526"/>
    <w:rsid w:val="00BE09A6"/>
    <w:rsid w:val="00BE18B0"/>
    <w:rsid w:val="00BE6DB5"/>
    <w:rsid w:val="00BF0A44"/>
    <w:rsid w:val="00BF38F8"/>
    <w:rsid w:val="00BF6B8E"/>
    <w:rsid w:val="00BF7A50"/>
    <w:rsid w:val="00C02F09"/>
    <w:rsid w:val="00C11B09"/>
    <w:rsid w:val="00C139EC"/>
    <w:rsid w:val="00C15122"/>
    <w:rsid w:val="00C171B4"/>
    <w:rsid w:val="00C23414"/>
    <w:rsid w:val="00C325DA"/>
    <w:rsid w:val="00C33008"/>
    <w:rsid w:val="00C35743"/>
    <w:rsid w:val="00C37BCF"/>
    <w:rsid w:val="00C40FC4"/>
    <w:rsid w:val="00C43B34"/>
    <w:rsid w:val="00C50F8E"/>
    <w:rsid w:val="00C556DD"/>
    <w:rsid w:val="00C5795F"/>
    <w:rsid w:val="00C60BFC"/>
    <w:rsid w:val="00C62FE0"/>
    <w:rsid w:val="00C66B65"/>
    <w:rsid w:val="00C73E30"/>
    <w:rsid w:val="00C741BD"/>
    <w:rsid w:val="00C74F61"/>
    <w:rsid w:val="00C75EC6"/>
    <w:rsid w:val="00C80D2F"/>
    <w:rsid w:val="00C83CAB"/>
    <w:rsid w:val="00C876F2"/>
    <w:rsid w:val="00C9469A"/>
    <w:rsid w:val="00C946B7"/>
    <w:rsid w:val="00C95433"/>
    <w:rsid w:val="00C9720D"/>
    <w:rsid w:val="00C97A45"/>
    <w:rsid w:val="00CA077D"/>
    <w:rsid w:val="00CA4227"/>
    <w:rsid w:val="00CB09D3"/>
    <w:rsid w:val="00CB369B"/>
    <w:rsid w:val="00CB7DC0"/>
    <w:rsid w:val="00CC23B5"/>
    <w:rsid w:val="00CD3115"/>
    <w:rsid w:val="00CD6D2A"/>
    <w:rsid w:val="00CD7956"/>
    <w:rsid w:val="00CE0E2B"/>
    <w:rsid w:val="00CE35BB"/>
    <w:rsid w:val="00CE7F9E"/>
    <w:rsid w:val="00D133A0"/>
    <w:rsid w:val="00D144BB"/>
    <w:rsid w:val="00D16D37"/>
    <w:rsid w:val="00D209E4"/>
    <w:rsid w:val="00D24F3F"/>
    <w:rsid w:val="00D35E18"/>
    <w:rsid w:val="00D4138F"/>
    <w:rsid w:val="00D441D0"/>
    <w:rsid w:val="00D442B6"/>
    <w:rsid w:val="00D457A2"/>
    <w:rsid w:val="00D45DC0"/>
    <w:rsid w:val="00D50156"/>
    <w:rsid w:val="00D56397"/>
    <w:rsid w:val="00D620A6"/>
    <w:rsid w:val="00D72356"/>
    <w:rsid w:val="00D73E8F"/>
    <w:rsid w:val="00D75D88"/>
    <w:rsid w:val="00D77FF0"/>
    <w:rsid w:val="00D829FE"/>
    <w:rsid w:val="00D82D3C"/>
    <w:rsid w:val="00D82ECE"/>
    <w:rsid w:val="00D860E0"/>
    <w:rsid w:val="00D93FD1"/>
    <w:rsid w:val="00D9472B"/>
    <w:rsid w:val="00DA27B8"/>
    <w:rsid w:val="00DA7C04"/>
    <w:rsid w:val="00DB02C0"/>
    <w:rsid w:val="00DB2013"/>
    <w:rsid w:val="00DB2765"/>
    <w:rsid w:val="00DB3F24"/>
    <w:rsid w:val="00DC3F86"/>
    <w:rsid w:val="00DC5AA9"/>
    <w:rsid w:val="00DD12AE"/>
    <w:rsid w:val="00DD60BD"/>
    <w:rsid w:val="00DD6151"/>
    <w:rsid w:val="00DD618D"/>
    <w:rsid w:val="00DD6BFD"/>
    <w:rsid w:val="00DD7835"/>
    <w:rsid w:val="00DF09AC"/>
    <w:rsid w:val="00DF472B"/>
    <w:rsid w:val="00E1248B"/>
    <w:rsid w:val="00E158D1"/>
    <w:rsid w:val="00E17FDB"/>
    <w:rsid w:val="00E20DF6"/>
    <w:rsid w:val="00E2253A"/>
    <w:rsid w:val="00E23F29"/>
    <w:rsid w:val="00E2605F"/>
    <w:rsid w:val="00E265E7"/>
    <w:rsid w:val="00E341FC"/>
    <w:rsid w:val="00E342BE"/>
    <w:rsid w:val="00E35101"/>
    <w:rsid w:val="00E40201"/>
    <w:rsid w:val="00E40D00"/>
    <w:rsid w:val="00E41CA0"/>
    <w:rsid w:val="00E55A92"/>
    <w:rsid w:val="00E579D3"/>
    <w:rsid w:val="00E6401E"/>
    <w:rsid w:val="00E6448E"/>
    <w:rsid w:val="00E65326"/>
    <w:rsid w:val="00E67CCF"/>
    <w:rsid w:val="00E7023D"/>
    <w:rsid w:val="00E71F21"/>
    <w:rsid w:val="00E725DF"/>
    <w:rsid w:val="00E74766"/>
    <w:rsid w:val="00E76F77"/>
    <w:rsid w:val="00E77886"/>
    <w:rsid w:val="00E83515"/>
    <w:rsid w:val="00E842F8"/>
    <w:rsid w:val="00E84ECD"/>
    <w:rsid w:val="00E87E5B"/>
    <w:rsid w:val="00E949C1"/>
    <w:rsid w:val="00E94CD2"/>
    <w:rsid w:val="00EA040E"/>
    <w:rsid w:val="00EA25C8"/>
    <w:rsid w:val="00EB1EDD"/>
    <w:rsid w:val="00EB206D"/>
    <w:rsid w:val="00EB6A37"/>
    <w:rsid w:val="00EB7AB1"/>
    <w:rsid w:val="00EC36BF"/>
    <w:rsid w:val="00ED723D"/>
    <w:rsid w:val="00ED7616"/>
    <w:rsid w:val="00ED788F"/>
    <w:rsid w:val="00EE1E5F"/>
    <w:rsid w:val="00EE2D2C"/>
    <w:rsid w:val="00EF1588"/>
    <w:rsid w:val="00EF5952"/>
    <w:rsid w:val="00EF6565"/>
    <w:rsid w:val="00EF6896"/>
    <w:rsid w:val="00EF6A76"/>
    <w:rsid w:val="00F00381"/>
    <w:rsid w:val="00F06338"/>
    <w:rsid w:val="00F06629"/>
    <w:rsid w:val="00F06B05"/>
    <w:rsid w:val="00F24193"/>
    <w:rsid w:val="00F264D2"/>
    <w:rsid w:val="00F27DEE"/>
    <w:rsid w:val="00F34FFE"/>
    <w:rsid w:val="00F37587"/>
    <w:rsid w:val="00F522BB"/>
    <w:rsid w:val="00F569A9"/>
    <w:rsid w:val="00F57017"/>
    <w:rsid w:val="00F609CA"/>
    <w:rsid w:val="00F6506E"/>
    <w:rsid w:val="00F677D2"/>
    <w:rsid w:val="00F70B81"/>
    <w:rsid w:val="00F71835"/>
    <w:rsid w:val="00F72C6A"/>
    <w:rsid w:val="00F84A82"/>
    <w:rsid w:val="00F85973"/>
    <w:rsid w:val="00F8624A"/>
    <w:rsid w:val="00F9650F"/>
    <w:rsid w:val="00F96D5E"/>
    <w:rsid w:val="00FA0A13"/>
    <w:rsid w:val="00FA69FC"/>
    <w:rsid w:val="00FA6A86"/>
    <w:rsid w:val="00FB3FD0"/>
    <w:rsid w:val="00FB6B05"/>
    <w:rsid w:val="00FC4E3B"/>
    <w:rsid w:val="00FC536D"/>
    <w:rsid w:val="00FC5565"/>
    <w:rsid w:val="00FD11AE"/>
    <w:rsid w:val="00FD3845"/>
    <w:rsid w:val="00FD691D"/>
    <w:rsid w:val="00FD6A1A"/>
    <w:rsid w:val="00FE1A74"/>
    <w:rsid w:val="00FF79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91"/>
    <w:pPr>
      <w:spacing w:after="200" w:line="276" w:lineRule="auto"/>
    </w:pPr>
    <w:rPr>
      <w:lang w:val="en-AU" w:eastAsia="en-US"/>
    </w:rPr>
  </w:style>
  <w:style w:type="paragraph" w:styleId="Heading3">
    <w:name w:val="heading 3"/>
    <w:basedOn w:val="Normal"/>
    <w:next w:val="Normal"/>
    <w:link w:val="Heading3Char"/>
    <w:semiHidden/>
    <w:unhideWhenUsed/>
    <w:qFormat/>
    <w:locked/>
    <w:rsid w:val="00F569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638E"/>
    <w:pPr>
      <w:ind w:left="720"/>
      <w:contextualSpacing/>
    </w:pPr>
  </w:style>
  <w:style w:type="table" w:styleId="TableGrid">
    <w:name w:val="Table Grid"/>
    <w:basedOn w:val="TableNormal"/>
    <w:uiPriority w:val="99"/>
    <w:rsid w:val="00E2605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718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71835"/>
    <w:rPr>
      <w:rFonts w:cs="Times New Roman"/>
    </w:rPr>
  </w:style>
  <w:style w:type="paragraph" w:styleId="Footer">
    <w:name w:val="footer"/>
    <w:basedOn w:val="Normal"/>
    <w:link w:val="FooterChar"/>
    <w:uiPriority w:val="99"/>
    <w:rsid w:val="00F7183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71835"/>
    <w:rPr>
      <w:rFonts w:cs="Times New Roman"/>
    </w:rPr>
  </w:style>
  <w:style w:type="paragraph" w:styleId="BalloonText">
    <w:name w:val="Balloon Text"/>
    <w:basedOn w:val="Normal"/>
    <w:link w:val="BalloonTextChar"/>
    <w:uiPriority w:val="99"/>
    <w:semiHidden/>
    <w:rsid w:val="00F7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1835"/>
    <w:rPr>
      <w:rFonts w:ascii="Tahoma" w:hAnsi="Tahoma" w:cs="Tahoma"/>
      <w:sz w:val="16"/>
      <w:szCs w:val="16"/>
    </w:rPr>
  </w:style>
  <w:style w:type="paragraph" w:styleId="BodyText2">
    <w:name w:val="Body Text 2"/>
    <w:basedOn w:val="Normal"/>
    <w:link w:val="BodyText2Char"/>
    <w:uiPriority w:val="99"/>
    <w:rsid w:val="00AC2106"/>
    <w:pPr>
      <w:spacing w:after="120" w:line="480" w:lineRule="auto"/>
    </w:pPr>
  </w:style>
  <w:style w:type="character" w:customStyle="1" w:styleId="BodyText2Char">
    <w:name w:val="Body Text 2 Char"/>
    <w:basedOn w:val="DefaultParagraphFont"/>
    <w:link w:val="BodyText2"/>
    <w:uiPriority w:val="99"/>
    <w:locked/>
    <w:rsid w:val="00AC2106"/>
    <w:rPr>
      <w:rFonts w:cs="Times New Roman"/>
      <w:sz w:val="22"/>
      <w:szCs w:val="22"/>
      <w:lang w:eastAsia="en-US"/>
    </w:rPr>
  </w:style>
  <w:style w:type="character" w:styleId="CommentReference">
    <w:name w:val="annotation reference"/>
    <w:basedOn w:val="DefaultParagraphFont"/>
    <w:uiPriority w:val="99"/>
    <w:semiHidden/>
    <w:rsid w:val="007A6745"/>
    <w:rPr>
      <w:rFonts w:cs="Times New Roman"/>
      <w:sz w:val="16"/>
      <w:szCs w:val="16"/>
    </w:rPr>
  </w:style>
  <w:style w:type="paragraph" w:styleId="CommentText">
    <w:name w:val="annotation text"/>
    <w:basedOn w:val="Normal"/>
    <w:link w:val="CommentTextChar"/>
    <w:uiPriority w:val="99"/>
    <w:semiHidden/>
    <w:rsid w:val="007A6745"/>
    <w:rPr>
      <w:sz w:val="20"/>
      <w:szCs w:val="20"/>
    </w:rPr>
  </w:style>
  <w:style w:type="character" w:customStyle="1" w:styleId="CommentTextChar">
    <w:name w:val="Comment Text Char"/>
    <w:basedOn w:val="DefaultParagraphFont"/>
    <w:link w:val="CommentText"/>
    <w:uiPriority w:val="99"/>
    <w:semiHidden/>
    <w:rsid w:val="00BB43CC"/>
    <w:rPr>
      <w:sz w:val="20"/>
      <w:szCs w:val="20"/>
      <w:lang w:val="en-AU" w:eastAsia="en-US"/>
    </w:rPr>
  </w:style>
  <w:style w:type="paragraph" w:styleId="CommentSubject">
    <w:name w:val="annotation subject"/>
    <w:basedOn w:val="CommentText"/>
    <w:next w:val="CommentText"/>
    <w:link w:val="CommentSubjectChar"/>
    <w:uiPriority w:val="99"/>
    <w:semiHidden/>
    <w:rsid w:val="007A6745"/>
    <w:rPr>
      <w:b/>
      <w:bCs/>
    </w:rPr>
  </w:style>
  <w:style w:type="character" w:customStyle="1" w:styleId="CommentSubjectChar">
    <w:name w:val="Comment Subject Char"/>
    <w:basedOn w:val="CommentTextChar"/>
    <w:link w:val="CommentSubject"/>
    <w:uiPriority w:val="99"/>
    <w:semiHidden/>
    <w:rsid w:val="00BB43CC"/>
    <w:rPr>
      <w:b/>
      <w:bCs/>
      <w:sz w:val="20"/>
      <w:szCs w:val="20"/>
      <w:lang w:val="en-AU" w:eastAsia="en-US"/>
    </w:rPr>
  </w:style>
  <w:style w:type="character" w:customStyle="1" w:styleId="Heading3Char">
    <w:name w:val="Heading 3 Char"/>
    <w:basedOn w:val="DefaultParagraphFont"/>
    <w:link w:val="Heading3"/>
    <w:rsid w:val="00F569A9"/>
    <w:rPr>
      <w:rFonts w:asciiTheme="majorHAnsi" w:eastAsiaTheme="majorEastAsia" w:hAnsiTheme="majorHAnsi" w:cstheme="majorBidi"/>
      <w:b/>
      <w:bCs/>
      <w:color w:val="4F81BD" w:themeColor="accent1"/>
      <w:lang w:val="en-AU" w:eastAsia="en-US"/>
    </w:rPr>
  </w:style>
  <w:style w:type="table" w:customStyle="1" w:styleId="TableGrid1">
    <w:name w:val="Table Grid1"/>
    <w:basedOn w:val="TableNormal"/>
    <w:next w:val="TableGrid"/>
    <w:uiPriority w:val="59"/>
    <w:rsid w:val="00F569A9"/>
    <w:rPr>
      <w:rFonts w:ascii="Cambria" w:eastAsia="Cambria" w:hAnsi="Cambria"/>
      <w:lang w:val="en-AU" w:eastAsia="en-US"/>
    </w:rPr>
    <w:tblPr>
      <w:tblInd w:w="0"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91"/>
    <w:pPr>
      <w:spacing w:after="200" w:line="276" w:lineRule="auto"/>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638E"/>
    <w:pPr>
      <w:ind w:left="720"/>
      <w:contextualSpacing/>
    </w:pPr>
  </w:style>
  <w:style w:type="table" w:styleId="TableGrid">
    <w:name w:val="Table Grid"/>
    <w:basedOn w:val="TableNormal"/>
    <w:uiPriority w:val="99"/>
    <w:rsid w:val="00E2605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7183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71835"/>
    <w:rPr>
      <w:rFonts w:cs="Times New Roman"/>
    </w:rPr>
  </w:style>
  <w:style w:type="paragraph" w:styleId="Footer">
    <w:name w:val="footer"/>
    <w:basedOn w:val="Normal"/>
    <w:link w:val="FooterChar"/>
    <w:uiPriority w:val="99"/>
    <w:rsid w:val="00F7183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71835"/>
    <w:rPr>
      <w:rFonts w:cs="Times New Roman"/>
    </w:rPr>
  </w:style>
  <w:style w:type="paragraph" w:styleId="BalloonText">
    <w:name w:val="Balloon Text"/>
    <w:basedOn w:val="Normal"/>
    <w:link w:val="BalloonTextChar"/>
    <w:uiPriority w:val="99"/>
    <w:semiHidden/>
    <w:rsid w:val="00F7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1835"/>
    <w:rPr>
      <w:rFonts w:ascii="Tahoma" w:hAnsi="Tahoma" w:cs="Tahoma"/>
      <w:sz w:val="16"/>
      <w:szCs w:val="16"/>
    </w:rPr>
  </w:style>
  <w:style w:type="paragraph" w:styleId="BodyText2">
    <w:name w:val="Body Text 2"/>
    <w:basedOn w:val="Normal"/>
    <w:link w:val="BodyText2Char"/>
    <w:uiPriority w:val="99"/>
    <w:rsid w:val="00AC2106"/>
    <w:pPr>
      <w:spacing w:after="120" w:line="480" w:lineRule="auto"/>
    </w:pPr>
  </w:style>
  <w:style w:type="character" w:customStyle="1" w:styleId="BodyText2Char">
    <w:name w:val="Body Text 2 Char"/>
    <w:basedOn w:val="DefaultParagraphFont"/>
    <w:link w:val="BodyText2"/>
    <w:uiPriority w:val="99"/>
    <w:locked/>
    <w:rsid w:val="00AC2106"/>
    <w:rPr>
      <w:rFonts w:cs="Times New Roman"/>
      <w:sz w:val="22"/>
      <w:szCs w:val="22"/>
      <w:lang w:eastAsia="en-US"/>
    </w:rPr>
  </w:style>
  <w:style w:type="character" w:styleId="CommentReference">
    <w:name w:val="annotation reference"/>
    <w:basedOn w:val="DefaultParagraphFont"/>
    <w:uiPriority w:val="99"/>
    <w:semiHidden/>
    <w:rsid w:val="007A6745"/>
    <w:rPr>
      <w:rFonts w:cs="Times New Roman"/>
      <w:sz w:val="16"/>
      <w:szCs w:val="16"/>
    </w:rPr>
  </w:style>
  <w:style w:type="paragraph" w:styleId="CommentText">
    <w:name w:val="annotation text"/>
    <w:basedOn w:val="Normal"/>
    <w:link w:val="CommentTextChar"/>
    <w:uiPriority w:val="99"/>
    <w:semiHidden/>
    <w:rsid w:val="007A6745"/>
    <w:rPr>
      <w:sz w:val="20"/>
      <w:szCs w:val="20"/>
    </w:rPr>
  </w:style>
  <w:style w:type="character" w:customStyle="1" w:styleId="CommentTextChar">
    <w:name w:val="Comment Text Char"/>
    <w:basedOn w:val="DefaultParagraphFont"/>
    <w:link w:val="CommentText"/>
    <w:uiPriority w:val="99"/>
    <w:semiHidden/>
    <w:rsid w:val="00BB43CC"/>
    <w:rPr>
      <w:sz w:val="20"/>
      <w:szCs w:val="20"/>
      <w:lang w:val="en-AU" w:eastAsia="en-US"/>
    </w:rPr>
  </w:style>
  <w:style w:type="paragraph" w:styleId="CommentSubject">
    <w:name w:val="annotation subject"/>
    <w:basedOn w:val="CommentText"/>
    <w:next w:val="CommentText"/>
    <w:link w:val="CommentSubjectChar"/>
    <w:uiPriority w:val="99"/>
    <w:semiHidden/>
    <w:rsid w:val="007A6745"/>
    <w:rPr>
      <w:b/>
      <w:bCs/>
    </w:rPr>
  </w:style>
  <w:style w:type="character" w:customStyle="1" w:styleId="CommentSubjectChar">
    <w:name w:val="Comment Subject Char"/>
    <w:basedOn w:val="CommentTextChar"/>
    <w:link w:val="CommentSubject"/>
    <w:uiPriority w:val="99"/>
    <w:semiHidden/>
    <w:rsid w:val="00BB43CC"/>
    <w:rPr>
      <w:b/>
      <w:bCs/>
      <w:sz w:val="20"/>
      <w:szCs w:val="20"/>
      <w:lang w:val="en-AU" w:eastAsia="en-US"/>
    </w:rPr>
  </w:style>
</w:styles>
</file>

<file path=word/webSettings.xml><?xml version="1.0" encoding="utf-8"?>
<w:webSettings xmlns:r="http://schemas.openxmlformats.org/officeDocument/2006/relationships" xmlns:w="http://schemas.openxmlformats.org/wordprocessingml/2006/main">
  <w:divs>
    <w:div w:id="561714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4F291-AD72-43CD-A86D-4A6B919E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5973</Words>
  <Characters>33715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Pierre Fabre Medicament Australia Pty Ltd</Company>
  <LinksUpToDate>false</LinksUpToDate>
  <CharactersWithSpaces>39609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Vinorelbine</dc:title>
  <dc:subject>prescription medicine regulation</dc:subject>
  <dc:creator>Pierre Fabre Medicament Australia Pty Ltd</dc:creator>
  <cp:keywords>product, information, prescription, medicine, regulation, navelbine, vinorelbine, pierre, fabre, medicament, australia</cp:keywords>
  <cp:lastModifiedBy>dixonj</cp:lastModifiedBy>
  <cp:revision>4</cp:revision>
  <cp:lastPrinted>2012-01-18T03:04:00Z</cp:lastPrinted>
  <dcterms:created xsi:type="dcterms:W3CDTF">2014-01-23T01:50:00Z</dcterms:created>
  <dcterms:modified xsi:type="dcterms:W3CDTF">2014-01-23T01:55:00Z</dcterms:modified>
</cp:coreProperties>
</file>