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17078F" w:rsidRDefault="006A14BE" w:rsidP="00111588">
            <w:pPr>
              <w:rPr>
                <w:rFonts w:ascii="Arial" w:hAnsi="Arial" w:cs="Arial"/>
                <w:b/>
                <w:color w:val="002C47"/>
                <w:sz w:val="36"/>
                <w:szCs w:val="36"/>
              </w:rPr>
            </w:pPr>
            <w:r>
              <w:rPr>
                <w:rFonts w:ascii="Arial" w:hAnsi="Arial" w:cs="Arial"/>
                <w:b/>
                <w:color w:val="002C47"/>
                <w:sz w:val="36"/>
                <w:szCs w:val="36"/>
              </w:rPr>
              <w:t>Ju</w:t>
            </w:r>
            <w:r w:rsidR="00111588">
              <w:rPr>
                <w:rFonts w:ascii="Arial" w:hAnsi="Arial" w:cs="Arial"/>
                <w:b/>
                <w:color w:val="002C47"/>
                <w:sz w:val="36"/>
                <w:szCs w:val="36"/>
              </w:rPr>
              <w:t>ly</w:t>
            </w:r>
            <w:r w:rsidR="00E07ECC">
              <w:rPr>
                <w:rFonts w:ascii="Arial" w:hAnsi="Arial" w:cs="Arial"/>
                <w:b/>
                <w:color w:val="002C47"/>
                <w:sz w:val="36"/>
                <w:szCs w:val="36"/>
              </w:rPr>
              <w:t xml:space="preserve"> 201</w:t>
            </w:r>
            <w:r>
              <w:rPr>
                <w:rFonts w:ascii="Arial" w:hAnsi="Arial" w:cs="Arial"/>
                <w:b/>
                <w:color w:val="002C47"/>
                <w:sz w:val="36"/>
                <w:szCs w:val="36"/>
              </w:rPr>
              <w:t>3</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proofErr w:type="spellStart"/>
            <w:r>
              <w:rPr>
                <w:color w:val="FFFFFF" w:themeColor="background1"/>
              </w:rPr>
              <w:t>AusPAR</w:t>
            </w:r>
            <w:proofErr w:type="spellEnd"/>
            <w:r>
              <w:rPr>
                <w:color w:val="FFFFFF" w:themeColor="background1"/>
              </w:rPr>
              <w:t xml:space="preserve"> Attachment 2</w:t>
            </w:r>
          </w:p>
        </w:tc>
      </w:tr>
      <w:tr w:rsidR="00E07F15" w:rsidRPr="00A964D1" w:rsidTr="00E07F15">
        <w:trPr>
          <w:trHeight w:val="868"/>
        </w:trPr>
        <w:tc>
          <w:tcPr>
            <w:tcW w:w="9079" w:type="dxa"/>
          </w:tcPr>
          <w:p w:rsidR="00E07F15" w:rsidRPr="00E07ECC" w:rsidRDefault="00E07F15" w:rsidP="00E07ECC">
            <w:pPr>
              <w:pStyle w:val="Title"/>
              <w:rPr>
                <w:color w:val="FFFFFF" w:themeColor="background1"/>
              </w:rPr>
            </w:pPr>
            <w:r w:rsidRPr="00E07ECC">
              <w:rPr>
                <w:color w:val="FFFFFF" w:themeColor="background1"/>
              </w:rPr>
              <w:t>Extract from the Clinical Evaluation Report for</w:t>
            </w:r>
            <w:r w:rsidR="00E07ECC" w:rsidRPr="00E07ECC">
              <w:rPr>
                <w:rFonts w:cs="Arial"/>
                <w:spacing w:val="0"/>
                <w:kern w:val="16"/>
                <w:sz w:val="28"/>
                <w:szCs w:val="28"/>
                <w:lang w:eastAsia="en-AU"/>
              </w:rPr>
              <w:t xml:space="preserve"> </w:t>
            </w:r>
            <w:proofErr w:type="spellStart"/>
            <w:r w:rsidR="00E07ECC" w:rsidRPr="00E07ECC">
              <w:rPr>
                <w:color w:val="FFFFFF" w:themeColor="background1"/>
              </w:rPr>
              <w:t>Zonisamide</w:t>
            </w:r>
            <w:proofErr w:type="spellEnd"/>
          </w:p>
        </w:tc>
      </w:tr>
      <w:tr w:rsidR="00E07F15" w:rsidRPr="00B64760" w:rsidTr="00E07F15">
        <w:tc>
          <w:tcPr>
            <w:tcW w:w="9079" w:type="dxa"/>
          </w:tcPr>
          <w:p w:rsidR="00E07F15" w:rsidRPr="00E07ECC" w:rsidRDefault="00E07F15" w:rsidP="00E07F15">
            <w:pPr>
              <w:pStyle w:val="Subtitle"/>
              <w:rPr>
                <w:color w:val="FFFFFF" w:themeColor="background1"/>
              </w:rPr>
            </w:pPr>
            <w:r w:rsidRPr="00E07ECC">
              <w:rPr>
                <w:color w:val="FFFFFF" w:themeColor="background1"/>
              </w:rPr>
              <w:t>Proprietary Product Name:</w:t>
            </w:r>
            <w:r w:rsidR="003C2B8A">
              <w:rPr>
                <w:color w:val="FFFFFF" w:themeColor="background1"/>
              </w:rPr>
              <w:t xml:space="preserve"> </w:t>
            </w:r>
            <w:proofErr w:type="spellStart"/>
            <w:r w:rsidR="00E07ECC" w:rsidRPr="00E07ECC">
              <w:rPr>
                <w:color w:val="FFFFFF" w:themeColor="background1"/>
              </w:rPr>
              <w:t>Zonegran</w:t>
            </w:r>
            <w:proofErr w:type="spellEnd"/>
            <w:r w:rsidR="003C2B8A">
              <w:rPr>
                <w:color w:val="FFFFFF" w:themeColor="background1"/>
              </w:rPr>
              <w:t xml:space="preserve"> </w:t>
            </w:r>
          </w:p>
        </w:tc>
      </w:tr>
      <w:tr w:rsidR="00E07F15" w:rsidRPr="00B64760" w:rsidTr="00E07F15">
        <w:trPr>
          <w:trHeight w:val="486"/>
        </w:trPr>
        <w:tc>
          <w:tcPr>
            <w:tcW w:w="9079" w:type="dxa"/>
          </w:tcPr>
          <w:p w:rsidR="00E07F15" w:rsidRPr="00E07ECC" w:rsidRDefault="00E07F15" w:rsidP="00E07F15">
            <w:pPr>
              <w:pStyle w:val="Subtitle"/>
              <w:rPr>
                <w:color w:val="FFFFFF" w:themeColor="background1"/>
              </w:rPr>
            </w:pPr>
            <w:r w:rsidRPr="00E07ECC">
              <w:rPr>
                <w:color w:val="FFFFFF" w:themeColor="background1"/>
              </w:rPr>
              <w:t>Sponsor:</w:t>
            </w:r>
            <w:r w:rsidR="00E07ECC" w:rsidRPr="00E07ECC">
              <w:rPr>
                <w:rFonts w:cs="Arial"/>
                <w:bCs w:val="0"/>
                <w:iCs w:val="0"/>
                <w:kern w:val="16"/>
                <w:sz w:val="28"/>
                <w:szCs w:val="28"/>
                <w:lang w:eastAsia="en-AU"/>
              </w:rPr>
              <w:t xml:space="preserve"> </w:t>
            </w:r>
            <w:proofErr w:type="spellStart"/>
            <w:r w:rsidR="00E07ECC" w:rsidRPr="00E07ECC">
              <w:rPr>
                <w:color w:val="FFFFFF" w:themeColor="background1"/>
              </w:rPr>
              <w:t>SciGen</w:t>
            </w:r>
            <w:proofErr w:type="spellEnd"/>
            <w:r w:rsidR="00E07ECC" w:rsidRPr="00E07ECC">
              <w:rPr>
                <w:color w:val="FFFFFF" w:themeColor="background1"/>
              </w:rPr>
              <w:t xml:space="preserve"> (Australia)</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E07ECC">
      <w:pPr>
        <w:pStyle w:val="ListBullet"/>
        <w:numPr>
          <w:ilvl w:val="0"/>
          <w:numId w:val="1"/>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C811C0" w:rsidP="00E07ECC">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E07ECC">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E07ECC">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E07ECC">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E07ECC" w:rsidRDefault="003D0A3B" w:rsidP="00E07ECC">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FD4F49" w:rsidRDefault="00924482" w:rsidP="00FD4F49">
      <w:pPr>
        <w:pStyle w:val="ListBullet"/>
        <w:numPr>
          <w:ilvl w:val="0"/>
          <w:numId w:val="0"/>
        </w:numPr>
        <w:spacing w:before="4000"/>
        <w:rPr>
          <w:b/>
          <w:sz w:val="18"/>
          <w:szCs w:val="18"/>
        </w:rPr>
      </w:pPr>
      <w:r w:rsidRPr="00FD4F49">
        <w:rPr>
          <w:b/>
          <w:sz w:val="18"/>
          <w:szCs w:val="18"/>
        </w:rPr>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3C2B8A" w:rsidRDefault="00423552">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59237239" w:history="1">
            <w:r w:rsidR="003C2B8A" w:rsidRPr="00E55BDA">
              <w:rPr>
                <w:rStyle w:val="Hyperlink"/>
                <w:noProof/>
              </w:rPr>
              <w:t>List of abbreviations</w:t>
            </w:r>
            <w:r w:rsidR="003C2B8A">
              <w:rPr>
                <w:noProof/>
                <w:webHidden/>
              </w:rPr>
              <w:tab/>
            </w:r>
            <w:r>
              <w:rPr>
                <w:noProof/>
                <w:webHidden/>
              </w:rPr>
              <w:fldChar w:fldCharType="begin"/>
            </w:r>
            <w:r w:rsidR="003C2B8A">
              <w:rPr>
                <w:noProof/>
                <w:webHidden/>
              </w:rPr>
              <w:instrText xml:space="preserve"> PAGEREF _Toc359237239 \h </w:instrText>
            </w:r>
            <w:r>
              <w:rPr>
                <w:noProof/>
                <w:webHidden/>
              </w:rPr>
            </w:r>
            <w:r>
              <w:rPr>
                <w:noProof/>
                <w:webHidden/>
              </w:rPr>
              <w:fldChar w:fldCharType="separate"/>
            </w:r>
            <w:r w:rsidR="00720928">
              <w:rPr>
                <w:noProof/>
                <w:webHidden/>
              </w:rPr>
              <w:t>4</w:t>
            </w:r>
            <w:r>
              <w:rPr>
                <w:noProof/>
                <w:webHidden/>
              </w:rPr>
              <w:fldChar w:fldCharType="end"/>
            </w:r>
          </w:hyperlink>
        </w:p>
        <w:p w:rsidR="003C2B8A" w:rsidRDefault="00423552">
          <w:pPr>
            <w:pStyle w:val="TOC2"/>
            <w:tabs>
              <w:tab w:val="left" w:pos="1247"/>
            </w:tabs>
            <w:rPr>
              <w:rFonts w:asciiTheme="minorHAnsi" w:eastAsiaTheme="minorEastAsia" w:hAnsiTheme="minorHAnsi" w:cstheme="minorBidi"/>
              <w:b w:val="0"/>
              <w:noProof/>
              <w:sz w:val="22"/>
              <w:lang w:eastAsia="en-AU"/>
            </w:rPr>
          </w:pPr>
          <w:hyperlink w:anchor="_Toc359237240" w:history="1">
            <w:r w:rsidR="003C2B8A" w:rsidRPr="00E55BDA">
              <w:rPr>
                <w:rStyle w:val="Hyperlink"/>
                <w:noProof/>
                <w:lang w:eastAsia="en-AU"/>
              </w:rPr>
              <w:t>1.</w:t>
            </w:r>
            <w:r w:rsidR="003C2B8A">
              <w:rPr>
                <w:rFonts w:asciiTheme="minorHAnsi" w:eastAsiaTheme="minorEastAsia" w:hAnsiTheme="minorHAnsi" w:cstheme="minorBidi"/>
                <w:b w:val="0"/>
                <w:noProof/>
                <w:sz w:val="22"/>
                <w:lang w:eastAsia="en-AU"/>
              </w:rPr>
              <w:tab/>
            </w:r>
            <w:r w:rsidR="003C2B8A" w:rsidRPr="00E55BDA">
              <w:rPr>
                <w:rStyle w:val="Hyperlink"/>
                <w:noProof/>
                <w:lang w:eastAsia="en-AU"/>
              </w:rPr>
              <w:t>Clinical rationale</w:t>
            </w:r>
            <w:r w:rsidR="003C2B8A">
              <w:rPr>
                <w:noProof/>
                <w:webHidden/>
              </w:rPr>
              <w:tab/>
            </w:r>
            <w:r>
              <w:rPr>
                <w:noProof/>
                <w:webHidden/>
              </w:rPr>
              <w:fldChar w:fldCharType="begin"/>
            </w:r>
            <w:r w:rsidR="003C2B8A">
              <w:rPr>
                <w:noProof/>
                <w:webHidden/>
              </w:rPr>
              <w:instrText xml:space="preserve"> PAGEREF _Toc359237240 \h </w:instrText>
            </w:r>
            <w:r>
              <w:rPr>
                <w:noProof/>
                <w:webHidden/>
              </w:rPr>
            </w:r>
            <w:r>
              <w:rPr>
                <w:noProof/>
                <w:webHidden/>
              </w:rPr>
              <w:fldChar w:fldCharType="separate"/>
            </w:r>
            <w:r w:rsidR="00720928">
              <w:rPr>
                <w:noProof/>
                <w:webHidden/>
              </w:rPr>
              <w:t>5</w:t>
            </w:r>
            <w:r>
              <w:rPr>
                <w:noProof/>
                <w:webHidden/>
              </w:rPr>
              <w:fldChar w:fldCharType="end"/>
            </w:r>
          </w:hyperlink>
        </w:p>
        <w:p w:rsidR="003C2B8A" w:rsidRDefault="00423552">
          <w:pPr>
            <w:pStyle w:val="TOC2"/>
            <w:tabs>
              <w:tab w:val="left" w:pos="1247"/>
            </w:tabs>
            <w:rPr>
              <w:rFonts w:asciiTheme="minorHAnsi" w:eastAsiaTheme="minorEastAsia" w:hAnsiTheme="minorHAnsi" w:cstheme="minorBidi"/>
              <w:b w:val="0"/>
              <w:noProof/>
              <w:sz w:val="22"/>
              <w:lang w:eastAsia="en-AU"/>
            </w:rPr>
          </w:pPr>
          <w:hyperlink w:anchor="_Toc359237241" w:history="1">
            <w:r w:rsidR="003C2B8A" w:rsidRPr="00E55BDA">
              <w:rPr>
                <w:rStyle w:val="Hyperlink"/>
                <w:noProof/>
                <w:lang w:eastAsia="en-AU"/>
              </w:rPr>
              <w:t>2.</w:t>
            </w:r>
            <w:r w:rsidR="003C2B8A">
              <w:rPr>
                <w:rFonts w:asciiTheme="minorHAnsi" w:eastAsiaTheme="minorEastAsia" w:hAnsiTheme="minorHAnsi" w:cstheme="minorBidi"/>
                <w:b w:val="0"/>
                <w:noProof/>
                <w:sz w:val="22"/>
                <w:lang w:eastAsia="en-AU"/>
              </w:rPr>
              <w:tab/>
            </w:r>
            <w:r w:rsidR="003C2B8A" w:rsidRPr="00E55BDA">
              <w:rPr>
                <w:rStyle w:val="Hyperlink"/>
                <w:noProof/>
                <w:lang w:eastAsia="en-AU"/>
              </w:rPr>
              <w:t>Contents of the clinical dossier</w:t>
            </w:r>
            <w:r w:rsidR="003C2B8A">
              <w:rPr>
                <w:noProof/>
                <w:webHidden/>
              </w:rPr>
              <w:tab/>
            </w:r>
            <w:r>
              <w:rPr>
                <w:noProof/>
                <w:webHidden/>
              </w:rPr>
              <w:fldChar w:fldCharType="begin"/>
            </w:r>
            <w:r w:rsidR="003C2B8A">
              <w:rPr>
                <w:noProof/>
                <w:webHidden/>
              </w:rPr>
              <w:instrText xml:space="preserve"> PAGEREF _Toc359237241 \h </w:instrText>
            </w:r>
            <w:r>
              <w:rPr>
                <w:noProof/>
                <w:webHidden/>
              </w:rPr>
            </w:r>
            <w:r>
              <w:rPr>
                <w:noProof/>
                <w:webHidden/>
              </w:rPr>
              <w:fldChar w:fldCharType="separate"/>
            </w:r>
            <w:r w:rsidR="00720928">
              <w:rPr>
                <w:noProof/>
                <w:webHidden/>
              </w:rPr>
              <w:t>5</w:t>
            </w:r>
            <w:r>
              <w:rPr>
                <w:noProof/>
                <w:webHidden/>
              </w:rPr>
              <w:fldChar w:fldCharType="end"/>
            </w:r>
          </w:hyperlink>
        </w:p>
        <w:p w:rsidR="003C2B8A" w:rsidRDefault="00423552">
          <w:pPr>
            <w:pStyle w:val="TOC3"/>
            <w:tabs>
              <w:tab w:val="left" w:pos="1680"/>
            </w:tabs>
            <w:rPr>
              <w:rFonts w:asciiTheme="minorHAnsi" w:eastAsiaTheme="minorEastAsia" w:hAnsiTheme="minorHAnsi" w:cstheme="minorBidi"/>
              <w:noProof/>
              <w:lang w:eastAsia="en-AU"/>
            </w:rPr>
          </w:pPr>
          <w:hyperlink w:anchor="_Toc359237242" w:history="1">
            <w:r w:rsidR="003C2B8A" w:rsidRPr="00E55BDA">
              <w:rPr>
                <w:rStyle w:val="Hyperlink"/>
                <w:noProof/>
              </w:rPr>
              <w:t>2.1.</w:t>
            </w:r>
            <w:r w:rsidR="003C2B8A">
              <w:rPr>
                <w:rFonts w:asciiTheme="minorHAnsi" w:eastAsiaTheme="minorEastAsia" w:hAnsiTheme="minorHAnsi" w:cstheme="minorBidi"/>
                <w:noProof/>
                <w:lang w:eastAsia="en-AU"/>
              </w:rPr>
              <w:tab/>
            </w:r>
            <w:r w:rsidR="003C2B8A" w:rsidRPr="00E55BDA">
              <w:rPr>
                <w:rStyle w:val="Hyperlink"/>
                <w:noProof/>
              </w:rPr>
              <w:t>Scope of the clinical dossier</w:t>
            </w:r>
            <w:r w:rsidR="003C2B8A">
              <w:rPr>
                <w:noProof/>
                <w:webHidden/>
              </w:rPr>
              <w:tab/>
            </w:r>
            <w:r>
              <w:rPr>
                <w:noProof/>
                <w:webHidden/>
              </w:rPr>
              <w:fldChar w:fldCharType="begin"/>
            </w:r>
            <w:r w:rsidR="003C2B8A">
              <w:rPr>
                <w:noProof/>
                <w:webHidden/>
              </w:rPr>
              <w:instrText xml:space="preserve"> PAGEREF _Toc359237242 \h </w:instrText>
            </w:r>
            <w:r>
              <w:rPr>
                <w:noProof/>
                <w:webHidden/>
              </w:rPr>
            </w:r>
            <w:r>
              <w:rPr>
                <w:noProof/>
                <w:webHidden/>
              </w:rPr>
              <w:fldChar w:fldCharType="separate"/>
            </w:r>
            <w:r w:rsidR="00720928">
              <w:rPr>
                <w:noProof/>
                <w:webHidden/>
              </w:rPr>
              <w:t>5</w:t>
            </w:r>
            <w:r>
              <w:rPr>
                <w:noProof/>
                <w:webHidden/>
              </w:rPr>
              <w:fldChar w:fldCharType="end"/>
            </w:r>
          </w:hyperlink>
        </w:p>
        <w:p w:rsidR="003C2B8A" w:rsidRDefault="00423552">
          <w:pPr>
            <w:pStyle w:val="TOC3"/>
            <w:tabs>
              <w:tab w:val="left" w:pos="1680"/>
            </w:tabs>
            <w:rPr>
              <w:rFonts w:asciiTheme="minorHAnsi" w:eastAsiaTheme="minorEastAsia" w:hAnsiTheme="minorHAnsi" w:cstheme="minorBidi"/>
              <w:noProof/>
              <w:lang w:eastAsia="en-AU"/>
            </w:rPr>
          </w:pPr>
          <w:hyperlink w:anchor="_Toc359237243" w:history="1">
            <w:r w:rsidR="003C2B8A" w:rsidRPr="00E55BDA">
              <w:rPr>
                <w:rStyle w:val="Hyperlink"/>
                <w:noProof/>
              </w:rPr>
              <w:t>2.2.</w:t>
            </w:r>
            <w:r w:rsidR="003C2B8A">
              <w:rPr>
                <w:rFonts w:asciiTheme="minorHAnsi" w:eastAsiaTheme="minorEastAsia" w:hAnsiTheme="minorHAnsi" w:cstheme="minorBidi"/>
                <w:noProof/>
                <w:lang w:eastAsia="en-AU"/>
              </w:rPr>
              <w:tab/>
            </w:r>
            <w:r w:rsidR="003C2B8A" w:rsidRPr="00E55BDA">
              <w:rPr>
                <w:rStyle w:val="Hyperlink"/>
                <w:noProof/>
              </w:rPr>
              <w:t>Paediatric data</w:t>
            </w:r>
            <w:r w:rsidR="003C2B8A">
              <w:rPr>
                <w:noProof/>
                <w:webHidden/>
              </w:rPr>
              <w:tab/>
            </w:r>
            <w:r>
              <w:rPr>
                <w:noProof/>
                <w:webHidden/>
              </w:rPr>
              <w:fldChar w:fldCharType="begin"/>
            </w:r>
            <w:r w:rsidR="003C2B8A">
              <w:rPr>
                <w:noProof/>
                <w:webHidden/>
              </w:rPr>
              <w:instrText xml:space="preserve"> PAGEREF _Toc359237243 \h </w:instrText>
            </w:r>
            <w:r>
              <w:rPr>
                <w:noProof/>
                <w:webHidden/>
              </w:rPr>
            </w:r>
            <w:r>
              <w:rPr>
                <w:noProof/>
                <w:webHidden/>
              </w:rPr>
              <w:fldChar w:fldCharType="separate"/>
            </w:r>
            <w:r w:rsidR="00720928">
              <w:rPr>
                <w:noProof/>
                <w:webHidden/>
              </w:rPr>
              <w:t>5</w:t>
            </w:r>
            <w:r>
              <w:rPr>
                <w:noProof/>
                <w:webHidden/>
              </w:rPr>
              <w:fldChar w:fldCharType="end"/>
            </w:r>
          </w:hyperlink>
        </w:p>
        <w:p w:rsidR="003C2B8A" w:rsidRDefault="00423552">
          <w:pPr>
            <w:pStyle w:val="TOC3"/>
            <w:rPr>
              <w:rFonts w:asciiTheme="minorHAnsi" w:eastAsiaTheme="minorEastAsia" w:hAnsiTheme="minorHAnsi" w:cstheme="minorBidi"/>
              <w:noProof/>
              <w:lang w:eastAsia="en-AU"/>
            </w:rPr>
          </w:pPr>
          <w:hyperlink w:anchor="_Toc359237244" w:history="1">
            <w:r w:rsidR="003C2B8A" w:rsidRPr="00E55BDA">
              <w:rPr>
                <w:rStyle w:val="Hyperlink"/>
                <w:noProof/>
              </w:rPr>
              <w:t>The submission did not include paediatric data.</w:t>
            </w:r>
            <w:r w:rsidR="003C2B8A">
              <w:rPr>
                <w:noProof/>
                <w:webHidden/>
              </w:rPr>
              <w:tab/>
            </w:r>
            <w:r>
              <w:rPr>
                <w:noProof/>
                <w:webHidden/>
              </w:rPr>
              <w:fldChar w:fldCharType="begin"/>
            </w:r>
            <w:r w:rsidR="003C2B8A">
              <w:rPr>
                <w:noProof/>
                <w:webHidden/>
              </w:rPr>
              <w:instrText xml:space="preserve"> PAGEREF _Toc359237244 \h </w:instrText>
            </w:r>
            <w:r>
              <w:rPr>
                <w:noProof/>
                <w:webHidden/>
              </w:rPr>
            </w:r>
            <w:r>
              <w:rPr>
                <w:noProof/>
                <w:webHidden/>
              </w:rPr>
              <w:fldChar w:fldCharType="separate"/>
            </w:r>
            <w:r w:rsidR="00720928">
              <w:rPr>
                <w:noProof/>
                <w:webHidden/>
              </w:rPr>
              <w:t>5</w:t>
            </w:r>
            <w:r>
              <w:rPr>
                <w:noProof/>
                <w:webHidden/>
              </w:rPr>
              <w:fldChar w:fldCharType="end"/>
            </w:r>
          </w:hyperlink>
        </w:p>
        <w:p w:rsidR="003C2B8A" w:rsidRDefault="00423552">
          <w:pPr>
            <w:pStyle w:val="TOC3"/>
            <w:tabs>
              <w:tab w:val="left" w:pos="1680"/>
            </w:tabs>
            <w:rPr>
              <w:rFonts w:asciiTheme="minorHAnsi" w:eastAsiaTheme="minorEastAsia" w:hAnsiTheme="minorHAnsi" w:cstheme="minorBidi"/>
              <w:noProof/>
              <w:lang w:eastAsia="en-AU"/>
            </w:rPr>
          </w:pPr>
          <w:hyperlink w:anchor="_Toc359237245" w:history="1">
            <w:r w:rsidR="003C2B8A" w:rsidRPr="00E55BDA">
              <w:rPr>
                <w:rStyle w:val="Hyperlink"/>
                <w:noProof/>
              </w:rPr>
              <w:t>2.3.</w:t>
            </w:r>
            <w:r w:rsidR="003C2B8A">
              <w:rPr>
                <w:rFonts w:asciiTheme="minorHAnsi" w:eastAsiaTheme="minorEastAsia" w:hAnsiTheme="minorHAnsi" w:cstheme="minorBidi"/>
                <w:noProof/>
                <w:lang w:eastAsia="en-AU"/>
              </w:rPr>
              <w:tab/>
            </w:r>
            <w:r w:rsidR="003C2B8A" w:rsidRPr="00E55BDA">
              <w:rPr>
                <w:rStyle w:val="Hyperlink"/>
                <w:noProof/>
              </w:rPr>
              <w:t>Good clinical practice</w:t>
            </w:r>
            <w:r w:rsidR="003C2B8A">
              <w:rPr>
                <w:noProof/>
                <w:webHidden/>
              </w:rPr>
              <w:tab/>
            </w:r>
            <w:r>
              <w:rPr>
                <w:noProof/>
                <w:webHidden/>
              </w:rPr>
              <w:fldChar w:fldCharType="begin"/>
            </w:r>
            <w:r w:rsidR="003C2B8A">
              <w:rPr>
                <w:noProof/>
                <w:webHidden/>
              </w:rPr>
              <w:instrText xml:space="preserve"> PAGEREF _Toc359237245 \h </w:instrText>
            </w:r>
            <w:r>
              <w:rPr>
                <w:noProof/>
                <w:webHidden/>
              </w:rPr>
            </w:r>
            <w:r>
              <w:rPr>
                <w:noProof/>
                <w:webHidden/>
              </w:rPr>
              <w:fldChar w:fldCharType="separate"/>
            </w:r>
            <w:r w:rsidR="00720928">
              <w:rPr>
                <w:noProof/>
                <w:webHidden/>
              </w:rPr>
              <w:t>5</w:t>
            </w:r>
            <w:r>
              <w:rPr>
                <w:noProof/>
                <w:webHidden/>
              </w:rPr>
              <w:fldChar w:fldCharType="end"/>
            </w:r>
          </w:hyperlink>
        </w:p>
        <w:p w:rsidR="003C2B8A" w:rsidRDefault="00423552">
          <w:pPr>
            <w:pStyle w:val="TOC2"/>
            <w:tabs>
              <w:tab w:val="left" w:pos="1247"/>
            </w:tabs>
            <w:rPr>
              <w:rFonts w:asciiTheme="minorHAnsi" w:eastAsiaTheme="minorEastAsia" w:hAnsiTheme="minorHAnsi" w:cstheme="minorBidi"/>
              <w:b w:val="0"/>
              <w:noProof/>
              <w:sz w:val="22"/>
              <w:lang w:eastAsia="en-AU"/>
            </w:rPr>
          </w:pPr>
          <w:hyperlink w:anchor="_Toc359237246" w:history="1">
            <w:r w:rsidR="003C2B8A" w:rsidRPr="00E55BDA">
              <w:rPr>
                <w:rStyle w:val="Hyperlink"/>
                <w:noProof/>
              </w:rPr>
              <w:t>3.</w:t>
            </w:r>
            <w:r w:rsidR="003C2B8A">
              <w:rPr>
                <w:rFonts w:asciiTheme="minorHAnsi" w:eastAsiaTheme="minorEastAsia" w:hAnsiTheme="minorHAnsi" w:cstheme="minorBidi"/>
                <w:b w:val="0"/>
                <w:noProof/>
                <w:sz w:val="22"/>
                <w:lang w:eastAsia="en-AU"/>
              </w:rPr>
              <w:tab/>
            </w:r>
            <w:r w:rsidR="003C2B8A" w:rsidRPr="00E55BDA">
              <w:rPr>
                <w:rStyle w:val="Hyperlink"/>
                <w:noProof/>
              </w:rPr>
              <w:t>Pharmacokinetics</w:t>
            </w:r>
            <w:r w:rsidR="003C2B8A">
              <w:rPr>
                <w:noProof/>
                <w:webHidden/>
              </w:rPr>
              <w:tab/>
            </w:r>
            <w:r>
              <w:rPr>
                <w:noProof/>
                <w:webHidden/>
              </w:rPr>
              <w:fldChar w:fldCharType="begin"/>
            </w:r>
            <w:r w:rsidR="003C2B8A">
              <w:rPr>
                <w:noProof/>
                <w:webHidden/>
              </w:rPr>
              <w:instrText xml:space="preserve"> PAGEREF _Toc359237246 \h </w:instrText>
            </w:r>
            <w:r>
              <w:rPr>
                <w:noProof/>
                <w:webHidden/>
              </w:rPr>
            </w:r>
            <w:r>
              <w:rPr>
                <w:noProof/>
                <w:webHidden/>
              </w:rPr>
              <w:fldChar w:fldCharType="separate"/>
            </w:r>
            <w:r w:rsidR="00720928">
              <w:rPr>
                <w:noProof/>
                <w:webHidden/>
              </w:rPr>
              <w:t>6</w:t>
            </w:r>
            <w:r>
              <w:rPr>
                <w:noProof/>
                <w:webHidden/>
              </w:rPr>
              <w:fldChar w:fldCharType="end"/>
            </w:r>
          </w:hyperlink>
        </w:p>
        <w:p w:rsidR="003C2B8A" w:rsidRDefault="00423552">
          <w:pPr>
            <w:pStyle w:val="TOC3"/>
            <w:tabs>
              <w:tab w:val="left" w:pos="1680"/>
            </w:tabs>
            <w:rPr>
              <w:rFonts w:asciiTheme="minorHAnsi" w:eastAsiaTheme="minorEastAsia" w:hAnsiTheme="minorHAnsi" w:cstheme="minorBidi"/>
              <w:noProof/>
              <w:lang w:eastAsia="en-AU"/>
            </w:rPr>
          </w:pPr>
          <w:hyperlink w:anchor="_Toc359237247" w:history="1">
            <w:r w:rsidR="003C2B8A" w:rsidRPr="00E55BDA">
              <w:rPr>
                <w:rStyle w:val="Hyperlink"/>
                <w:noProof/>
              </w:rPr>
              <w:t>3.1.</w:t>
            </w:r>
            <w:r w:rsidR="003C2B8A">
              <w:rPr>
                <w:rFonts w:asciiTheme="minorHAnsi" w:eastAsiaTheme="minorEastAsia" w:hAnsiTheme="minorHAnsi" w:cstheme="minorBidi"/>
                <w:noProof/>
                <w:lang w:eastAsia="en-AU"/>
              </w:rPr>
              <w:tab/>
            </w:r>
            <w:r w:rsidR="003C2B8A" w:rsidRPr="00E55BDA">
              <w:rPr>
                <w:rStyle w:val="Hyperlink"/>
                <w:noProof/>
              </w:rPr>
              <w:t>Study ELN46046-108</w:t>
            </w:r>
            <w:r w:rsidR="003C2B8A">
              <w:rPr>
                <w:noProof/>
                <w:webHidden/>
              </w:rPr>
              <w:tab/>
            </w:r>
            <w:r>
              <w:rPr>
                <w:noProof/>
                <w:webHidden/>
              </w:rPr>
              <w:fldChar w:fldCharType="begin"/>
            </w:r>
            <w:r w:rsidR="003C2B8A">
              <w:rPr>
                <w:noProof/>
                <w:webHidden/>
              </w:rPr>
              <w:instrText xml:space="preserve"> PAGEREF _Toc359237247 \h </w:instrText>
            </w:r>
            <w:r>
              <w:rPr>
                <w:noProof/>
                <w:webHidden/>
              </w:rPr>
            </w:r>
            <w:r>
              <w:rPr>
                <w:noProof/>
                <w:webHidden/>
              </w:rPr>
              <w:fldChar w:fldCharType="separate"/>
            </w:r>
            <w:r w:rsidR="00720928">
              <w:rPr>
                <w:noProof/>
                <w:webHidden/>
              </w:rPr>
              <w:t>6</w:t>
            </w:r>
            <w:r>
              <w:rPr>
                <w:noProof/>
                <w:webHidden/>
              </w:rPr>
              <w:fldChar w:fldCharType="end"/>
            </w:r>
          </w:hyperlink>
        </w:p>
        <w:p w:rsidR="003C2B8A" w:rsidRDefault="00423552">
          <w:pPr>
            <w:pStyle w:val="TOC3"/>
            <w:tabs>
              <w:tab w:val="left" w:pos="1680"/>
            </w:tabs>
            <w:rPr>
              <w:rFonts w:asciiTheme="minorHAnsi" w:eastAsiaTheme="minorEastAsia" w:hAnsiTheme="minorHAnsi" w:cstheme="minorBidi"/>
              <w:noProof/>
              <w:lang w:eastAsia="en-AU"/>
            </w:rPr>
          </w:pPr>
          <w:hyperlink w:anchor="_Toc359237248" w:history="1">
            <w:r w:rsidR="003C2B8A" w:rsidRPr="00E55BDA">
              <w:rPr>
                <w:rStyle w:val="Hyperlink"/>
                <w:noProof/>
              </w:rPr>
              <w:t>3.2.</w:t>
            </w:r>
            <w:r w:rsidR="003C2B8A">
              <w:rPr>
                <w:rFonts w:asciiTheme="minorHAnsi" w:eastAsiaTheme="minorEastAsia" w:hAnsiTheme="minorHAnsi" w:cstheme="minorBidi"/>
                <w:noProof/>
                <w:lang w:eastAsia="en-AU"/>
              </w:rPr>
              <w:tab/>
            </w:r>
            <w:r w:rsidR="003C2B8A" w:rsidRPr="00E55BDA">
              <w:rPr>
                <w:rStyle w:val="Hyperlink"/>
                <w:noProof/>
              </w:rPr>
              <w:t>Summary of pharmacokinetics</w:t>
            </w:r>
            <w:r w:rsidR="003C2B8A">
              <w:rPr>
                <w:noProof/>
                <w:webHidden/>
              </w:rPr>
              <w:tab/>
            </w:r>
            <w:r>
              <w:rPr>
                <w:noProof/>
                <w:webHidden/>
              </w:rPr>
              <w:fldChar w:fldCharType="begin"/>
            </w:r>
            <w:r w:rsidR="003C2B8A">
              <w:rPr>
                <w:noProof/>
                <w:webHidden/>
              </w:rPr>
              <w:instrText xml:space="preserve"> PAGEREF _Toc359237248 \h </w:instrText>
            </w:r>
            <w:r>
              <w:rPr>
                <w:noProof/>
                <w:webHidden/>
              </w:rPr>
            </w:r>
            <w:r>
              <w:rPr>
                <w:noProof/>
                <w:webHidden/>
              </w:rPr>
              <w:fldChar w:fldCharType="separate"/>
            </w:r>
            <w:r w:rsidR="00720928">
              <w:rPr>
                <w:noProof/>
                <w:webHidden/>
              </w:rPr>
              <w:t>9</w:t>
            </w:r>
            <w:r>
              <w:rPr>
                <w:noProof/>
                <w:webHidden/>
              </w:rPr>
              <w:fldChar w:fldCharType="end"/>
            </w:r>
          </w:hyperlink>
        </w:p>
        <w:p w:rsidR="003C2B8A" w:rsidRDefault="00423552">
          <w:pPr>
            <w:pStyle w:val="TOC3"/>
            <w:tabs>
              <w:tab w:val="left" w:pos="1680"/>
            </w:tabs>
            <w:rPr>
              <w:rFonts w:asciiTheme="minorHAnsi" w:eastAsiaTheme="minorEastAsia" w:hAnsiTheme="minorHAnsi" w:cstheme="minorBidi"/>
              <w:noProof/>
              <w:lang w:eastAsia="en-AU"/>
            </w:rPr>
          </w:pPr>
          <w:hyperlink w:anchor="_Toc359237249" w:history="1">
            <w:r w:rsidR="003C2B8A" w:rsidRPr="00E55BDA">
              <w:rPr>
                <w:rStyle w:val="Hyperlink"/>
                <w:noProof/>
              </w:rPr>
              <w:t>3.3.</w:t>
            </w:r>
            <w:r w:rsidR="003C2B8A">
              <w:rPr>
                <w:rFonts w:asciiTheme="minorHAnsi" w:eastAsiaTheme="minorEastAsia" w:hAnsiTheme="minorHAnsi" w:cstheme="minorBidi"/>
                <w:noProof/>
                <w:lang w:eastAsia="en-AU"/>
              </w:rPr>
              <w:tab/>
            </w:r>
            <w:r w:rsidR="003C2B8A" w:rsidRPr="00E55BDA">
              <w:rPr>
                <w:rStyle w:val="Hyperlink"/>
                <w:noProof/>
              </w:rPr>
              <w:t>Evaluator’s overall conclusions on pharmacokinetics</w:t>
            </w:r>
            <w:r w:rsidR="003C2B8A">
              <w:rPr>
                <w:noProof/>
                <w:webHidden/>
              </w:rPr>
              <w:tab/>
            </w:r>
            <w:r>
              <w:rPr>
                <w:noProof/>
                <w:webHidden/>
              </w:rPr>
              <w:fldChar w:fldCharType="begin"/>
            </w:r>
            <w:r w:rsidR="003C2B8A">
              <w:rPr>
                <w:noProof/>
                <w:webHidden/>
              </w:rPr>
              <w:instrText xml:space="preserve"> PAGEREF _Toc359237249 \h </w:instrText>
            </w:r>
            <w:r>
              <w:rPr>
                <w:noProof/>
                <w:webHidden/>
              </w:rPr>
            </w:r>
            <w:r>
              <w:rPr>
                <w:noProof/>
                <w:webHidden/>
              </w:rPr>
              <w:fldChar w:fldCharType="separate"/>
            </w:r>
            <w:r w:rsidR="00720928">
              <w:rPr>
                <w:noProof/>
                <w:webHidden/>
              </w:rPr>
              <w:t>10</w:t>
            </w:r>
            <w:r>
              <w:rPr>
                <w:noProof/>
                <w:webHidden/>
              </w:rPr>
              <w:fldChar w:fldCharType="end"/>
            </w:r>
          </w:hyperlink>
        </w:p>
        <w:p w:rsidR="003C2B8A" w:rsidRDefault="00423552">
          <w:pPr>
            <w:pStyle w:val="TOC2"/>
            <w:tabs>
              <w:tab w:val="left" w:pos="1247"/>
            </w:tabs>
            <w:rPr>
              <w:rFonts w:asciiTheme="minorHAnsi" w:eastAsiaTheme="minorEastAsia" w:hAnsiTheme="minorHAnsi" w:cstheme="minorBidi"/>
              <w:b w:val="0"/>
              <w:noProof/>
              <w:sz w:val="22"/>
              <w:lang w:eastAsia="en-AU"/>
            </w:rPr>
          </w:pPr>
          <w:hyperlink w:anchor="_Toc359237250" w:history="1">
            <w:r w:rsidR="003C2B8A" w:rsidRPr="00E55BDA">
              <w:rPr>
                <w:rStyle w:val="Hyperlink"/>
                <w:noProof/>
              </w:rPr>
              <w:t>4.</w:t>
            </w:r>
            <w:r w:rsidR="003C2B8A">
              <w:rPr>
                <w:rFonts w:asciiTheme="minorHAnsi" w:eastAsiaTheme="minorEastAsia" w:hAnsiTheme="minorHAnsi" w:cstheme="minorBidi"/>
                <w:b w:val="0"/>
                <w:noProof/>
                <w:sz w:val="22"/>
                <w:lang w:eastAsia="en-AU"/>
              </w:rPr>
              <w:tab/>
            </w:r>
            <w:r w:rsidR="003C2B8A" w:rsidRPr="00E55BDA">
              <w:rPr>
                <w:rStyle w:val="Hyperlink"/>
                <w:noProof/>
              </w:rPr>
              <w:t>Pharmacodynamics</w:t>
            </w:r>
            <w:r w:rsidR="003C2B8A">
              <w:rPr>
                <w:noProof/>
                <w:webHidden/>
              </w:rPr>
              <w:tab/>
            </w:r>
            <w:r>
              <w:rPr>
                <w:noProof/>
                <w:webHidden/>
              </w:rPr>
              <w:fldChar w:fldCharType="begin"/>
            </w:r>
            <w:r w:rsidR="003C2B8A">
              <w:rPr>
                <w:noProof/>
                <w:webHidden/>
              </w:rPr>
              <w:instrText xml:space="preserve"> PAGEREF _Toc359237250 \h </w:instrText>
            </w:r>
            <w:r>
              <w:rPr>
                <w:noProof/>
                <w:webHidden/>
              </w:rPr>
            </w:r>
            <w:r>
              <w:rPr>
                <w:noProof/>
                <w:webHidden/>
              </w:rPr>
              <w:fldChar w:fldCharType="separate"/>
            </w:r>
            <w:r w:rsidR="00720928">
              <w:rPr>
                <w:noProof/>
                <w:webHidden/>
              </w:rPr>
              <w:t>10</w:t>
            </w:r>
            <w:r>
              <w:rPr>
                <w:noProof/>
                <w:webHidden/>
              </w:rPr>
              <w:fldChar w:fldCharType="end"/>
            </w:r>
          </w:hyperlink>
        </w:p>
        <w:p w:rsidR="003C2B8A" w:rsidRDefault="00423552">
          <w:pPr>
            <w:pStyle w:val="TOC2"/>
            <w:tabs>
              <w:tab w:val="left" w:pos="1247"/>
            </w:tabs>
            <w:rPr>
              <w:rFonts w:asciiTheme="minorHAnsi" w:eastAsiaTheme="minorEastAsia" w:hAnsiTheme="minorHAnsi" w:cstheme="minorBidi"/>
              <w:b w:val="0"/>
              <w:noProof/>
              <w:sz w:val="22"/>
              <w:lang w:eastAsia="en-AU"/>
            </w:rPr>
          </w:pPr>
          <w:hyperlink w:anchor="_Toc359237251" w:history="1">
            <w:r w:rsidR="003C2B8A" w:rsidRPr="00E55BDA">
              <w:rPr>
                <w:rStyle w:val="Hyperlink"/>
                <w:noProof/>
              </w:rPr>
              <w:t>5.</w:t>
            </w:r>
            <w:r w:rsidR="003C2B8A">
              <w:rPr>
                <w:rFonts w:asciiTheme="minorHAnsi" w:eastAsiaTheme="minorEastAsia" w:hAnsiTheme="minorHAnsi" w:cstheme="minorBidi"/>
                <w:b w:val="0"/>
                <w:noProof/>
                <w:sz w:val="22"/>
                <w:lang w:eastAsia="en-AU"/>
              </w:rPr>
              <w:tab/>
            </w:r>
            <w:r w:rsidR="003C2B8A" w:rsidRPr="00E55BDA">
              <w:rPr>
                <w:rStyle w:val="Hyperlink"/>
                <w:noProof/>
              </w:rPr>
              <w:t>Dosage selection for the pivotal studies</w:t>
            </w:r>
            <w:r w:rsidR="003C2B8A">
              <w:rPr>
                <w:noProof/>
                <w:webHidden/>
              </w:rPr>
              <w:tab/>
            </w:r>
            <w:r>
              <w:rPr>
                <w:noProof/>
                <w:webHidden/>
              </w:rPr>
              <w:fldChar w:fldCharType="begin"/>
            </w:r>
            <w:r w:rsidR="003C2B8A">
              <w:rPr>
                <w:noProof/>
                <w:webHidden/>
              </w:rPr>
              <w:instrText xml:space="preserve"> PAGEREF _Toc359237251 \h </w:instrText>
            </w:r>
            <w:r>
              <w:rPr>
                <w:noProof/>
                <w:webHidden/>
              </w:rPr>
            </w:r>
            <w:r>
              <w:rPr>
                <w:noProof/>
                <w:webHidden/>
              </w:rPr>
              <w:fldChar w:fldCharType="separate"/>
            </w:r>
            <w:r w:rsidR="00720928">
              <w:rPr>
                <w:noProof/>
                <w:webHidden/>
              </w:rPr>
              <w:t>10</w:t>
            </w:r>
            <w:r>
              <w:rPr>
                <w:noProof/>
                <w:webHidden/>
              </w:rPr>
              <w:fldChar w:fldCharType="end"/>
            </w:r>
          </w:hyperlink>
        </w:p>
        <w:p w:rsidR="003C2B8A" w:rsidRDefault="00423552">
          <w:pPr>
            <w:pStyle w:val="TOC2"/>
            <w:tabs>
              <w:tab w:val="left" w:pos="1247"/>
            </w:tabs>
            <w:rPr>
              <w:rFonts w:asciiTheme="minorHAnsi" w:eastAsiaTheme="minorEastAsia" w:hAnsiTheme="minorHAnsi" w:cstheme="minorBidi"/>
              <w:b w:val="0"/>
              <w:noProof/>
              <w:sz w:val="22"/>
              <w:lang w:eastAsia="en-AU"/>
            </w:rPr>
          </w:pPr>
          <w:hyperlink w:anchor="_Toc359237252" w:history="1">
            <w:r w:rsidR="003C2B8A" w:rsidRPr="00E55BDA">
              <w:rPr>
                <w:rStyle w:val="Hyperlink"/>
                <w:noProof/>
              </w:rPr>
              <w:t>6.</w:t>
            </w:r>
            <w:r w:rsidR="003C2B8A">
              <w:rPr>
                <w:rFonts w:asciiTheme="minorHAnsi" w:eastAsiaTheme="minorEastAsia" w:hAnsiTheme="minorHAnsi" w:cstheme="minorBidi"/>
                <w:b w:val="0"/>
                <w:noProof/>
                <w:sz w:val="22"/>
                <w:lang w:eastAsia="en-AU"/>
              </w:rPr>
              <w:tab/>
            </w:r>
            <w:r w:rsidR="003C2B8A" w:rsidRPr="00E55BDA">
              <w:rPr>
                <w:rStyle w:val="Hyperlink"/>
                <w:noProof/>
              </w:rPr>
              <w:t>Clinical efficacy</w:t>
            </w:r>
            <w:r w:rsidR="003C2B8A">
              <w:rPr>
                <w:noProof/>
                <w:webHidden/>
              </w:rPr>
              <w:tab/>
            </w:r>
            <w:r>
              <w:rPr>
                <w:noProof/>
                <w:webHidden/>
              </w:rPr>
              <w:fldChar w:fldCharType="begin"/>
            </w:r>
            <w:r w:rsidR="003C2B8A">
              <w:rPr>
                <w:noProof/>
                <w:webHidden/>
              </w:rPr>
              <w:instrText xml:space="preserve"> PAGEREF _Toc359237252 \h </w:instrText>
            </w:r>
            <w:r>
              <w:rPr>
                <w:noProof/>
                <w:webHidden/>
              </w:rPr>
            </w:r>
            <w:r>
              <w:rPr>
                <w:noProof/>
                <w:webHidden/>
              </w:rPr>
              <w:fldChar w:fldCharType="separate"/>
            </w:r>
            <w:r w:rsidR="00720928">
              <w:rPr>
                <w:noProof/>
                <w:webHidden/>
              </w:rPr>
              <w:t>11</w:t>
            </w:r>
            <w:r>
              <w:rPr>
                <w:noProof/>
                <w:webHidden/>
              </w:rPr>
              <w:fldChar w:fldCharType="end"/>
            </w:r>
          </w:hyperlink>
        </w:p>
        <w:p w:rsidR="003C2B8A" w:rsidRDefault="00423552">
          <w:pPr>
            <w:pStyle w:val="TOC3"/>
            <w:tabs>
              <w:tab w:val="left" w:pos="1680"/>
            </w:tabs>
            <w:rPr>
              <w:rFonts w:asciiTheme="minorHAnsi" w:eastAsiaTheme="minorEastAsia" w:hAnsiTheme="minorHAnsi" w:cstheme="minorBidi"/>
              <w:noProof/>
              <w:lang w:eastAsia="en-AU"/>
            </w:rPr>
          </w:pPr>
          <w:hyperlink w:anchor="_Toc359237253" w:history="1">
            <w:r w:rsidR="003C2B8A" w:rsidRPr="00E55BDA">
              <w:rPr>
                <w:rStyle w:val="Hyperlink"/>
                <w:noProof/>
              </w:rPr>
              <w:t>6.1.</w:t>
            </w:r>
            <w:r w:rsidR="003C2B8A">
              <w:rPr>
                <w:rFonts w:asciiTheme="minorHAnsi" w:eastAsiaTheme="minorEastAsia" w:hAnsiTheme="minorHAnsi" w:cstheme="minorBidi"/>
                <w:noProof/>
                <w:lang w:eastAsia="en-AU"/>
              </w:rPr>
              <w:tab/>
            </w:r>
            <w:r w:rsidR="003C2B8A" w:rsidRPr="00E55BDA">
              <w:rPr>
                <w:rStyle w:val="Hyperlink"/>
                <w:noProof/>
              </w:rPr>
              <w:t>Efficacy for the proposed indication</w:t>
            </w:r>
            <w:r w:rsidR="003C2B8A">
              <w:rPr>
                <w:noProof/>
                <w:webHidden/>
              </w:rPr>
              <w:tab/>
            </w:r>
            <w:r>
              <w:rPr>
                <w:noProof/>
                <w:webHidden/>
              </w:rPr>
              <w:fldChar w:fldCharType="begin"/>
            </w:r>
            <w:r w:rsidR="003C2B8A">
              <w:rPr>
                <w:noProof/>
                <w:webHidden/>
              </w:rPr>
              <w:instrText xml:space="preserve"> PAGEREF _Toc359237253 \h </w:instrText>
            </w:r>
            <w:r>
              <w:rPr>
                <w:noProof/>
                <w:webHidden/>
              </w:rPr>
            </w:r>
            <w:r>
              <w:rPr>
                <w:noProof/>
                <w:webHidden/>
              </w:rPr>
              <w:fldChar w:fldCharType="separate"/>
            </w:r>
            <w:r w:rsidR="00720928">
              <w:rPr>
                <w:noProof/>
                <w:webHidden/>
              </w:rPr>
              <w:t>11</w:t>
            </w:r>
            <w:r>
              <w:rPr>
                <w:noProof/>
                <w:webHidden/>
              </w:rPr>
              <w:fldChar w:fldCharType="end"/>
            </w:r>
          </w:hyperlink>
        </w:p>
        <w:p w:rsidR="003C2B8A" w:rsidRDefault="00423552">
          <w:pPr>
            <w:pStyle w:val="TOC3"/>
            <w:tabs>
              <w:tab w:val="left" w:pos="1680"/>
            </w:tabs>
            <w:rPr>
              <w:rFonts w:asciiTheme="minorHAnsi" w:eastAsiaTheme="minorEastAsia" w:hAnsiTheme="minorHAnsi" w:cstheme="minorBidi"/>
              <w:noProof/>
              <w:lang w:eastAsia="en-AU"/>
            </w:rPr>
          </w:pPr>
          <w:hyperlink w:anchor="_Toc359237254" w:history="1">
            <w:r w:rsidR="003C2B8A" w:rsidRPr="00E55BDA">
              <w:rPr>
                <w:rStyle w:val="Hyperlink"/>
                <w:noProof/>
              </w:rPr>
              <w:t>6.2.</w:t>
            </w:r>
            <w:r w:rsidR="003C2B8A">
              <w:rPr>
                <w:rFonts w:asciiTheme="minorHAnsi" w:eastAsiaTheme="minorEastAsia" w:hAnsiTheme="minorHAnsi" w:cstheme="minorBidi"/>
                <w:noProof/>
                <w:lang w:eastAsia="en-AU"/>
              </w:rPr>
              <w:tab/>
            </w:r>
            <w:r w:rsidR="003C2B8A" w:rsidRPr="00E55BDA">
              <w:rPr>
                <w:rStyle w:val="Hyperlink"/>
                <w:noProof/>
              </w:rPr>
              <w:t>Evaluator’s conclusions on clinical efficacy</w:t>
            </w:r>
            <w:r w:rsidR="003C2B8A">
              <w:rPr>
                <w:noProof/>
                <w:webHidden/>
              </w:rPr>
              <w:tab/>
            </w:r>
            <w:r>
              <w:rPr>
                <w:noProof/>
                <w:webHidden/>
              </w:rPr>
              <w:fldChar w:fldCharType="begin"/>
            </w:r>
            <w:r w:rsidR="003C2B8A">
              <w:rPr>
                <w:noProof/>
                <w:webHidden/>
              </w:rPr>
              <w:instrText xml:space="preserve"> PAGEREF _Toc359237254 \h </w:instrText>
            </w:r>
            <w:r>
              <w:rPr>
                <w:noProof/>
                <w:webHidden/>
              </w:rPr>
            </w:r>
            <w:r>
              <w:rPr>
                <w:noProof/>
                <w:webHidden/>
              </w:rPr>
              <w:fldChar w:fldCharType="separate"/>
            </w:r>
            <w:r w:rsidR="00720928">
              <w:rPr>
                <w:noProof/>
                <w:webHidden/>
              </w:rPr>
              <w:t>34</w:t>
            </w:r>
            <w:r>
              <w:rPr>
                <w:noProof/>
                <w:webHidden/>
              </w:rPr>
              <w:fldChar w:fldCharType="end"/>
            </w:r>
          </w:hyperlink>
        </w:p>
        <w:p w:rsidR="003C2B8A" w:rsidRDefault="00423552">
          <w:pPr>
            <w:pStyle w:val="TOC2"/>
            <w:tabs>
              <w:tab w:val="left" w:pos="1247"/>
            </w:tabs>
            <w:rPr>
              <w:rFonts w:asciiTheme="minorHAnsi" w:eastAsiaTheme="minorEastAsia" w:hAnsiTheme="minorHAnsi" w:cstheme="minorBidi"/>
              <w:b w:val="0"/>
              <w:noProof/>
              <w:sz w:val="22"/>
              <w:lang w:eastAsia="en-AU"/>
            </w:rPr>
          </w:pPr>
          <w:hyperlink w:anchor="_Toc359237255" w:history="1">
            <w:r w:rsidR="003C2B8A" w:rsidRPr="00E55BDA">
              <w:rPr>
                <w:rStyle w:val="Hyperlink"/>
                <w:noProof/>
              </w:rPr>
              <w:t>7.</w:t>
            </w:r>
            <w:r w:rsidR="003C2B8A">
              <w:rPr>
                <w:rFonts w:asciiTheme="minorHAnsi" w:eastAsiaTheme="minorEastAsia" w:hAnsiTheme="minorHAnsi" w:cstheme="minorBidi"/>
                <w:b w:val="0"/>
                <w:noProof/>
                <w:sz w:val="22"/>
                <w:lang w:eastAsia="en-AU"/>
              </w:rPr>
              <w:tab/>
            </w:r>
            <w:r w:rsidR="003C2B8A" w:rsidRPr="00E55BDA">
              <w:rPr>
                <w:rStyle w:val="Hyperlink"/>
                <w:noProof/>
              </w:rPr>
              <w:t>Clinical safety</w:t>
            </w:r>
            <w:r w:rsidR="003C2B8A">
              <w:rPr>
                <w:noProof/>
                <w:webHidden/>
              </w:rPr>
              <w:tab/>
            </w:r>
            <w:r>
              <w:rPr>
                <w:noProof/>
                <w:webHidden/>
              </w:rPr>
              <w:fldChar w:fldCharType="begin"/>
            </w:r>
            <w:r w:rsidR="003C2B8A">
              <w:rPr>
                <w:noProof/>
                <w:webHidden/>
              </w:rPr>
              <w:instrText xml:space="preserve"> PAGEREF _Toc359237255 \h </w:instrText>
            </w:r>
            <w:r>
              <w:rPr>
                <w:noProof/>
                <w:webHidden/>
              </w:rPr>
            </w:r>
            <w:r>
              <w:rPr>
                <w:noProof/>
                <w:webHidden/>
              </w:rPr>
              <w:fldChar w:fldCharType="separate"/>
            </w:r>
            <w:r w:rsidR="00720928">
              <w:rPr>
                <w:noProof/>
                <w:webHidden/>
              </w:rPr>
              <w:t>36</w:t>
            </w:r>
            <w:r>
              <w:rPr>
                <w:noProof/>
                <w:webHidden/>
              </w:rPr>
              <w:fldChar w:fldCharType="end"/>
            </w:r>
          </w:hyperlink>
        </w:p>
        <w:p w:rsidR="003C2B8A" w:rsidRDefault="00423552">
          <w:pPr>
            <w:pStyle w:val="TOC3"/>
            <w:tabs>
              <w:tab w:val="left" w:pos="1680"/>
            </w:tabs>
            <w:rPr>
              <w:rFonts w:asciiTheme="minorHAnsi" w:eastAsiaTheme="minorEastAsia" w:hAnsiTheme="minorHAnsi" w:cstheme="minorBidi"/>
              <w:noProof/>
              <w:lang w:eastAsia="en-AU"/>
            </w:rPr>
          </w:pPr>
          <w:hyperlink w:anchor="_Toc359237256" w:history="1">
            <w:r w:rsidR="003C2B8A" w:rsidRPr="00E55BDA">
              <w:rPr>
                <w:rStyle w:val="Hyperlink"/>
                <w:noProof/>
              </w:rPr>
              <w:t>7.1.</w:t>
            </w:r>
            <w:r w:rsidR="003C2B8A">
              <w:rPr>
                <w:rFonts w:asciiTheme="minorHAnsi" w:eastAsiaTheme="minorEastAsia" w:hAnsiTheme="minorHAnsi" w:cstheme="minorBidi"/>
                <w:noProof/>
                <w:lang w:eastAsia="en-AU"/>
              </w:rPr>
              <w:tab/>
            </w:r>
            <w:r w:rsidR="003C2B8A" w:rsidRPr="00E55BDA">
              <w:rPr>
                <w:rStyle w:val="Hyperlink"/>
                <w:noProof/>
              </w:rPr>
              <w:t>Studies providing evaluable safety data</w:t>
            </w:r>
            <w:r w:rsidR="003C2B8A">
              <w:rPr>
                <w:noProof/>
                <w:webHidden/>
              </w:rPr>
              <w:tab/>
            </w:r>
            <w:r>
              <w:rPr>
                <w:noProof/>
                <w:webHidden/>
              </w:rPr>
              <w:fldChar w:fldCharType="begin"/>
            </w:r>
            <w:r w:rsidR="003C2B8A">
              <w:rPr>
                <w:noProof/>
                <w:webHidden/>
              </w:rPr>
              <w:instrText xml:space="preserve"> PAGEREF _Toc359237256 \h </w:instrText>
            </w:r>
            <w:r>
              <w:rPr>
                <w:noProof/>
                <w:webHidden/>
              </w:rPr>
            </w:r>
            <w:r>
              <w:rPr>
                <w:noProof/>
                <w:webHidden/>
              </w:rPr>
              <w:fldChar w:fldCharType="separate"/>
            </w:r>
            <w:r w:rsidR="00720928">
              <w:rPr>
                <w:noProof/>
                <w:webHidden/>
              </w:rPr>
              <w:t>36</w:t>
            </w:r>
            <w:r>
              <w:rPr>
                <w:noProof/>
                <w:webHidden/>
              </w:rPr>
              <w:fldChar w:fldCharType="end"/>
            </w:r>
          </w:hyperlink>
        </w:p>
        <w:p w:rsidR="003C2B8A" w:rsidRDefault="00423552">
          <w:pPr>
            <w:pStyle w:val="TOC3"/>
            <w:tabs>
              <w:tab w:val="left" w:pos="1680"/>
            </w:tabs>
            <w:rPr>
              <w:rFonts w:asciiTheme="minorHAnsi" w:eastAsiaTheme="minorEastAsia" w:hAnsiTheme="minorHAnsi" w:cstheme="minorBidi"/>
              <w:noProof/>
              <w:lang w:eastAsia="en-AU"/>
            </w:rPr>
          </w:pPr>
          <w:hyperlink w:anchor="_Toc359237257" w:history="1">
            <w:r w:rsidR="003C2B8A" w:rsidRPr="00E55BDA">
              <w:rPr>
                <w:rStyle w:val="Hyperlink"/>
                <w:noProof/>
              </w:rPr>
              <w:t>7.2.</w:t>
            </w:r>
            <w:r w:rsidR="003C2B8A">
              <w:rPr>
                <w:rFonts w:asciiTheme="minorHAnsi" w:eastAsiaTheme="minorEastAsia" w:hAnsiTheme="minorHAnsi" w:cstheme="minorBidi"/>
                <w:noProof/>
                <w:lang w:eastAsia="en-AU"/>
              </w:rPr>
              <w:tab/>
            </w:r>
            <w:r w:rsidR="003C2B8A" w:rsidRPr="00E55BDA">
              <w:rPr>
                <w:rStyle w:val="Hyperlink"/>
                <w:noProof/>
              </w:rPr>
              <w:t>Patient exposure</w:t>
            </w:r>
            <w:r w:rsidR="003C2B8A">
              <w:rPr>
                <w:noProof/>
                <w:webHidden/>
              </w:rPr>
              <w:tab/>
            </w:r>
            <w:r>
              <w:rPr>
                <w:noProof/>
                <w:webHidden/>
              </w:rPr>
              <w:fldChar w:fldCharType="begin"/>
            </w:r>
            <w:r w:rsidR="003C2B8A">
              <w:rPr>
                <w:noProof/>
                <w:webHidden/>
              </w:rPr>
              <w:instrText xml:space="preserve"> PAGEREF _Toc359237257 \h </w:instrText>
            </w:r>
            <w:r>
              <w:rPr>
                <w:noProof/>
                <w:webHidden/>
              </w:rPr>
            </w:r>
            <w:r>
              <w:rPr>
                <w:noProof/>
                <w:webHidden/>
              </w:rPr>
              <w:fldChar w:fldCharType="separate"/>
            </w:r>
            <w:r w:rsidR="00720928">
              <w:rPr>
                <w:noProof/>
                <w:webHidden/>
              </w:rPr>
              <w:t>37</w:t>
            </w:r>
            <w:r>
              <w:rPr>
                <w:noProof/>
                <w:webHidden/>
              </w:rPr>
              <w:fldChar w:fldCharType="end"/>
            </w:r>
          </w:hyperlink>
        </w:p>
        <w:p w:rsidR="003C2B8A" w:rsidRDefault="00423552">
          <w:pPr>
            <w:pStyle w:val="TOC3"/>
            <w:tabs>
              <w:tab w:val="left" w:pos="1680"/>
            </w:tabs>
            <w:rPr>
              <w:rFonts w:asciiTheme="minorHAnsi" w:eastAsiaTheme="minorEastAsia" w:hAnsiTheme="minorHAnsi" w:cstheme="minorBidi"/>
              <w:noProof/>
              <w:lang w:eastAsia="en-AU"/>
            </w:rPr>
          </w:pPr>
          <w:hyperlink w:anchor="_Toc359237258" w:history="1">
            <w:r w:rsidR="003C2B8A" w:rsidRPr="00E55BDA">
              <w:rPr>
                <w:rStyle w:val="Hyperlink"/>
                <w:noProof/>
              </w:rPr>
              <w:t>7.3.</w:t>
            </w:r>
            <w:r w:rsidR="003C2B8A">
              <w:rPr>
                <w:rFonts w:asciiTheme="minorHAnsi" w:eastAsiaTheme="minorEastAsia" w:hAnsiTheme="minorHAnsi" w:cstheme="minorBidi"/>
                <w:noProof/>
                <w:lang w:eastAsia="en-AU"/>
              </w:rPr>
              <w:tab/>
            </w:r>
            <w:r w:rsidR="003C2B8A" w:rsidRPr="00E55BDA">
              <w:rPr>
                <w:rStyle w:val="Hyperlink"/>
                <w:noProof/>
              </w:rPr>
              <w:t>Subject disposition</w:t>
            </w:r>
            <w:r w:rsidR="003C2B8A">
              <w:rPr>
                <w:noProof/>
                <w:webHidden/>
              </w:rPr>
              <w:tab/>
            </w:r>
            <w:r>
              <w:rPr>
                <w:noProof/>
                <w:webHidden/>
              </w:rPr>
              <w:fldChar w:fldCharType="begin"/>
            </w:r>
            <w:r w:rsidR="003C2B8A">
              <w:rPr>
                <w:noProof/>
                <w:webHidden/>
              </w:rPr>
              <w:instrText xml:space="preserve"> PAGEREF _Toc359237258 \h </w:instrText>
            </w:r>
            <w:r>
              <w:rPr>
                <w:noProof/>
                <w:webHidden/>
              </w:rPr>
            </w:r>
            <w:r>
              <w:rPr>
                <w:noProof/>
                <w:webHidden/>
              </w:rPr>
              <w:fldChar w:fldCharType="separate"/>
            </w:r>
            <w:r w:rsidR="00720928">
              <w:rPr>
                <w:noProof/>
                <w:webHidden/>
              </w:rPr>
              <w:t>39</w:t>
            </w:r>
            <w:r>
              <w:rPr>
                <w:noProof/>
                <w:webHidden/>
              </w:rPr>
              <w:fldChar w:fldCharType="end"/>
            </w:r>
          </w:hyperlink>
        </w:p>
        <w:p w:rsidR="003C2B8A" w:rsidRDefault="00423552">
          <w:pPr>
            <w:pStyle w:val="TOC3"/>
            <w:tabs>
              <w:tab w:val="left" w:pos="1680"/>
            </w:tabs>
            <w:rPr>
              <w:rFonts w:asciiTheme="minorHAnsi" w:eastAsiaTheme="minorEastAsia" w:hAnsiTheme="minorHAnsi" w:cstheme="minorBidi"/>
              <w:noProof/>
              <w:lang w:eastAsia="en-AU"/>
            </w:rPr>
          </w:pPr>
          <w:hyperlink w:anchor="_Toc359237259" w:history="1">
            <w:r w:rsidR="003C2B8A" w:rsidRPr="00E55BDA">
              <w:rPr>
                <w:rStyle w:val="Hyperlink"/>
                <w:noProof/>
              </w:rPr>
              <w:t>7.4.</w:t>
            </w:r>
            <w:r w:rsidR="003C2B8A">
              <w:rPr>
                <w:rFonts w:asciiTheme="minorHAnsi" w:eastAsiaTheme="minorEastAsia" w:hAnsiTheme="minorHAnsi" w:cstheme="minorBidi"/>
                <w:noProof/>
                <w:lang w:eastAsia="en-AU"/>
              </w:rPr>
              <w:tab/>
            </w:r>
            <w:r w:rsidR="003C2B8A" w:rsidRPr="00E55BDA">
              <w:rPr>
                <w:rStyle w:val="Hyperlink"/>
                <w:noProof/>
              </w:rPr>
              <w:t>Adverse events</w:t>
            </w:r>
            <w:r w:rsidR="003C2B8A">
              <w:rPr>
                <w:noProof/>
                <w:webHidden/>
              </w:rPr>
              <w:tab/>
            </w:r>
            <w:r>
              <w:rPr>
                <w:noProof/>
                <w:webHidden/>
              </w:rPr>
              <w:fldChar w:fldCharType="begin"/>
            </w:r>
            <w:r w:rsidR="003C2B8A">
              <w:rPr>
                <w:noProof/>
                <w:webHidden/>
              </w:rPr>
              <w:instrText xml:space="preserve"> PAGEREF _Toc359237259 \h </w:instrText>
            </w:r>
            <w:r>
              <w:rPr>
                <w:noProof/>
                <w:webHidden/>
              </w:rPr>
            </w:r>
            <w:r>
              <w:rPr>
                <w:noProof/>
                <w:webHidden/>
              </w:rPr>
              <w:fldChar w:fldCharType="separate"/>
            </w:r>
            <w:r w:rsidR="00720928">
              <w:rPr>
                <w:noProof/>
                <w:webHidden/>
              </w:rPr>
              <w:t>40</w:t>
            </w:r>
            <w:r>
              <w:rPr>
                <w:noProof/>
                <w:webHidden/>
              </w:rPr>
              <w:fldChar w:fldCharType="end"/>
            </w:r>
          </w:hyperlink>
        </w:p>
        <w:p w:rsidR="003C2B8A" w:rsidRDefault="00423552">
          <w:pPr>
            <w:pStyle w:val="TOC3"/>
            <w:tabs>
              <w:tab w:val="left" w:pos="1680"/>
            </w:tabs>
            <w:rPr>
              <w:rFonts w:asciiTheme="minorHAnsi" w:eastAsiaTheme="minorEastAsia" w:hAnsiTheme="minorHAnsi" w:cstheme="minorBidi"/>
              <w:noProof/>
              <w:lang w:eastAsia="en-AU"/>
            </w:rPr>
          </w:pPr>
          <w:hyperlink w:anchor="_Toc359237260" w:history="1">
            <w:r w:rsidR="003C2B8A" w:rsidRPr="00E55BDA">
              <w:rPr>
                <w:rStyle w:val="Hyperlink"/>
                <w:noProof/>
              </w:rPr>
              <w:t>7.5.</w:t>
            </w:r>
            <w:r w:rsidR="003C2B8A">
              <w:rPr>
                <w:rFonts w:asciiTheme="minorHAnsi" w:eastAsiaTheme="minorEastAsia" w:hAnsiTheme="minorHAnsi" w:cstheme="minorBidi"/>
                <w:noProof/>
                <w:lang w:eastAsia="en-AU"/>
              </w:rPr>
              <w:tab/>
            </w:r>
            <w:r w:rsidR="003C2B8A" w:rsidRPr="00E55BDA">
              <w:rPr>
                <w:rStyle w:val="Hyperlink"/>
                <w:noProof/>
              </w:rPr>
              <w:t>Laboratory tests</w:t>
            </w:r>
            <w:r w:rsidR="003C2B8A">
              <w:rPr>
                <w:noProof/>
                <w:webHidden/>
              </w:rPr>
              <w:tab/>
            </w:r>
            <w:r>
              <w:rPr>
                <w:noProof/>
                <w:webHidden/>
              </w:rPr>
              <w:fldChar w:fldCharType="begin"/>
            </w:r>
            <w:r w:rsidR="003C2B8A">
              <w:rPr>
                <w:noProof/>
                <w:webHidden/>
              </w:rPr>
              <w:instrText xml:space="preserve"> PAGEREF _Toc359237260 \h </w:instrText>
            </w:r>
            <w:r>
              <w:rPr>
                <w:noProof/>
                <w:webHidden/>
              </w:rPr>
            </w:r>
            <w:r>
              <w:rPr>
                <w:noProof/>
                <w:webHidden/>
              </w:rPr>
              <w:fldChar w:fldCharType="separate"/>
            </w:r>
            <w:r w:rsidR="00720928">
              <w:rPr>
                <w:noProof/>
                <w:webHidden/>
              </w:rPr>
              <w:t>48</w:t>
            </w:r>
            <w:r>
              <w:rPr>
                <w:noProof/>
                <w:webHidden/>
              </w:rPr>
              <w:fldChar w:fldCharType="end"/>
            </w:r>
          </w:hyperlink>
        </w:p>
        <w:p w:rsidR="003C2B8A" w:rsidRDefault="00423552">
          <w:pPr>
            <w:pStyle w:val="TOC3"/>
            <w:tabs>
              <w:tab w:val="left" w:pos="1680"/>
            </w:tabs>
            <w:rPr>
              <w:rFonts w:asciiTheme="minorHAnsi" w:eastAsiaTheme="minorEastAsia" w:hAnsiTheme="minorHAnsi" w:cstheme="minorBidi"/>
              <w:noProof/>
              <w:lang w:eastAsia="en-AU"/>
            </w:rPr>
          </w:pPr>
          <w:hyperlink w:anchor="_Toc359237261" w:history="1">
            <w:r w:rsidR="003C2B8A" w:rsidRPr="00E55BDA">
              <w:rPr>
                <w:rStyle w:val="Hyperlink"/>
                <w:noProof/>
              </w:rPr>
              <w:t>7.6.</w:t>
            </w:r>
            <w:r w:rsidR="003C2B8A">
              <w:rPr>
                <w:rFonts w:asciiTheme="minorHAnsi" w:eastAsiaTheme="minorEastAsia" w:hAnsiTheme="minorHAnsi" w:cstheme="minorBidi"/>
                <w:noProof/>
                <w:lang w:eastAsia="en-AU"/>
              </w:rPr>
              <w:tab/>
            </w:r>
            <w:r w:rsidR="003C2B8A" w:rsidRPr="00E55BDA">
              <w:rPr>
                <w:rStyle w:val="Hyperlink"/>
                <w:noProof/>
              </w:rPr>
              <w:t>Postmarketing experience</w:t>
            </w:r>
            <w:r w:rsidR="003C2B8A">
              <w:rPr>
                <w:noProof/>
                <w:webHidden/>
              </w:rPr>
              <w:tab/>
            </w:r>
            <w:r>
              <w:rPr>
                <w:noProof/>
                <w:webHidden/>
              </w:rPr>
              <w:fldChar w:fldCharType="begin"/>
            </w:r>
            <w:r w:rsidR="003C2B8A">
              <w:rPr>
                <w:noProof/>
                <w:webHidden/>
              </w:rPr>
              <w:instrText xml:space="preserve"> PAGEREF _Toc359237261 \h </w:instrText>
            </w:r>
            <w:r>
              <w:rPr>
                <w:noProof/>
                <w:webHidden/>
              </w:rPr>
            </w:r>
            <w:r>
              <w:rPr>
                <w:noProof/>
                <w:webHidden/>
              </w:rPr>
              <w:fldChar w:fldCharType="separate"/>
            </w:r>
            <w:r w:rsidR="00720928">
              <w:rPr>
                <w:noProof/>
                <w:webHidden/>
              </w:rPr>
              <w:t>48</w:t>
            </w:r>
            <w:r>
              <w:rPr>
                <w:noProof/>
                <w:webHidden/>
              </w:rPr>
              <w:fldChar w:fldCharType="end"/>
            </w:r>
          </w:hyperlink>
        </w:p>
        <w:p w:rsidR="003C2B8A" w:rsidRDefault="00423552">
          <w:pPr>
            <w:pStyle w:val="TOC3"/>
            <w:tabs>
              <w:tab w:val="left" w:pos="1680"/>
            </w:tabs>
            <w:rPr>
              <w:rFonts w:asciiTheme="minorHAnsi" w:eastAsiaTheme="minorEastAsia" w:hAnsiTheme="minorHAnsi" w:cstheme="minorBidi"/>
              <w:noProof/>
              <w:lang w:eastAsia="en-AU"/>
            </w:rPr>
          </w:pPr>
          <w:hyperlink w:anchor="_Toc359237262" w:history="1">
            <w:r w:rsidR="003C2B8A" w:rsidRPr="00E55BDA">
              <w:rPr>
                <w:rStyle w:val="Hyperlink"/>
                <w:noProof/>
              </w:rPr>
              <w:t>7.7.</w:t>
            </w:r>
            <w:r w:rsidR="003C2B8A">
              <w:rPr>
                <w:rFonts w:asciiTheme="minorHAnsi" w:eastAsiaTheme="minorEastAsia" w:hAnsiTheme="minorHAnsi" w:cstheme="minorBidi"/>
                <w:noProof/>
                <w:lang w:eastAsia="en-AU"/>
              </w:rPr>
              <w:tab/>
            </w:r>
            <w:r w:rsidR="003C2B8A" w:rsidRPr="00E55BDA">
              <w:rPr>
                <w:rStyle w:val="Hyperlink"/>
                <w:noProof/>
              </w:rPr>
              <w:t>Evaluator’s overall conclusions on clinical safety</w:t>
            </w:r>
            <w:r w:rsidR="003C2B8A">
              <w:rPr>
                <w:noProof/>
                <w:webHidden/>
              </w:rPr>
              <w:tab/>
            </w:r>
            <w:r>
              <w:rPr>
                <w:noProof/>
                <w:webHidden/>
              </w:rPr>
              <w:fldChar w:fldCharType="begin"/>
            </w:r>
            <w:r w:rsidR="003C2B8A">
              <w:rPr>
                <w:noProof/>
                <w:webHidden/>
              </w:rPr>
              <w:instrText xml:space="preserve"> PAGEREF _Toc359237262 \h </w:instrText>
            </w:r>
            <w:r>
              <w:rPr>
                <w:noProof/>
                <w:webHidden/>
              </w:rPr>
            </w:r>
            <w:r>
              <w:rPr>
                <w:noProof/>
                <w:webHidden/>
              </w:rPr>
              <w:fldChar w:fldCharType="separate"/>
            </w:r>
            <w:r w:rsidR="00720928">
              <w:rPr>
                <w:noProof/>
                <w:webHidden/>
              </w:rPr>
              <w:t>48</w:t>
            </w:r>
            <w:r>
              <w:rPr>
                <w:noProof/>
                <w:webHidden/>
              </w:rPr>
              <w:fldChar w:fldCharType="end"/>
            </w:r>
          </w:hyperlink>
        </w:p>
        <w:p w:rsidR="003C2B8A" w:rsidRDefault="00423552">
          <w:pPr>
            <w:pStyle w:val="TOC2"/>
            <w:tabs>
              <w:tab w:val="left" w:pos="1247"/>
            </w:tabs>
            <w:rPr>
              <w:rFonts w:asciiTheme="minorHAnsi" w:eastAsiaTheme="minorEastAsia" w:hAnsiTheme="minorHAnsi" w:cstheme="minorBidi"/>
              <w:b w:val="0"/>
              <w:noProof/>
              <w:sz w:val="22"/>
              <w:lang w:eastAsia="en-AU"/>
            </w:rPr>
          </w:pPr>
          <w:hyperlink w:anchor="_Toc359237263" w:history="1">
            <w:r w:rsidR="003C2B8A" w:rsidRPr="00E55BDA">
              <w:rPr>
                <w:rStyle w:val="Hyperlink"/>
                <w:noProof/>
              </w:rPr>
              <w:t>8.</w:t>
            </w:r>
            <w:r w:rsidR="003C2B8A">
              <w:rPr>
                <w:rFonts w:asciiTheme="minorHAnsi" w:eastAsiaTheme="minorEastAsia" w:hAnsiTheme="minorHAnsi" w:cstheme="minorBidi"/>
                <w:b w:val="0"/>
                <w:noProof/>
                <w:sz w:val="22"/>
                <w:lang w:eastAsia="en-AU"/>
              </w:rPr>
              <w:tab/>
            </w:r>
            <w:r w:rsidR="003C2B8A" w:rsidRPr="00E55BDA">
              <w:rPr>
                <w:rStyle w:val="Hyperlink"/>
                <w:noProof/>
              </w:rPr>
              <w:t>First round benefit-risk assessment</w:t>
            </w:r>
            <w:r w:rsidR="003C2B8A">
              <w:rPr>
                <w:noProof/>
                <w:webHidden/>
              </w:rPr>
              <w:tab/>
            </w:r>
            <w:r>
              <w:rPr>
                <w:noProof/>
                <w:webHidden/>
              </w:rPr>
              <w:fldChar w:fldCharType="begin"/>
            </w:r>
            <w:r w:rsidR="003C2B8A">
              <w:rPr>
                <w:noProof/>
                <w:webHidden/>
              </w:rPr>
              <w:instrText xml:space="preserve"> PAGEREF _Toc359237263 \h </w:instrText>
            </w:r>
            <w:r>
              <w:rPr>
                <w:noProof/>
                <w:webHidden/>
              </w:rPr>
            </w:r>
            <w:r>
              <w:rPr>
                <w:noProof/>
                <w:webHidden/>
              </w:rPr>
              <w:fldChar w:fldCharType="separate"/>
            </w:r>
            <w:r w:rsidR="00720928">
              <w:rPr>
                <w:noProof/>
                <w:webHidden/>
              </w:rPr>
              <w:t>49</w:t>
            </w:r>
            <w:r>
              <w:rPr>
                <w:noProof/>
                <w:webHidden/>
              </w:rPr>
              <w:fldChar w:fldCharType="end"/>
            </w:r>
          </w:hyperlink>
        </w:p>
        <w:p w:rsidR="003C2B8A" w:rsidRDefault="00423552">
          <w:pPr>
            <w:pStyle w:val="TOC3"/>
            <w:tabs>
              <w:tab w:val="left" w:pos="1680"/>
            </w:tabs>
            <w:rPr>
              <w:rFonts w:asciiTheme="minorHAnsi" w:eastAsiaTheme="minorEastAsia" w:hAnsiTheme="minorHAnsi" w:cstheme="minorBidi"/>
              <w:noProof/>
              <w:lang w:eastAsia="en-AU"/>
            </w:rPr>
          </w:pPr>
          <w:hyperlink w:anchor="_Toc359237264" w:history="1">
            <w:r w:rsidR="003C2B8A" w:rsidRPr="00E55BDA">
              <w:rPr>
                <w:rStyle w:val="Hyperlink"/>
                <w:noProof/>
              </w:rPr>
              <w:t>8.1.</w:t>
            </w:r>
            <w:r w:rsidR="003C2B8A">
              <w:rPr>
                <w:rFonts w:asciiTheme="minorHAnsi" w:eastAsiaTheme="minorEastAsia" w:hAnsiTheme="minorHAnsi" w:cstheme="minorBidi"/>
                <w:noProof/>
                <w:lang w:eastAsia="en-AU"/>
              </w:rPr>
              <w:tab/>
            </w:r>
            <w:r w:rsidR="003C2B8A" w:rsidRPr="00E55BDA">
              <w:rPr>
                <w:rStyle w:val="Hyperlink"/>
                <w:noProof/>
              </w:rPr>
              <w:t>First round assessment of benefits</w:t>
            </w:r>
            <w:r w:rsidR="003C2B8A">
              <w:rPr>
                <w:noProof/>
                <w:webHidden/>
              </w:rPr>
              <w:tab/>
            </w:r>
            <w:r>
              <w:rPr>
                <w:noProof/>
                <w:webHidden/>
              </w:rPr>
              <w:fldChar w:fldCharType="begin"/>
            </w:r>
            <w:r w:rsidR="003C2B8A">
              <w:rPr>
                <w:noProof/>
                <w:webHidden/>
              </w:rPr>
              <w:instrText xml:space="preserve"> PAGEREF _Toc359237264 \h </w:instrText>
            </w:r>
            <w:r>
              <w:rPr>
                <w:noProof/>
                <w:webHidden/>
              </w:rPr>
            </w:r>
            <w:r>
              <w:rPr>
                <w:noProof/>
                <w:webHidden/>
              </w:rPr>
              <w:fldChar w:fldCharType="separate"/>
            </w:r>
            <w:r w:rsidR="00720928">
              <w:rPr>
                <w:noProof/>
                <w:webHidden/>
              </w:rPr>
              <w:t>49</w:t>
            </w:r>
            <w:r>
              <w:rPr>
                <w:noProof/>
                <w:webHidden/>
              </w:rPr>
              <w:fldChar w:fldCharType="end"/>
            </w:r>
          </w:hyperlink>
        </w:p>
        <w:p w:rsidR="003C2B8A" w:rsidRDefault="00423552">
          <w:pPr>
            <w:pStyle w:val="TOC3"/>
            <w:tabs>
              <w:tab w:val="left" w:pos="1680"/>
            </w:tabs>
            <w:rPr>
              <w:rFonts w:asciiTheme="minorHAnsi" w:eastAsiaTheme="minorEastAsia" w:hAnsiTheme="minorHAnsi" w:cstheme="minorBidi"/>
              <w:noProof/>
              <w:lang w:eastAsia="en-AU"/>
            </w:rPr>
          </w:pPr>
          <w:hyperlink w:anchor="_Toc359237265" w:history="1">
            <w:r w:rsidR="003C2B8A" w:rsidRPr="00E55BDA">
              <w:rPr>
                <w:rStyle w:val="Hyperlink"/>
                <w:noProof/>
              </w:rPr>
              <w:t>8.2.</w:t>
            </w:r>
            <w:r w:rsidR="003C2B8A">
              <w:rPr>
                <w:rFonts w:asciiTheme="minorHAnsi" w:eastAsiaTheme="minorEastAsia" w:hAnsiTheme="minorHAnsi" w:cstheme="minorBidi"/>
                <w:noProof/>
                <w:lang w:eastAsia="en-AU"/>
              </w:rPr>
              <w:tab/>
            </w:r>
            <w:r w:rsidR="003C2B8A" w:rsidRPr="00E55BDA">
              <w:rPr>
                <w:rStyle w:val="Hyperlink"/>
                <w:noProof/>
              </w:rPr>
              <w:t>First round assessment of risks</w:t>
            </w:r>
            <w:r w:rsidR="003C2B8A">
              <w:rPr>
                <w:noProof/>
                <w:webHidden/>
              </w:rPr>
              <w:tab/>
            </w:r>
            <w:r>
              <w:rPr>
                <w:noProof/>
                <w:webHidden/>
              </w:rPr>
              <w:fldChar w:fldCharType="begin"/>
            </w:r>
            <w:r w:rsidR="003C2B8A">
              <w:rPr>
                <w:noProof/>
                <w:webHidden/>
              </w:rPr>
              <w:instrText xml:space="preserve"> PAGEREF _Toc359237265 \h </w:instrText>
            </w:r>
            <w:r>
              <w:rPr>
                <w:noProof/>
                <w:webHidden/>
              </w:rPr>
            </w:r>
            <w:r>
              <w:rPr>
                <w:noProof/>
                <w:webHidden/>
              </w:rPr>
              <w:fldChar w:fldCharType="separate"/>
            </w:r>
            <w:r w:rsidR="00720928">
              <w:rPr>
                <w:noProof/>
                <w:webHidden/>
              </w:rPr>
              <w:t>49</w:t>
            </w:r>
            <w:r>
              <w:rPr>
                <w:noProof/>
                <w:webHidden/>
              </w:rPr>
              <w:fldChar w:fldCharType="end"/>
            </w:r>
          </w:hyperlink>
        </w:p>
        <w:p w:rsidR="003C2B8A" w:rsidRDefault="00423552">
          <w:pPr>
            <w:pStyle w:val="TOC2"/>
            <w:tabs>
              <w:tab w:val="left" w:pos="1247"/>
            </w:tabs>
            <w:rPr>
              <w:rFonts w:asciiTheme="minorHAnsi" w:eastAsiaTheme="minorEastAsia" w:hAnsiTheme="minorHAnsi" w:cstheme="minorBidi"/>
              <w:b w:val="0"/>
              <w:noProof/>
              <w:sz w:val="22"/>
              <w:lang w:eastAsia="en-AU"/>
            </w:rPr>
          </w:pPr>
          <w:hyperlink w:anchor="_Toc359237266" w:history="1">
            <w:r w:rsidR="003C2B8A" w:rsidRPr="00E55BDA">
              <w:rPr>
                <w:rStyle w:val="Hyperlink"/>
                <w:noProof/>
              </w:rPr>
              <w:t>9.</w:t>
            </w:r>
            <w:r w:rsidR="003C2B8A">
              <w:rPr>
                <w:rFonts w:asciiTheme="minorHAnsi" w:eastAsiaTheme="minorEastAsia" w:hAnsiTheme="minorHAnsi" w:cstheme="minorBidi"/>
                <w:b w:val="0"/>
                <w:noProof/>
                <w:sz w:val="22"/>
                <w:lang w:eastAsia="en-AU"/>
              </w:rPr>
              <w:tab/>
            </w:r>
            <w:r w:rsidR="003C2B8A" w:rsidRPr="00E55BDA">
              <w:rPr>
                <w:rStyle w:val="Hyperlink"/>
                <w:noProof/>
              </w:rPr>
              <w:t>First round assessment of benefit-risk balance</w:t>
            </w:r>
            <w:r w:rsidR="003C2B8A">
              <w:rPr>
                <w:noProof/>
                <w:webHidden/>
              </w:rPr>
              <w:tab/>
            </w:r>
            <w:r>
              <w:rPr>
                <w:noProof/>
                <w:webHidden/>
              </w:rPr>
              <w:fldChar w:fldCharType="begin"/>
            </w:r>
            <w:r w:rsidR="003C2B8A">
              <w:rPr>
                <w:noProof/>
                <w:webHidden/>
              </w:rPr>
              <w:instrText xml:space="preserve"> PAGEREF _Toc359237266 \h </w:instrText>
            </w:r>
            <w:r>
              <w:rPr>
                <w:noProof/>
                <w:webHidden/>
              </w:rPr>
            </w:r>
            <w:r>
              <w:rPr>
                <w:noProof/>
                <w:webHidden/>
              </w:rPr>
              <w:fldChar w:fldCharType="separate"/>
            </w:r>
            <w:r w:rsidR="00720928">
              <w:rPr>
                <w:noProof/>
                <w:webHidden/>
              </w:rPr>
              <w:t>49</w:t>
            </w:r>
            <w:r>
              <w:rPr>
                <w:noProof/>
                <w:webHidden/>
              </w:rPr>
              <w:fldChar w:fldCharType="end"/>
            </w:r>
          </w:hyperlink>
        </w:p>
        <w:p w:rsidR="003C2B8A" w:rsidRDefault="00423552">
          <w:pPr>
            <w:pStyle w:val="TOC2"/>
            <w:tabs>
              <w:tab w:val="left" w:pos="1247"/>
            </w:tabs>
            <w:rPr>
              <w:rFonts w:asciiTheme="minorHAnsi" w:eastAsiaTheme="minorEastAsia" w:hAnsiTheme="minorHAnsi" w:cstheme="minorBidi"/>
              <w:b w:val="0"/>
              <w:noProof/>
              <w:sz w:val="22"/>
              <w:lang w:eastAsia="en-AU"/>
            </w:rPr>
          </w:pPr>
          <w:hyperlink w:anchor="_Toc359237267" w:history="1">
            <w:r w:rsidR="003C2B8A" w:rsidRPr="00E55BDA">
              <w:rPr>
                <w:rStyle w:val="Hyperlink"/>
                <w:noProof/>
              </w:rPr>
              <w:t>10.</w:t>
            </w:r>
            <w:r w:rsidR="003C2B8A">
              <w:rPr>
                <w:rFonts w:asciiTheme="minorHAnsi" w:eastAsiaTheme="minorEastAsia" w:hAnsiTheme="minorHAnsi" w:cstheme="minorBidi"/>
                <w:b w:val="0"/>
                <w:noProof/>
                <w:sz w:val="22"/>
                <w:lang w:eastAsia="en-AU"/>
              </w:rPr>
              <w:tab/>
            </w:r>
            <w:r w:rsidR="003C2B8A" w:rsidRPr="00E55BDA">
              <w:rPr>
                <w:rStyle w:val="Hyperlink"/>
                <w:noProof/>
              </w:rPr>
              <w:t>First round recommendation regarding authorisation</w:t>
            </w:r>
            <w:r w:rsidR="003C2B8A">
              <w:rPr>
                <w:noProof/>
                <w:webHidden/>
              </w:rPr>
              <w:tab/>
            </w:r>
            <w:r>
              <w:rPr>
                <w:noProof/>
                <w:webHidden/>
              </w:rPr>
              <w:fldChar w:fldCharType="begin"/>
            </w:r>
            <w:r w:rsidR="003C2B8A">
              <w:rPr>
                <w:noProof/>
                <w:webHidden/>
              </w:rPr>
              <w:instrText xml:space="preserve"> PAGEREF _Toc359237267 \h </w:instrText>
            </w:r>
            <w:r>
              <w:rPr>
                <w:noProof/>
                <w:webHidden/>
              </w:rPr>
            </w:r>
            <w:r>
              <w:rPr>
                <w:noProof/>
                <w:webHidden/>
              </w:rPr>
              <w:fldChar w:fldCharType="separate"/>
            </w:r>
            <w:r w:rsidR="00720928">
              <w:rPr>
                <w:noProof/>
                <w:webHidden/>
              </w:rPr>
              <w:t>49</w:t>
            </w:r>
            <w:r>
              <w:rPr>
                <w:noProof/>
                <w:webHidden/>
              </w:rPr>
              <w:fldChar w:fldCharType="end"/>
            </w:r>
          </w:hyperlink>
        </w:p>
        <w:p w:rsidR="003C2B8A" w:rsidRDefault="00423552">
          <w:pPr>
            <w:pStyle w:val="TOC2"/>
            <w:tabs>
              <w:tab w:val="left" w:pos="1247"/>
            </w:tabs>
            <w:rPr>
              <w:rFonts w:asciiTheme="minorHAnsi" w:eastAsiaTheme="minorEastAsia" w:hAnsiTheme="minorHAnsi" w:cstheme="minorBidi"/>
              <w:b w:val="0"/>
              <w:noProof/>
              <w:sz w:val="22"/>
              <w:lang w:eastAsia="en-AU"/>
            </w:rPr>
          </w:pPr>
          <w:hyperlink w:anchor="_Toc359237268" w:history="1">
            <w:r w:rsidR="003C2B8A" w:rsidRPr="00E55BDA">
              <w:rPr>
                <w:rStyle w:val="Hyperlink"/>
                <w:noProof/>
              </w:rPr>
              <w:t>11.</w:t>
            </w:r>
            <w:r w:rsidR="003C2B8A">
              <w:rPr>
                <w:rFonts w:asciiTheme="minorHAnsi" w:eastAsiaTheme="minorEastAsia" w:hAnsiTheme="minorHAnsi" w:cstheme="minorBidi"/>
                <w:b w:val="0"/>
                <w:noProof/>
                <w:sz w:val="22"/>
                <w:lang w:eastAsia="en-AU"/>
              </w:rPr>
              <w:tab/>
            </w:r>
            <w:r w:rsidR="003C2B8A" w:rsidRPr="00E55BDA">
              <w:rPr>
                <w:rStyle w:val="Hyperlink"/>
                <w:noProof/>
              </w:rPr>
              <w:t>Clinical questions</w:t>
            </w:r>
            <w:r w:rsidR="003C2B8A">
              <w:rPr>
                <w:noProof/>
                <w:webHidden/>
              </w:rPr>
              <w:tab/>
            </w:r>
            <w:r>
              <w:rPr>
                <w:noProof/>
                <w:webHidden/>
              </w:rPr>
              <w:fldChar w:fldCharType="begin"/>
            </w:r>
            <w:r w:rsidR="003C2B8A">
              <w:rPr>
                <w:noProof/>
                <w:webHidden/>
              </w:rPr>
              <w:instrText xml:space="preserve"> PAGEREF _Toc359237268 \h </w:instrText>
            </w:r>
            <w:r>
              <w:rPr>
                <w:noProof/>
                <w:webHidden/>
              </w:rPr>
            </w:r>
            <w:r>
              <w:rPr>
                <w:noProof/>
                <w:webHidden/>
              </w:rPr>
              <w:fldChar w:fldCharType="separate"/>
            </w:r>
            <w:r w:rsidR="00720928">
              <w:rPr>
                <w:noProof/>
                <w:webHidden/>
              </w:rPr>
              <w:t>49</w:t>
            </w:r>
            <w:r>
              <w:rPr>
                <w:noProof/>
                <w:webHidden/>
              </w:rPr>
              <w:fldChar w:fldCharType="end"/>
            </w:r>
          </w:hyperlink>
        </w:p>
        <w:p w:rsidR="003C2B8A" w:rsidRDefault="00423552">
          <w:pPr>
            <w:pStyle w:val="TOC3"/>
            <w:tabs>
              <w:tab w:val="left" w:pos="1920"/>
            </w:tabs>
            <w:rPr>
              <w:rFonts w:asciiTheme="minorHAnsi" w:eastAsiaTheme="minorEastAsia" w:hAnsiTheme="minorHAnsi" w:cstheme="minorBidi"/>
              <w:noProof/>
              <w:lang w:eastAsia="en-AU"/>
            </w:rPr>
          </w:pPr>
          <w:hyperlink w:anchor="_Toc359237269" w:history="1">
            <w:r w:rsidR="003C2B8A" w:rsidRPr="00E55BDA">
              <w:rPr>
                <w:rStyle w:val="Hyperlink"/>
                <w:noProof/>
              </w:rPr>
              <w:t>11.1.</w:t>
            </w:r>
            <w:r w:rsidR="003C2B8A">
              <w:rPr>
                <w:rFonts w:asciiTheme="minorHAnsi" w:eastAsiaTheme="minorEastAsia" w:hAnsiTheme="minorHAnsi" w:cstheme="minorBidi"/>
                <w:noProof/>
                <w:lang w:eastAsia="en-AU"/>
              </w:rPr>
              <w:tab/>
            </w:r>
            <w:r w:rsidR="003C2B8A" w:rsidRPr="00E55BDA">
              <w:rPr>
                <w:rStyle w:val="Hyperlink"/>
                <w:noProof/>
              </w:rPr>
              <w:t>Efficacy</w:t>
            </w:r>
            <w:r w:rsidR="003C2B8A">
              <w:rPr>
                <w:noProof/>
                <w:webHidden/>
              </w:rPr>
              <w:tab/>
            </w:r>
            <w:r>
              <w:rPr>
                <w:noProof/>
                <w:webHidden/>
              </w:rPr>
              <w:fldChar w:fldCharType="begin"/>
            </w:r>
            <w:r w:rsidR="003C2B8A">
              <w:rPr>
                <w:noProof/>
                <w:webHidden/>
              </w:rPr>
              <w:instrText xml:space="preserve"> PAGEREF _Toc359237269 \h </w:instrText>
            </w:r>
            <w:r>
              <w:rPr>
                <w:noProof/>
                <w:webHidden/>
              </w:rPr>
            </w:r>
            <w:r>
              <w:rPr>
                <w:noProof/>
                <w:webHidden/>
              </w:rPr>
              <w:fldChar w:fldCharType="separate"/>
            </w:r>
            <w:r w:rsidR="00720928">
              <w:rPr>
                <w:noProof/>
                <w:webHidden/>
              </w:rPr>
              <w:t>49</w:t>
            </w:r>
            <w:r>
              <w:rPr>
                <w:noProof/>
                <w:webHidden/>
              </w:rPr>
              <w:fldChar w:fldCharType="end"/>
            </w:r>
          </w:hyperlink>
        </w:p>
        <w:p w:rsidR="003C2B8A" w:rsidRDefault="00423552">
          <w:pPr>
            <w:pStyle w:val="TOC2"/>
            <w:tabs>
              <w:tab w:val="left" w:pos="1247"/>
            </w:tabs>
            <w:rPr>
              <w:rFonts w:asciiTheme="minorHAnsi" w:eastAsiaTheme="minorEastAsia" w:hAnsiTheme="minorHAnsi" w:cstheme="minorBidi"/>
              <w:b w:val="0"/>
              <w:noProof/>
              <w:sz w:val="22"/>
              <w:lang w:eastAsia="en-AU"/>
            </w:rPr>
          </w:pPr>
          <w:hyperlink w:anchor="_Toc359237270" w:history="1">
            <w:r w:rsidR="003C2B8A" w:rsidRPr="00E55BDA">
              <w:rPr>
                <w:rStyle w:val="Hyperlink"/>
                <w:noProof/>
              </w:rPr>
              <w:t>12.</w:t>
            </w:r>
            <w:r w:rsidR="003C2B8A">
              <w:rPr>
                <w:rFonts w:asciiTheme="minorHAnsi" w:eastAsiaTheme="minorEastAsia" w:hAnsiTheme="minorHAnsi" w:cstheme="minorBidi"/>
                <w:b w:val="0"/>
                <w:noProof/>
                <w:sz w:val="22"/>
                <w:lang w:eastAsia="en-AU"/>
              </w:rPr>
              <w:tab/>
            </w:r>
            <w:r w:rsidR="003C2B8A" w:rsidRPr="00E55BDA">
              <w:rPr>
                <w:rStyle w:val="Hyperlink"/>
                <w:noProof/>
              </w:rPr>
              <w:t>Second round evaluation of clinical data submitted in response to questions</w:t>
            </w:r>
            <w:r w:rsidR="003C2B8A">
              <w:rPr>
                <w:noProof/>
                <w:webHidden/>
              </w:rPr>
              <w:tab/>
            </w:r>
            <w:r>
              <w:rPr>
                <w:noProof/>
                <w:webHidden/>
              </w:rPr>
              <w:fldChar w:fldCharType="begin"/>
            </w:r>
            <w:r w:rsidR="003C2B8A">
              <w:rPr>
                <w:noProof/>
                <w:webHidden/>
              </w:rPr>
              <w:instrText xml:space="preserve"> PAGEREF _Toc359237270 \h </w:instrText>
            </w:r>
            <w:r>
              <w:rPr>
                <w:noProof/>
                <w:webHidden/>
              </w:rPr>
            </w:r>
            <w:r>
              <w:rPr>
                <w:noProof/>
                <w:webHidden/>
              </w:rPr>
              <w:fldChar w:fldCharType="separate"/>
            </w:r>
            <w:r w:rsidR="00720928">
              <w:rPr>
                <w:noProof/>
                <w:webHidden/>
              </w:rPr>
              <w:t>50</w:t>
            </w:r>
            <w:r>
              <w:rPr>
                <w:noProof/>
                <w:webHidden/>
              </w:rPr>
              <w:fldChar w:fldCharType="end"/>
            </w:r>
          </w:hyperlink>
        </w:p>
        <w:p w:rsidR="003A7F6C" w:rsidRPr="00B811C6" w:rsidRDefault="00423552" w:rsidP="00B811C6">
          <w:pPr>
            <w:pStyle w:val="TOC2"/>
          </w:pPr>
          <w:r>
            <w:fldChar w:fldCharType="end"/>
          </w:r>
        </w:p>
      </w:sdtContent>
    </w:sdt>
    <w:bookmarkStart w:id="2" w:name="_Toc314842482" w:displacedByCustomXml="prev"/>
    <w:p w:rsidR="00586F98" w:rsidRDefault="00586F98" w:rsidP="00E07ECC">
      <w:pPr>
        <w:pStyle w:val="Heading2"/>
        <w:numPr>
          <w:ilvl w:val="0"/>
          <w:numId w:val="0"/>
        </w:numPr>
      </w:pPr>
      <w:bookmarkStart w:id="3" w:name="_Toc351716269"/>
      <w:bookmarkStart w:id="4" w:name="_Toc351718881"/>
      <w:bookmarkStart w:id="5" w:name="_Toc355338616"/>
      <w:bookmarkStart w:id="6" w:name="_Toc359237239"/>
      <w:r>
        <w:lastRenderedPageBreak/>
        <w:t>List of abbreviations</w:t>
      </w:r>
      <w:bookmarkEnd w:id="3"/>
      <w:bookmarkEnd w:id="4"/>
      <w:bookmarkEnd w:id="5"/>
      <w:bookmarkEnd w:id="6"/>
    </w:p>
    <w:tbl>
      <w:tblPr>
        <w:tblStyle w:val="TableTGAblue"/>
        <w:tblW w:w="0" w:type="auto"/>
        <w:tblLayout w:type="fixed"/>
        <w:tblLook w:val="04A0"/>
      </w:tblPr>
      <w:tblGrid>
        <w:gridCol w:w="1951"/>
        <w:gridCol w:w="7376"/>
      </w:tblGrid>
      <w:tr w:rsidR="00586F98" w:rsidTr="00111588">
        <w:trPr>
          <w:cnfStyle w:val="100000000000"/>
        </w:trPr>
        <w:tc>
          <w:tcPr>
            <w:cnfStyle w:val="001000000000"/>
            <w:tcW w:w="1951" w:type="dxa"/>
          </w:tcPr>
          <w:p w:rsidR="00586F98" w:rsidRDefault="00586F98" w:rsidP="00E07ECC">
            <w:pPr>
              <w:keepNext/>
            </w:pPr>
            <w:r>
              <w:t>Abbreviation</w:t>
            </w:r>
          </w:p>
        </w:tc>
        <w:tc>
          <w:tcPr>
            <w:tcW w:w="7376" w:type="dxa"/>
          </w:tcPr>
          <w:p w:rsidR="00586F98" w:rsidRDefault="00586F98" w:rsidP="00E07ECC">
            <w:pPr>
              <w:keepNext/>
              <w:cnfStyle w:val="100000000000"/>
            </w:pPr>
            <w:r>
              <w:t>Meaning</w:t>
            </w:r>
          </w:p>
        </w:tc>
      </w:tr>
      <w:tr w:rsidR="00E07ECC" w:rsidTr="00111588">
        <w:tc>
          <w:tcPr>
            <w:cnfStyle w:val="001000000000"/>
            <w:tcW w:w="1951" w:type="dxa"/>
          </w:tcPr>
          <w:p w:rsidR="00E07ECC" w:rsidRDefault="00E07ECC" w:rsidP="00E07ECC">
            <w:pPr>
              <w:keepNext/>
            </w:pPr>
            <w:r w:rsidRPr="004277BC">
              <w:rPr>
                <w:szCs w:val="22"/>
              </w:rPr>
              <w:t>AED</w:t>
            </w:r>
          </w:p>
        </w:tc>
        <w:tc>
          <w:tcPr>
            <w:tcW w:w="7376" w:type="dxa"/>
          </w:tcPr>
          <w:p w:rsidR="00E07ECC" w:rsidRDefault="00E07ECC" w:rsidP="00E07ECC">
            <w:pPr>
              <w:keepNext/>
              <w:cnfStyle w:val="000000000000"/>
            </w:pPr>
            <w:r w:rsidRPr="004277BC">
              <w:rPr>
                <w:szCs w:val="22"/>
              </w:rPr>
              <w:t>Anti-epileptic drug</w:t>
            </w:r>
          </w:p>
        </w:tc>
      </w:tr>
      <w:tr w:rsidR="00E07ECC" w:rsidTr="00111588">
        <w:tc>
          <w:tcPr>
            <w:cnfStyle w:val="001000000000"/>
            <w:tcW w:w="1951" w:type="dxa"/>
          </w:tcPr>
          <w:p w:rsidR="00E07ECC" w:rsidRDefault="00E07ECC" w:rsidP="00E07ECC">
            <w:pPr>
              <w:keepNext/>
            </w:pPr>
            <w:r w:rsidRPr="004277BC">
              <w:rPr>
                <w:szCs w:val="22"/>
              </w:rPr>
              <w:t>ETV</w:t>
            </w:r>
          </w:p>
        </w:tc>
        <w:tc>
          <w:tcPr>
            <w:tcW w:w="7376" w:type="dxa"/>
          </w:tcPr>
          <w:p w:rsidR="00E07ECC" w:rsidRDefault="00E07ECC" w:rsidP="00E07ECC">
            <w:pPr>
              <w:keepNext/>
              <w:cnfStyle w:val="000000000000"/>
            </w:pPr>
            <w:r w:rsidRPr="004277BC">
              <w:rPr>
                <w:szCs w:val="22"/>
              </w:rPr>
              <w:t>Early Termination Visit</w:t>
            </w:r>
          </w:p>
        </w:tc>
      </w:tr>
      <w:tr w:rsidR="00E07ECC" w:rsidTr="00111588">
        <w:tc>
          <w:tcPr>
            <w:cnfStyle w:val="001000000000"/>
            <w:tcW w:w="1951" w:type="dxa"/>
          </w:tcPr>
          <w:p w:rsidR="00E07ECC" w:rsidRDefault="00E07ECC" w:rsidP="00E07ECC">
            <w:pPr>
              <w:keepNext/>
            </w:pPr>
            <w:r w:rsidRPr="004277BC">
              <w:rPr>
                <w:szCs w:val="22"/>
              </w:rPr>
              <w:t>FV</w:t>
            </w:r>
          </w:p>
        </w:tc>
        <w:tc>
          <w:tcPr>
            <w:tcW w:w="7376" w:type="dxa"/>
          </w:tcPr>
          <w:p w:rsidR="00E07ECC" w:rsidRDefault="00E07ECC" w:rsidP="00E07ECC">
            <w:pPr>
              <w:keepNext/>
              <w:cnfStyle w:val="000000000000"/>
            </w:pPr>
            <w:r w:rsidRPr="004277BC">
              <w:rPr>
                <w:szCs w:val="22"/>
              </w:rPr>
              <w:t>Final Visit</w:t>
            </w:r>
          </w:p>
        </w:tc>
      </w:tr>
      <w:tr w:rsidR="00E07ECC" w:rsidTr="00111588">
        <w:tc>
          <w:tcPr>
            <w:cnfStyle w:val="001000000000"/>
            <w:tcW w:w="1951" w:type="dxa"/>
          </w:tcPr>
          <w:p w:rsidR="00E07ECC" w:rsidRPr="00FD4F49" w:rsidRDefault="00E07ECC" w:rsidP="00FD4F49">
            <w:pPr>
              <w:keepNext/>
              <w:rPr>
                <w:szCs w:val="22"/>
              </w:rPr>
            </w:pPr>
            <w:proofErr w:type="spellStart"/>
            <w:r w:rsidRPr="004277BC">
              <w:rPr>
                <w:szCs w:val="22"/>
              </w:rPr>
              <w:t>Aldenkamp</w:t>
            </w:r>
            <w:proofErr w:type="spellEnd"/>
            <w:r w:rsidRPr="004277BC">
              <w:rPr>
                <w:szCs w:val="22"/>
              </w:rPr>
              <w:t xml:space="preserve">–Baker </w:t>
            </w:r>
            <w:proofErr w:type="spellStart"/>
            <w:r w:rsidRPr="004277BC">
              <w:rPr>
                <w:szCs w:val="22"/>
              </w:rPr>
              <w:t>Neuro</w:t>
            </w:r>
            <w:proofErr w:type="spellEnd"/>
            <w:r w:rsidR="00111588">
              <w:rPr>
                <w:szCs w:val="22"/>
              </w:rPr>
              <w:t>-</w:t>
            </w:r>
            <w:r w:rsidRPr="004277BC">
              <w:rPr>
                <w:szCs w:val="22"/>
              </w:rPr>
              <w:t>psychological Assessment Scale</w:t>
            </w:r>
          </w:p>
        </w:tc>
        <w:tc>
          <w:tcPr>
            <w:tcW w:w="7376" w:type="dxa"/>
          </w:tcPr>
          <w:p w:rsidR="00E07ECC" w:rsidRPr="00FD4F49" w:rsidRDefault="00E07ECC" w:rsidP="00FD4F49">
            <w:pPr>
              <w:keepNext/>
              <w:cnfStyle w:val="000000000000"/>
              <w:rPr>
                <w:szCs w:val="22"/>
              </w:rPr>
            </w:pPr>
            <w:r w:rsidRPr="004277BC">
              <w:rPr>
                <w:szCs w:val="22"/>
              </w:rPr>
              <w:t>The ABNAS is a subject based questionnaire to measure subjective perceived drug-related cognitive impairments. The questionnaire measured seven critical domains of cognition (tiredness/fatigue, hyperexcitability, slowing (mental and motor), memory impairment, attention disorders, impairment of motor coordi</w:t>
            </w:r>
            <w:r>
              <w:rPr>
                <w:szCs w:val="22"/>
              </w:rPr>
              <w:t>nation, and language disorders.</w:t>
            </w:r>
          </w:p>
        </w:tc>
      </w:tr>
      <w:tr w:rsidR="00586F98" w:rsidTr="00111588">
        <w:tc>
          <w:tcPr>
            <w:cnfStyle w:val="001000000000"/>
            <w:tcW w:w="1951" w:type="dxa"/>
          </w:tcPr>
          <w:p w:rsidR="00586F98" w:rsidRPr="00FD4F49" w:rsidRDefault="00E07ECC" w:rsidP="00FD4F49">
            <w:pPr>
              <w:rPr>
                <w:szCs w:val="22"/>
              </w:rPr>
            </w:pPr>
            <w:r w:rsidRPr="004277BC">
              <w:rPr>
                <w:szCs w:val="22"/>
              </w:rPr>
              <w:t>Bond–</w:t>
            </w:r>
            <w:proofErr w:type="spellStart"/>
            <w:r w:rsidRPr="004277BC">
              <w:rPr>
                <w:szCs w:val="22"/>
              </w:rPr>
              <w:t>Lader</w:t>
            </w:r>
            <w:proofErr w:type="spellEnd"/>
            <w:r w:rsidRPr="004277BC">
              <w:rPr>
                <w:szCs w:val="22"/>
              </w:rPr>
              <w:t xml:space="preserve"> Scale</w:t>
            </w:r>
          </w:p>
        </w:tc>
        <w:tc>
          <w:tcPr>
            <w:tcW w:w="7376" w:type="dxa"/>
          </w:tcPr>
          <w:p w:rsidR="00586F98" w:rsidRDefault="00E07ECC" w:rsidP="00E07ECC">
            <w:pPr>
              <w:cnfStyle w:val="000000000000"/>
            </w:pPr>
            <w:r w:rsidRPr="004277BC">
              <w:rPr>
                <w:szCs w:val="22"/>
              </w:rPr>
              <w:t>The Bond–Lader visual analogue scale is made up of</w:t>
            </w:r>
            <w:r>
              <w:rPr>
                <w:szCs w:val="22"/>
              </w:rPr>
              <w:t xml:space="preserve"> </w:t>
            </w:r>
            <w:r w:rsidRPr="004277BC">
              <w:rPr>
                <w:szCs w:val="22"/>
              </w:rPr>
              <w:t>16 pairs of alternative descriptors of mood and attention at either end of a 10 cm line. Subjects were asked to rate their feelings at the time of assessment by indicating the point on the line which best represented their mood. Each item was scored by measuring the position relative to the left hand end of the line and levels of anxiety, sedation, and dysphoria were then calculated from the combined</w:t>
            </w:r>
            <w:r>
              <w:t xml:space="preserve"> scores of selected items using a predefined weighting scheme.</w:t>
            </w:r>
          </w:p>
        </w:tc>
      </w:tr>
    </w:tbl>
    <w:p w:rsidR="00586F98" w:rsidRDefault="00586F98" w:rsidP="0043797D">
      <w:pPr>
        <w:pStyle w:val="Heading2"/>
        <w:pageBreakBefore/>
        <w:rPr>
          <w:lang w:eastAsia="en-AU"/>
        </w:rPr>
      </w:pPr>
      <w:bookmarkStart w:id="7" w:name="_Toc359237240"/>
      <w:bookmarkStart w:id="8" w:name="_Toc351718900"/>
      <w:bookmarkStart w:id="9" w:name="_Toc355338635"/>
      <w:r>
        <w:rPr>
          <w:lang w:eastAsia="en-AU"/>
        </w:rPr>
        <w:lastRenderedPageBreak/>
        <w:t>Clinical rationale</w:t>
      </w:r>
      <w:bookmarkEnd w:id="7"/>
    </w:p>
    <w:p w:rsidR="00E07ECC" w:rsidRDefault="00E07ECC" w:rsidP="00E07ECC">
      <w:pPr>
        <w:spacing w:after="60"/>
      </w:pPr>
      <w:r>
        <w:t>Zonisamide is thought to exert its actions by blockade of the</w:t>
      </w:r>
      <w:r w:rsidRPr="00D8697B">
        <w:t xml:space="preserve"> </w:t>
      </w:r>
      <w:r>
        <w:t>neuronal voltage-sensitive sodium and calcium channels, thereby disrupting synchronized neuronal firing, reducing the spread of seizure discharges and disturbing subsequent epileptic activities. In addition, it also has some effects on the synthesis, release, and degradation of a number of different neurotransmitters, including glutamate, GABA, dopamine, serotonin, and acetylcholine, which may lead to enhancement of synaptic inhibition.</w:t>
      </w:r>
    </w:p>
    <w:p w:rsidR="00E07ECC" w:rsidRDefault="00E07ECC" w:rsidP="00E07ECC">
      <w:pPr>
        <w:spacing w:after="60"/>
      </w:pPr>
      <w:r>
        <w:t>Partial epilepsies (focal or localization-related) account for more than 60% of epilepsies, and they include most of the difficult-to-treat subjects. Partial epilepsies include simple partial seizures (without impairment of consciousness), complex partial seizures (with impairment of consciousness and often more disabling), and secondarily generalized tonic-clonic seizures.</w:t>
      </w:r>
    </w:p>
    <w:p w:rsidR="00E07ECC" w:rsidRDefault="00E07ECC" w:rsidP="00E07ECC">
      <w:pPr>
        <w:spacing w:after="60"/>
      </w:pPr>
      <w:r>
        <w:t>The goals of treatment for adults with epilepsy are the best quality of life achievable, with no seizures, and the fewest possible adverse effects from treatment.</w:t>
      </w:r>
    </w:p>
    <w:p w:rsidR="00E07ECC" w:rsidRDefault="00E07ECC" w:rsidP="00E07ECC">
      <w:pPr>
        <w:spacing w:after="60"/>
      </w:pPr>
      <w:r>
        <w:t>The majority of newly diagnosed subjects (50% – 70%) achieve seizure freedom on monotherapy. Monotherapy is more likely to facilitate subjects’ compliance with treatment, whereas the opposite is true for polytherapy regimens.</w:t>
      </w:r>
    </w:p>
    <w:p w:rsidR="00586F98" w:rsidRDefault="00586F98" w:rsidP="00586F98">
      <w:pPr>
        <w:pStyle w:val="Heading2"/>
        <w:rPr>
          <w:lang w:eastAsia="en-AU"/>
        </w:rPr>
      </w:pPr>
      <w:bookmarkStart w:id="10" w:name="_Toc359237241"/>
      <w:r>
        <w:rPr>
          <w:lang w:eastAsia="en-AU"/>
        </w:rPr>
        <w:t>Contents of the clinical dossier</w:t>
      </w:r>
      <w:bookmarkEnd w:id="8"/>
      <w:bookmarkEnd w:id="9"/>
      <w:bookmarkEnd w:id="10"/>
    </w:p>
    <w:p w:rsidR="00586F98" w:rsidRDefault="00586F98" w:rsidP="00586F98">
      <w:pPr>
        <w:pStyle w:val="Heading3"/>
      </w:pPr>
      <w:bookmarkStart w:id="11" w:name="_Toc359237242"/>
      <w:r>
        <w:t>Scope of the clinical dossier</w:t>
      </w:r>
      <w:bookmarkEnd w:id="11"/>
    </w:p>
    <w:p w:rsidR="00E07ECC" w:rsidRDefault="00E07ECC" w:rsidP="00E07ECC">
      <w:pPr>
        <w:spacing w:after="60"/>
      </w:pPr>
      <w:r>
        <w:t xml:space="preserve">The submission included: </w:t>
      </w:r>
    </w:p>
    <w:p w:rsidR="00E07ECC" w:rsidRDefault="00E07ECC" w:rsidP="00E07ECC">
      <w:pPr>
        <w:spacing w:after="60"/>
      </w:pPr>
      <w:r>
        <w:t>One clinical pharmacology study (ELN46046-108) that evaluated the effect of race on 100</w:t>
      </w:r>
      <w:r w:rsidR="000A6651">
        <w:t xml:space="preserve"> </w:t>
      </w:r>
      <w:r>
        <w:t xml:space="preserve">mg single-dose PKs of zonisamide in healthy White, Black, and Asian subjects. </w:t>
      </w:r>
    </w:p>
    <w:p w:rsidR="00E07ECC" w:rsidRPr="004D67C1" w:rsidRDefault="00E07ECC" w:rsidP="00E07ECC">
      <w:pPr>
        <w:spacing w:after="60"/>
      </w:pPr>
      <w:r>
        <w:t>Two efficacy studies:</w:t>
      </w:r>
    </w:p>
    <w:p w:rsidR="00E07ECC" w:rsidRDefault="00E07ECC" w:rsidP="000A6651">
      <w:pPr>
        <w:pStyle w:val="ListBullet"/>
      </w:pPr>
      <w:r>
        <w:t xml:space="preserve">Pivotal </w:t>
      </w:r>
      <w:proofErr w:type="spellStart"/>
      <w:r>
        <w:t>noninferiority</w:t>
      </w:r>
      <w:proofErr w:type="spellEnd"/>
      <w:r>
        <w:t xml:space="preserve"> study E2090-E044-310 that compared zonisamide used as a monotherapy to treat newly diagnosed partial epilepsy in adults</w:t>
      </w:r>
      <w:r w:rsidR="000A6651">
        <w:t xml:space="preserve"> versus </w:t>
      </w:r>
      <w:r>
        <w:t>carbamazepine.</w:t>
      </w:r>
    </w:p>
    <w:p w:rsidR="00E07ECC" w:rsidRDefault="00E07ECC" w:rsidP="000A6651">
      <w:pPr>
        <w:pStyle w:val="ListBullet"/>
      </w:pPr>
      <w:r>
        <w:t>Study AN46046-304 evaluated the dose-response relationships of zonisamide monotherapy in adults with newly diagnosed epilepsy and complex partial seizures.</w:t>
      </w:r>
    </w:p>
    <w:p w:rsidR="00E07ECC" w:rsidRDefault="00E07ECC" w:rsidP="00E07ECC">
      <w:pPr>
        <w:spacing w:after="60"/>
      </w:pPr>
      <w:r>
        <w:t>Safety data from two extension studies:</w:t>
      </w:r>
    </w:p>
    <w:p w:rsidR="00E07ECC" w:rsidRDefault="00E07ECC" w:rsidP="000A6651">
      <w:pPr>
        <w:pStyle w:val="ListBullet"/>
      </w:pPr>
      <w:r>
        <w:t xml:space="preserve">StudyE2090-E044-314 from the ongoing double-blind extension of StudyE2090-E044-310, as of the data cut-off of 31 December 2010 (targeted to end in June 2011). </w:t>
      </w:r>
    </w:p>
    <w:p w:rsidR="00E07ECC" w:rsidRDefault="00E07ECC" w:rsidP="000A6651">
      <w:pPr>
        <w:pStyle w:val="ListBullet"/>
      </w:pPr>
      <w:r>
        <w:t>Study ELN46046-355 from the</w:t>
      </w:r>
      <w:r w:rsidRPr="00FC0E9A">
        <w:t xml:space="preserve"> </w:t>
      </w:r>
      <w:r>
        <w:t>open-label extension of Study ELN46046-304, completed in 2005 planned duration of treatment was up to 24 months. However, the study was terminated early, upon receipt of marketing approval in the EU.</w:t>
      </w:r>
    </w:p>
    <w:p w:rsidR="00586F98" w:rsidRDefault="00586F98" w:rsidP="00586F98">
      <w:pPr>
        <w:pStyle w:val="Heading3"/>
      </w:pPr>
      <w:bookmarkStart w:id="12" w:name="_Toc359237243"/>
      <w:r>
        <w:t>Paediatric data</w:t>
      </w:r>
      <w:bookmarkEnd w:id="12"/>
    </w:p>
    <w:p w:rsidR="00E07ECC" w:rsidRPr="00E07ECC" w:rsidRDefault="00E07ECC" w:rsidP="003C2B8A">
      <w:bookmarkStart w:id="13" w:name="_Toc359237244"/>
      <w:r w:rsidRPr="00E07ECC">
        <w:t>The submission did not include paediatric data.</w:t>
      </w:r>
      <w:bookmarkEnd w:id="13"/>
    </w:p>
    <w:p w:rsidR="00586F98" w:rsidRDefault="00586F98" w:rsidP="00586F98">
      <w:pPr>
        <w:pStyle w:val="Heading3"/>
      </w:pPr>
      <w:bookmarkStart w:id="14" w:name="_Toc359237245"/>
      <w:r>
        <w:t>Good clinical practice</w:t>
      </w:r>
      <w:bookmarkEnd w:id="14"/>
    </w:p>
    <w:p w:rsidR="00E07ECC" w:rsidRDefault="00E07ECC" w:rsidP="00E07ECC">
      <w:pPr>
        <w:spacing w:after="60"/>
      </w:pPr>
      <w:bookmarkStart w:id="15" w:name="_Toc355338639"/>
      <w:r>
        <w:t>The studies were carried out in accordance with Good Clinical Practice.</w:t>
      </w:r>
    </w:p>
    <w:p w:rsidR="00586F98" w:rsidRDefault="00586F98" w:rsidP="00586F98">
      <w:pPr>
        <w:pStyle w:val="Heading2"/>
      </w:pPr>
      <w:bookmarkStart w:id="16" w:name="_Toc359237246"/>
      <w:r>
        <w:lastRenderedPageBreak/>
        <w:t>Pharmacokinetics</w:t>
      </w:r>
      <w:bookmarkEnd w:id="15"/>
      <w:bookmarkEnd w:id="16"/>
      <w:r>
        <w:t xml:space="preserve"> </w:t>
      </w:r>
    </w:p>
    <w:p w:rsidR="00E07ECC" w:rsidRDefault="00E07ECC" w:rsidP="000A6651">
      <w:pPr>
        <w:pStyle w:val="Heading3"/>
      </w:pPr>
      <w:bookmarkStart w:id="17" w:name="_Ref271017296"/>
      <w:bookmarkStart w:id="18" w:name="_Ref271018924"/>
      <w:bookmarkStart w:id="19" w:name="_Ref271018934"/>
      <w:bookmarkStart w:id="20" w:name="_Toc272414614"/>
      <w:bookmarkStart w:id="21" w:name="_Toc290846238"/>
      <w:bookmarkStart w:id="22" w:name="_Toc290888775"/>
      <w:bookmarkStart w:id="23" w:name="_Toc326646505"/>
      <w:bookmarkStart w:id="24" w:name="_Toc359237247"/>
      <w:r>
        <w:t>Stud</w:t>
      </w:r>
      <w:bookmarkEnd w:id="17"/>
      <w:bookmarkEnd w:id="18"/>
      <w:bookmarkEnd w:id="19"/>
      <w:bookmarkEnd w:id="20"/>
      <w:bookmarkEnd w:id="21"/>
      <w:bookmarkEnd w:id="22"/>
      <w:r>
        <w:t xml:space="preserve">y </w:t>
      </w:r>
      <w:r w:rsidRPr="003C154A">
        <w:t>ELN46046-108</w:t>
      </w:r>
      <w:bookmarkEnd w:id="23"/>
      <w:bookmarkEnd w:id="24"/>
    </w:p>
    <w:p w:rsidR="00E07ECC" w:rsidRDefault="00E07ECC" w:rsidP="00E07ECC">
      <w:pPr>
        <w:spacing w:after="60"/>
      </w:pPr>
      <w:r>
        <w:t>A US single-centre, open-label, parallel group study in three groups</w:t>
      </w:r>
      <w:r w:rsidRPr="00F151D7">
        <w:t xml:space="preserve"> </w:t>
      </w:r>
      <w:r>
        <w:t>(Group 1: White; Group 2: Black; Group 3: Asian) of healthy subjects</w:t>
      </w:r>
      <w:r w:rsidRPr="00F151D7">
        <w:t xml:space="preserve"> </w:t>
      </w:r>
      <w:r>
        <w:t>to examine the effect of race on the single 10</w:t>
      </w:r>
      <w:r w:rsidR="000A6651">
        <w:t>0 mg</w:t>
      </w:r>
      <w:r>
        <w:t xml:space="preserve"> dose PKs of zonisamide in healthy subjects. </w:t>
      </w:r>
    </w:p>
    <w:p w:rsidR="00E07ECC" w:rsidRDefault="00E07ECC" w:rsidP="00E07ECC">
      <w:pPr>
        <w:spacing w:after="60"/>
      </w:pPr>
      <w:r>
        <w:t xml:space="preserve">Thirty-six subjects were enrolled (and completed), with 12 subjects (6 males and 6 females) in each group. Subjects were screened within 21 days prior to dosing. </w:t>
      </w:r>
    </w:p>
    <w:p w:rsidR="00E07ECC" w:rsidRPr="00F151D7" w:rsidRDefault="00E07ECC" w:rsidP="00E07ECC">
      <w:pPr>
        <w:spacing w:after="60"/>
      </w:pPr>
      <w:r>
        <w:t>M</w:t>
      </w:r>
      <w:r w:rsidRPr="00295247">
        <w:t>easurement of serum zonisamide concentration</w:t>
      </w:r>
      <w:r w:rsidR="000A6651">
        <w:t>s</w:t>
      </w:r>
      <w:r>
        <w:t xml:space="preserve"> was made </w:t>
      </w:r>
      <w:r w:rsidRPr="00295247">
        <w:t>using a validated high performance liquid</w:t>
      </w:r>
      <w:r>
        <w:t xml:space="preserve"> </w:t>
      </w:r>
      <w:r w:rsidRPr="00295247">
        <w:t>chromatographic (HPLC) method with ultraviolet (UV) detection.</w:t>
      </w:r>
    </w:p>
    <w:p w:rsidR="00E07ECC" w:rsidRDefault="00E07ECC" w:rsidP="00E07ECC">
      <w:pPr>
        <w:spacing w:after="60"/>
      </w:pPr>
      <w:r w:rsidRPr="00044E1F">
        <w:t>There were no important protocol deviations.</w:t>
      </w:r>
    </w:p>
    <w:p w:rsidR="00E07ECC" w:rsidRDefault="00E07ECC" w:rsidP="00FD4F49">
      <w:pPr>
        <w:pStyle w:val="TableTitle"/>
      </w:pPr>
      <w:bookmarkStart w:id="25" w:name="_Toc326646546"/>
      <w:r>
        <w:t xml:space="preserve">Table </w:t>
      </w:r>
      <w:r w:rsidR="00423552">
        <w:fldChar w:fldCharType="begin"/>
      </w:r>
      <w:r w:rsidR="00FC3F50">
        <w:instrText xml:space="preserve"> SEQ Table \* ARABIC </w:instrText>
      </w:r>
      <w:r w:rsidR="00423552">
        <w:fldChar w:fldCharType="separate"/>
      </w:r>
      <w:r w:rsidR="002E4F77">
        <w:rPr>
          <w:noProof/>
        </w:rPr>
        <w:t>1</w:t>
      </w:r>
      <w:r w:rsidR="00423552">
        <w:fldChar w:fldCharType="end"/>
      </w:r>
      <w:r w:rsidR="003C2B8A">
        <w:t>.</w:t>
      </w:r>
      <w:r>
        <w:t xml:space="preserve"> </w:t>
      </w:r>
      <w:r w:rsidRPr="00044E1F">
        <w:t>Demographic and Baseline Characteristics</w:t>
      </w:r>
      <w:bookmarkEnd w:id="25"/>
    </w:p>
    <w:p w:rsidR="00E07ECC" w:rsidRDefault="00E07ECC" w:rsidP="00E07ECC">
      <w:r>
        <w:rPr>
          <w:noProof/>
          <w:lang w:eastAsia="en-AU"/>
        </w:rPr>
        <w:drawing>
          <wp:inline distT="0" distB="0" distL="0" distR="0">
            <wp:extent cx="4783455" cy="2408555"/>
            <wp:effectExtent l="19050" t="0" r="0" b="0"/>
            <wp:docPr id="2" name="Picture 2" descr="Table 1 Demographic and Baselin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l="1854" t="3235"/>
                    <a:stretch>
                      <a:fillRect/>
                    </a:stretch>
                  </pic:blipFill>
                  <pic:spPr bwMode="auto">
                    <a:xfrm>
                      <a:off x="0" y="0"/>
                      <a:ext cx="4783455" cy="2408555"/>
                    </a:xfrm>
                    <a:prstGeom prst="rect">
                      <a:avLst/>
                    </a:prstGeom>
                    <a:noFill/>
                    <a:ln w="9525">
                      <a:noFill/>
                      <a:miter lim="800000"/>
                      <a:headEnd/>
                      <a:tailEnd/>
                    </a:ln>
                  </pic:spPr>
                </pic:pic>
              </a:graphicData>
            </a:graphic>
          </wp:inline>
        </w:drawing>
      </w:r>
    </w:p>
    <w:p w:rsidR="00E07ECC" w:rsidRDefault="00E07ECC" w:rsidP="00E07ECC"/>
    <w:p w:rsidR="00E07ECC" w:rsidRDefault="00E07ECC" w:rsidP="00E07ECC">
      <w:pPr>
        <w:sectPr w:rsidR="00E07ECC" w:rsidSect="000A6651">
          <w:footerReference w:type="default" r:id="rId15"/>
          <w:footnotePr>
            <w:numFmt w:val="lowerLetter"/>
          </w:footnotePr>
          <w:endnotePr>
            <w:numFmt w:val="decimal"/>
          </w:endnotePr>
          <w:pgSz w:w="11906" w:h="16838" w:code="9"/>
          <w:pgMar w:top="1134" w:right="1134" w:bottom="1134" w:left="1440" w:header="737" w:footer="737" w:gutter="0"/>
          <w:cols w:space="720"/>
        </w:sectPr>
      </w:pPr>
    </w:p>
    <w:p w:rsidR="00E07ECC" w:rsidRDefault="00E07ECC" w:rsidP="000A6651">
      <w:pPr>
        <w:pStyle w:val="FigureTitle"/>
      </w:pPr>
      <w:bookmarkStart w:id="26" w:name="_Toc326646582"/>
      <w:r>
        <w:lastRenderedPageBreak/>
        <w:t xml:space="preserve">Figure </w:t>
      </w:r>
      <w:r w:rsidR="00423552">
        <w:fldChar w:fldCharType="begin"/>
      </w:r>
      <w:r w:rsidR="00FC3F50">
        <w:instrText xml:space="preserve"> SEQ Figure \* ARABIC </w:instrText>
      </w:r>
      <w:r w:rsidR="00423552">
        <w:fldChar w:fldCharType="separate"/>
      </w:r>
      <w:r w:rsidR="002E4F77">
        <w:rPr>
          <w:noProof/>
        </w:rPr>
        <w:t>1</w:t>
      </w:r>
      <w:r w:rsidR="00423552">
        <w:fldChar w:fldCharType="end"/>
      </w:r>
      <w:r w:rsidR="000A6651">
        <w:t>.</w:t>
      </w:r>
      <w:r>
        <w:t xml:space="preserve"> </w:t>
      </w:r>
      <w:r w:rsidRPr="001C01D3">
        <w:t>Mean Serum Zonisamide Concentration–Time Plots</w:t>
      </w:r>
      <w:bookmarkEnd w:id="26"/>
      <w:r w:rsidR="000A6651">
        <w:t xml:space="preserve">. </w:t>
      </w:r>
    </w:p>
    <w:p w:rsidR="00E07ECC" w:rsidRDefault="00FD4F49" w:rsidP="00FD4F49">
      <w:pPr>
        <w:tabs>
          <w:tab w:val="left" w:pos="2835"/>
        </w:tabs>
      </w:pPr>
      <w:r>
        <w:tab/>
      </w:r>
      <w:r w:rsidR="000A6651" w:rsidRPr="001C01D3">
        <w:t>(Linear Scale)</w:t>
      </w:r>
    </w:p>
    <w:p w:rsidR="001A2E35" w:rsidRDefault="00E07ECC" w:rsidP="00640C21">
      <w:pPr>
        <w:ind w:firstLine="284"/>
      </w:pPr>
      <w:r>
        <w:rPr>
          <w:noProof/>
          <w:lang w:eastAsia="en-AU"/>
        </w:rPr>
        <w:drawing>
          <wp:inline distT="0" distB="0" distL="0" distR="0">
            <wp:extent cx="4504055" cy="3050540"/>
            <wp:effectExtent l="19050" t="0" r="0" b="0"/>
            <wp:docPr id="3" name="Picture 3" descr="Figure 1. Mean Serum Zonisamide Concentration–Time Plots.  Linear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4504055" cy="3050540"/>
                    </a:xfrm>
                    <a:prstGeom prst="rect">
                      <a:avLst/>
                    </a:prstGeom>
                    <a:noFill/>
                    <a:ln w="9525">
                      <a:noFill/>
                      <a:miter lim="800000"/>
                      <a:headEnd/>
                      <a:tailEnd/>
                    </a:ln>
                  </pic:spPr>
                </pic:pic>
              </a:graphicData>
            </a:graphic>
          </wp:inline>
        </w:drawing>
      </w:r>
      <w:r w:rsidRPr="001C01D3">
        <w:t xml:space="preserve"> </w:t>
      </w:r>
    </w:p>
    <w:p w:rsidR="001A2E35" w:rsidRDefault="001A2E35" w:rsidP="00FD4F49">
      <w:pPr>
        <w:spacing w:before="480"/>
        <w:ind w:firstLine="2835"/>
      </w:pPr>
      <w:r w:rsidRPr="00036AC1">
        <w:t>(Semi-Logarithmic Scale)</w:t>
      </w:r>
    </w:p>
    <w:p w:rsidR="00E07ECC" w:rsidRDefault="00E07ECC" w:rsidP="001A2E35">
      <w:r>
        <w:rPr>
          <w:noProof/>
          <w:lang w:eastAsia="en-AU"/>
        </w:rPr>
        <w:drawing>
          <wp:inline distT="0" distB="0" distL="0" distR="0">
            <wp:extent cx="4504055" cy="3084195"/>
            <wp:effectExtent l="19050" t="0" r="0" b="0"/>
            <wp:docPr id="4" name="Picture 4" descr="Figure 1. Mean Serum Zonisamide Concentration–Time Plots. (Semi-Logarithmic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504055" cy="3084195"/>
                    </a:xfrm>
                    <a:prstGeom prst="rect">
                      <a:avLst/>
                    </a:prstGeom>
                    <a:noFill/>
                    <a:ln w="9525">
                      <a:noFill/>
                      <a:miter lim="800000"/>
                      <a:headEnd/>
                      <a:tailEnd/>
                    </a:ln>
                  </pic:spPr>
                </pic:pic>
              </a:graphicData>
            </a:graphic>
          </wp:inline>
        </w:drawing>
      </w:r>
    </w:p>
    <w:p w:rsidR="00E07ECC" w:rsidRDefault="00E07ECC" w:rsidP="00FD4F49">
      <w:pPr>
        <w:pStyle w:val="TableTitle"/>
      </w:pPr>
      <w:bookmarkStart w:id="27" w:name="_Toc326646547"/>
      <w:r>
        <w:lastRenderedPageBreak/>
        <w:t xml:space="preserve">Table </w:t>
      </w:r>
      <w:r w:rsidR="00423552">
        <w:fldChar w:fldCharType="begin"/>
      </w:r>
      <w:r w:rsidR="00FC3F50">
        <w:instrText xml:space="preserve"> SEQ Table \* ARABIC </w:instrText>
      </w:r>
      <w:r w:rsidR="00423552">
        <w:fldChar w:fldCharType="separate"/>
      </w:r>
      <w:r w:rsidR="002E4F77">
        <w:rPr>
          <w:noProof/>
        </w:rPr>
        <w:t>2</w:t>
      </w:r>
      <w:r w:rsidR="00423552">
        <w:fldChar w:fldCharType="end"/>
      </w:r>
      <w:r w:rsidR="001A2E35">
        <w:t>.</w:t>
      </w:r>
      <w:r>
        <w:t xml:space="preserve"> </w:t>
      </w:r>
      <w:r w:rsidRPr="00036AC1">
        <w:t>Summary Statistics for Zonisamide Pharmacokinetic Parameters</w:t>
      </w:r>
      <w:bookmarkEnd w:id="27"/>
    </w:p>
    <w:p w:rsidR="00E07ECC" w:rsidRDefault="00E07ECC" w:rsidP="000A6651">
      <w:pPr>
        <w:keepNext/>
      </w:pPr>
      <w:r>
        <w:rPr>
          <w:noProof/>
          <w:lang w:eastAsia="en-AU"/>
        </w:rPr>
        <w:drawing>
          <wp:inline distT="0" distB="0" distL="0" distR="0">
            <wp:extent cx="5916295" cy="4701540"/>
            <wp:effectExtent l="19050" t="0" r="8255" b="0"/>
            <wp:docPr id="5" name="Picture 5" descr="Table 2. Summary Statistics for Zonisamide Pharmacokinetic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916295" cy="4701540"/>
                    </a:xfrm>
                    <a:prstGeom prst="rect">
                      <a:avLst/>
                    </a:prstGeom>
                    <a:noFill/>
                    <a:ln w="9525">
                      <a:noFill/>
                      <a:miter lim="800000"/>
                      <a:headEnd/>
                      <a:tailEnd/>
                    </a:ln>
                  </pic:spPr>
                </pic:pic>
              </a:graphicData>
            </a:graphic>
          </wp:inline>
        </w:drawing>
      </w:r>
    </w:p>
    <w:p w:rsidR="00E07ECC" w:rsidRPr="000A6651" w:rsidRDefault="00E07ECC" w:rsidP="000A6651">
      <w:pPr>
        <w:keepNext/>
        <w:rPr>
          <w:sz w:val="18"/>
          <w:szCs w:val="18"/>
        </w:rPr>
      </w:pPr>
      <w:r w:rsidRPr="000A6651">
        <w:rPr>
          <w:sz w:val="18"/>
          <w:szCs w:val="18"/>
          <w:vertAlign w:val="superscript"/>
        </w:rPr>
        <w:t>1</w:t>
      </w:r>
      <w:r w:rsidRPr="000A6651">
        <w:rPr>
          <w:sz w:val="18"/>
          <w:szCs w:val="18"/>
        </w:rPr>
        <w:t xml:space="preserve"> The estimated harmonic mean ± pseudo SD (based on the jack knife variance) for t½ in the White, Black, and Asian groups were 65.0 ± 9.77 hr, 78.3 ± 21.18 hr, and 64.7 ± 23.42 hr, respectively</w:t>
      </w:r>
      <w:r w:rsidR="000A6651" w:rsidRPr="000A6651">
        <w:rPr>
          <w:sz w:val="18"/>
          <w:szCs w:val="18"/>
        </w:rPr>
        <w:t xml:space="preserve">. </w:t>
      </w:r>
      <w:r w:rsidRPr="000A6651">
        <w:rPr>
          <w:sz w:val="18"/>
          <w:szCs w:val="18"/>
          <w:vertAlign w:val="superscript"/>
        </w:rPr>
        <w:t>2</w:t>
      </w:r>
      <w:r w:rsidR="00FD4F49">
        <w:rPr>
          <w:sz w:val="18"/>
          <w:szCs w:val="18"/>
        </w:rPr>
        <w:t xml:space="preserve"> GeoMean = Geometric Mean </w:t>
      </w:r>
    </w:p>
    <w:p w:rsidR="00E07ECC" w:rsidRDefault="00E07ECC" w:rsidP="00FD4F49">
      <w:pPr>
        <w:pStyle w:val="TableTitle"/>
      </w:pPr>
      <w:bookmarkStart w:id="28" w:name="_Toc326646548"/>
      <w:r>
        <w:t xml:space="preserve">Table </w:t>
      </w:r>
      <w:r w:rsidR="00423552">
        <w:fldChar w:fldCharType="begin"/>
      </w:r>
      <w:r w:rsidR="00FC3F50">
        <w:instrText xml:space="preserve"> SEQ Table \* ARABIC </w:instrText>
      </w:r>
      <w:r w:rsidR="00423552">
        <w:fldChar w:fldCharType="separate"/>
      </w:r>
      <w:r w:rsidR="002E4F77">
        <w:rPr>
          <w:noProof/>
        </w:rPr>
        <w:t>3</w:t>
      </w:r>
      <w:r w:rsidR="00423552">
        <w:fldChar w:fldCharType="end"/>
      </w:r>
      <w:r w:rsidR="000A6651">
        <w:t>.</w:t>
      </w:r>
      <w:r w:rsidR="003C2B8A">
        <w:t xml:space="preserve"> </w:t>
      </w:r>
      <w:r>
        <w:t>Equivalence Analysis of Pharmacokinetic Exposure Parameters for Zonisamide between Races</w:t>
      </w:r>
      <w:bookmarkEnd w:id="28"/>
    </w:p>
    <w:p w:rsidR="00E07ECC" w:rsidRDefault="00E07ECC" w:rsidP="000A6651">
      <w:pPr>
        <w:keepNext/>
      </w:pPr>
      <w:r>
        <w:rPr>
          <w:noProof/>
          <w:lang w:eastAsia="en-AU"/>
        </w:rPr>
        <w:drawing>
          <wp:inline distT="0" distB="0" distL="0" distR="0">
            <wp:extent cx="5930265" cy="2149475"/>
            <wp:effectExtent l="19050" t="0" r="0" b="0"/>
            <wp:docPr id="6" name="Picture 6" descr="Table 3. Equivalence Analysis of Pharmacokinetic Exposure Parameters for Zonisamide between R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930265" cy="2149475"/>
                    </a:xfrm>
                    <a:prstGeom prst="rect">
                      <a:avLst/>
                    </a:prstGeom>
                    <a:noFill/>
                    <a:ln w="9525">
                      <a:noFill/>
                      <a:miter lim="800000"/>
                      <a:headEnd/>
                      <a:tailEnd/>
                    </a:ln>
                  </pic:spPr>
                </pic:pic>
              </a:graphicData>
            </a:graphic>
          </wp:inline>
        </w:drawing>
      </w:r>
    </w:p>
    <w:p w:rsidR="00E07ECC" w:rsidRPr="000A6651" w:rsidRDefault="00E07ECC" w:rsidP="000A6651">
      <w:pPr>
        <w:keepNext/>
        <w:rPr>
          <w:sz w:val="18"/>
          <w:szCs w:val="18"/>
        </w:rPr>
      </w:pPr>
      <w:r w:rsidRPr="000A6651">
        <w:rPr>
          <w:sz w:val="18"/>
          <w:szCs w:val="18"/>
          <w:vertAlign w:val="superscript"/>
        </w:rPr>
        <w:t>1</w:t>
      </w:r>
      <w:r w:rsidRPr="000A6651">
        <w:rPr>
          <w:sz w:val="18"/>
          <w:szCs w:val="18"/>
        </w:rPr>
        <w:t xml:space="preserve"> Ratio of geometric means of two races (Black versus White, Asian versus White, or Black versus Asian) and the associated 90% CI</w:t>
      </w:r>
      <w:r w:rsidR="000A6651">
        <w:rPr>
          <w:sz w:val="18"/>
          <w:szCs w:val="18"/>
        </w:rPr>
        <w:t xml:space="preserve">. </w:t>
      </w:r>
      <w:r w:rsidRPr="000A6651">
        <w:rPr>
          <w:sz w:val="18"/>
          <w:szCs w:val="18"/>
          <w:vertAlign w:val="superscript"/>
        </w:rPr>
        <w:t>2</w:t>
      </w:r>
      <w:r w:rsidRPr="000A6651">
        <w:rPr>
          <w:sz w:val="18"/>
          <w:szCs w:val="18"/>
        </w:rPr>
        <w:t xml:space="preserve"> The natural logarithm of the ratio of the geometric means was analysed using linear contrasts with significance level of 5% for each contrast</w:t>
      </w:r>
      <w:r w:rsidR="000A6651">
        <w:rPr>
          <w:sz w:val="18"/>
          <w:szCs w:val="18"/>
        </w:rPr>
        <w:t xml:space="preserve">. </w:t>
      </w:r>
      <w:r w:rsidRPr="000A6651">
        <w:rPr>
          <w:sz w:val="18"/>
          <w:szCs w:val="18"/>
          <w:vertAlign w:val="superscript"/>
        </w:rPr>
        <w:t>3</w:t>
      </w:r>
      <w:r w:rsidRPr="000A6651">
        <w:rPr>
          <w:sz w:val="18"/>
          <w:szCs w:val="18"/>
        </w:rPr>
        <w:t xml:space="preserve"> P-values for the co-primary comparisons have been adjusted using a Bonferroni correction with an overall significance level of 5%</w:t>
      </w:r>
    </w:p>
    <w:p w:rsidR="00E07ECC" w:rsidRDefault="00E07ECC" w:rsidP="00E07ECC">
      <w:pPr>
        <w:spacing w:after="60"/>
      </w:pPr>
      <w:r>
        <w:lastRenderedPageBreak/>
        <w:t>The ANOVA model showed no</w:t>
      </w:r>
      <w:r w:rsidRPr="00800C0D">
        <w:t xml:space="preserve"> </w:t>
      </w:r>
      <w:r>
        <w:t>statistically significant (p&gt;0.05) comparisons between racial groups except of C</w:t>
      </w:r>
      <w:r w:rsidRPr="00FA76E1">
        <w:rPr>
          <w:vertAlign w:val="subscript"/>
        </w:rPr>
        <w:t>max</w:t>
      </w:r>
      <w:r>
        <w:t xml:space="preserve"> (Black</w:t>
      </w:r>
      <w:r w:rsidR="000A6651">
        <w:t xml:space="preserve"> versus </w:t>
      </w:r>
      <w:r>
        <w:t>Asian; p=0.0402), λ</w:t>
      </w:r>
      <w:r w:rsidRPr="00FA76E1">
        <w:rPr>
          <w:vertAlign w:val="subscript"/>
        </w:rPr>
        <w:t>z</w:t>
      </w:r>
      <w:r>
        <w:t xml:space="preserve"> (Black</w:t>
      </w:r>
      <w:r w:rsidR="000A6651">
        <w:t xml:space="preserve"> versus </w:t>
      </w:r>
      <w:r>
        <w:t>White; p=0.0491), and V</w:t>
      </w:r>
      <w:r w:rsidRPr="00FA76E1">
        <w:rPr>
          <w:vertAlign w:val="subscript"/>
        </w:rPr>
        <w:t>z</w:t>
      </w:r>
      <w:r>
        <w:t>/F (Black</w:t>
      </w:r>
      <w:r w:rsidR="000A6651">
        <w:t xml:space="preserve"> versus </w:t>
      </w:r>
      <w:r>
        <w:t>Asian; p=0.0460).</w:t>
      </w:r>
    </w:p>
    <w:p w:rsidR="00E07ECC" w:rsidRDefault="00E07ECC" w:rsidP="00E07ECC">
      <w:pPr>
        <w:spacing w:after="60"/>
      </w:pPr>
      <w:r>
        <w:t>Because of the body weight differences between race groups, an ANCOVA model with baseline body weight as a covariate was used for further analysis. Results showed no statistically significant differences for AUC</w:t>
      </w:r>
      <w:r w:rsidRPr="006F2A49">
        <w:rPr>
          <w:rFonts w:cs="Cambria"/>
          <w:vertAlign w:val="subscript"/>
        </w:rPr>
        <w:t>∞</w:t>
      </w:r>
      <w:r>
        <w:rPr>
          <w:rFonts w:cs="Cambria"/>
        </w:rPr>
        <w:t xml:space="preserve"> or C</w:t>
      </w:r>
      <w:r w:rsidRPr="006F2A49">
        <w:rPr>
          <w:rFonts w:cs="Cambria"/>
          <w:vertAlign w:val="subscript"/>
        </w:rPr>
        <w:t>max</w:t>
      </w:r>
      <w:r>
        <w:rPr>
          <w:rFonts w:cs="Cambria"/>
        </w:rPr>
        <w:t xml:space="preserve"> when comparing between the </w:t>
      </w:r>
      <w:r>
        <w:t xml:space="preserve">race groups (p &gt; 0.05) </w:t>
      </w:r>
    </w:p>
    <w:p w:rsidR="00E07ECC" w:rsidRDefault="00E07ECC" w:rsidP="00E07ECC">
      <w:pPr>
        <w:spacing w:after="60"/>
      </w:pPr>
      <w:r>
        <w:t>Ratios across the racial groups of geometric means and 90% CIs for AUC</w:t>
      </w:r>
      <w:r w:rsidRPr="002B3076">
        <w:rPr>
          <w:vertAlign w:val="subscript"/>
        </w:rPr>
        <w:t>last</w:t>
      </w:r>
      <w:r>
        <w:t>, AUC</w:t>
      </w:r>
      <w:r w:rsidRPr="002B3076">
        <w:rPr>
          <w:rFonts w:cs="Cambria"/>
          <w:vertAlign w:val="subscript"/>
        </w:rPr>
        <w:t>∞</w:t>
      </w:r>
      <w:r>
        <w:rPr>
          <w:rFonts w:cs="Cambria"/>
        </w:rPr>
        <w:t>, and C</w:t>
      </w:r>
      <w:r w:rsidRPr="002B3076">
        <w:rPr>
          <w:rFonts w:cs="Cambria"/>
          <w:vertAlign w:val="subscript"/>
        </w:rPr>
        <w:t>max</w:t>
      </w:r>
      <w:r>
        <w:t xml:space="preserve"> were calculated</w:t>
      </w:r>
      <w:r w:rsidRPr="002B3076">
        <w:t xml:space="preserve"> </w:t>
      </w:r>
      <w:r>
        <w:t>to assess whether any clinically relevant changes in zonisamide serum exposure were observed due to race.</w:t>
      </w:r>
      <w:r w:rsidRPr="002B3076">
        <w:t xml:space="preserve"> </w:t>
      </w:r>
      <w:r>
        <w:t>The ratios were all within the</w:t>
      </w:r>
      <w:r w:rsidRPr="00243BEF">
        <w:t xml:space="preserve"> </w:t>
      </w:r>
      <w:r>
        <w:t>range of 0.80 - 1.25, however, in some instances the associated 90% CIs fell outside this range. The sponsor suggests this is likely due to</w:t>
      </w:r>
      <w:r w:rsidRPr="002B18D5">
        <w:t xml:space="preserve"> </w:t>
      </w:r>
      <w:r>
        <w:t xml:space="preserve">the limited sample size of the study and the confounding baseline body weight differences between race groups </w:t>
      </w:r>
    </w:p>
    <w:p w:rsidR="00E07ECC" w:rsidRDefault="00E07ECC" w:rsidP="000A6651">
      <w:pPr>
        <w:pStyle w:val="Heading3"/>
      </w:pPr>
      <w:bookmarkStart w:id="29" w:name="_Ref269118175"/>
      <w:bookmarkStart w:id="30" w:name="_Toc272414616"/>
      <w:bookmarkStart w:id="31" w:name="_Toc290846239"/>
      <w:bookmarkStart w:id="32" w:name="_Toc290888776"/>
      <w:bookmarkStart w:id="33" w:name="_Toc326646506"/>
      <w:bookmarkStart w:id="34" w:name="_Toc359237248"/>
      <w:r>
        <w:t>Summary of pharmacokinetics</w:t>
      </w:r>
      <w:bookmarkEnd w:id="29"/>
      <w:bookmarkEnd w:id="30"/>
      <w:bookmarkEnd w:id="31"/>
      <w:bookmarkEnd w:id="32"/>
      <w:bookmarkEnd w:id="33"/>
      <w:bookmarkEnd w:id="34"/>
    </w:p>
    <w:p w:rsidR="00E07ECC" w:rsidRDefault="00E07ECC" w:rsidP="00E07ECC">
      <w:pPr>
        <w:spacing w:after="60"/>
      </w:pPr>
      <w:r>
        <w:t>The information in the following summary is derived from the PI.</w:t>
      </w:r>
    </w:p>
    <w:p w:rsidR="00E07ECC" w:rsidRPr="000A6651" w:rsidRDefault="00E07ECC" w:rsidP="000A6651">
      <w:pPr>
        <w:ind w:left="284"/>
        <w:rPr>
          <w:i/>
        </w:rPr>
      </w:pPr>
      <w:r w:rsidRPr="000A6651">
        <w:rPr>
          <w:i/>
        </w:rPr>
        <w:t>Absorption</w:t>
      </w:r>
    </w:p>
    <w:p w:rsidR="00E07ECC" w:rsidRPr="000A6651" w:rsidRDefault="00E07ECC" w:rsidP="000A6651">
      <w:pPr>
        <w:ind w:left="284"/>
        <w:rPr>
          <w:i/>
        </w:rPr>
      </w:pPr>
      <w:r w:rsidRPr="000A6651">
        <w:rPr>
          <w:i/>
        </w:rPr>
        <w:t>Zonisamide is almost completely absorbed after oral administration, generally reaching peak serum or plasma concentrations within 2 to 5 hours of dosing. First-pass metabolism is believed to be negligible. Absolute oral bioavailability is estimated to be approximately 100% and is not affected by food, although peak plasma and serum concentrations may be delayed.</w:t>
      </w:r>
    </w:p>
    <w:p w:rsidR="00E07ECC" w:rsidRPr="000A6651" w:rsidRDefault="00E07ECC" w:rsidP="000A6651">
      <w:pPr>
        <w:ind w:left="284"/>
        <w:rPr>
          <w:i/>
        </w:rPr>
      </w:pPr>
      <w:r w:rsidRPr="000A6651">
        <w:rPr>
          <w:i/>
        </w:rPr>
        <w:t>Zonisamide plasma AUC and C</w:t>
      </w:r>
      <w:r w:rsidRPr="000A6651">
        <w:rPr>
          <w:i/>
          <w:vertAlign w:val="subscript"/>
        </w:rPr>
        <w:t>max</w:t>
      </w:r>
      <w:r w:rsidRPr="000A6651">
        <w:rPr>
          <w:i/>
        </w:rPr>
        <w:t xml:space="preserve"> values increased almost linearly after a single dose over the dose range of 100-800 mg and after multiple doses over the dose range of 100-40</w:t>
      </w:r>
      <w:r w:rsidR="000A6651" w:rsidRPr="000A6651">
        <w:rPr>
          <w:i/>
        </w:rPr>
        <w:t>0 mg</w:t>
      </w:r>
      <w:r w:rsidRPr="000A6651">
        <w:rPr>
          <w:i/>
        </w:rPr>
        <w:t xml:space="preserve"> once daily. The increase following a single dose and at steady state were slightly more than expected on the basis of dose, probably due to the saturable binding of zonisamide to erythrocytes. Steady state was achieved within 13 days of a change in dose. Concentrations of zonisamide at steady state are up to six-fold higher than following an equivalent single dose at the recommended dosing interval.</w:t>
      </w:r>
    </w:p>
    <w:p w:rsidR="00E07ECC" w:rsidRPr="000A6651" w:rsidRDefault="00E07ECC" w:rsidP="000A6651">
      <w:pPr>
        <w:ind w:left="284"/>
        <w:rPr>
          <w:i/>
        </w:rPr>
      </w:pPr>
      <w:r w:rsidRPr="000A6651">
        <w:rPr>
          <w:i/>
        </w:rPr>
        <w:t>Distribution</w:t>
      </w:r>
    </w:p>
    <w:p w:rsidR="00E07ECC" w:rsidRPr="000A6651" w:rsidRDefault="00E07ECC" w:rsidP="000A6651">
      <w:pPr>
        <w:ind w:left="284"/>
        <w:rPr>
          <w:i/>
        </w:rPr>
      </w:pPr>
      <w:r w:rsidRPr="000A6651">
        <w:rPr>
          <w:i/>
        </w:rPr>
        <w:t>Zonisamide is 40 - 50 % bound to human plasma proteins, with in vitro studies showing that this is unaffected by the presence of various antiepileptic medicinal products (</w:t>
      </w:r>
      <w:r w:rsidR="000A6651">
        <w:rPr>
          <w:i/>
        </w:rPr>
        <w:t>that is,</w:t>
      </w:r>
      <w:r w:rsidRPr="000A6651">
        <w:rPr>
          <w:i/>
        </w:rPr>
        <w:t xml:space="preserve"> phenytoin, phenobarbitone, carbamazepine, and sodium valproate). The apparent volume of distribution is about 1.1 – 1.7L/kg in adults indicating that zonisamide is extensively distributed to tissues. Zonisamide binds saturably to erythrocytes, and erythrocyte/plasma C</w:t>
      </w:r>
      <w:r w:rsidRPr="000A6651">
        <w:rPr>
          <w:i/>
          <w:vertAlign w:val="subscript"/>
        </w:rPr>
        <w:t>max</w:t>
      </w:r>
      <w:r w:rsidRPr="000A6651">
        <w:rPr>
          <w:i/>
        </w:rPr>
        <w:t xml:space="preserve"> ratios are about 11 at low drug concentrations in plasma and about 3 at therapeutic concentrations.</w:t>
      </w:r>
    </w:p>
    <w:p w:rsidR="00E07ECC" w:rsidRPr="000A6651" w:rsidRDefault="00E07ECC" w:rsidP="000A6651">
      <w:pPr>
        <w:ind w:left="284"/>
        <w:rPr>
          <w:i/>
        </w:rPr>
      </w:pPr>
      <w:r w:rsidRPr="000A6651">
        <w:rPr>
          <w:i/>
        </w:rPr>
        <w:t>Metabolism</w:t>
      </w:r>
    </w:p>
    <w:p w:rsidR="00E07ECC" w:rsidRPr="000A6651" w:rsidRDefault="00E07ECC" w:rsidP="000A6651">
      <w:pPr>
        <w:ind w:left="284"/>
        <w:rPr>
          <w:i/>
        </w:rPr>
      </w:pPr>
      <w:r w:rsidRPr="000A6651">
        <w:rPr>
          <w:i/>
        </w:rPr>
        <w:t>Zonisamide is metabolised primarily through reductive cleavage of the benzisoxazole ring of the parent drug by CYP3A4 to form 2-sulphamoylacetylphenol (SMAP) and also by N-acetylation to form N-acetyl zonisamide. Parent drug and SMAP can additionally be glucuronidated. The metabolites, which could not be detected in plasma, are devoid of anticonvulsant activity. There is no evidence that zonisamide induces its own metabolism.</w:t>
      </w:r>
    </w:p>
    <w:p w:rsidR="00E07ECC" w:rsidRPr="000A6651" w:rsidRDefault="00E07ECC" w:rsidP="000A6651">
      <w:pPr>
        <w:ind w:left="284"/>
        <w:rPr>
          <w:i/>
        </w:rPr>
      </w:pPr>
      <w:r w:rsidRPr="000A6651">
        <w:rPr>
          <w:i/>
        </w:rPr>
        <w:t>Elimination</w:t>
      </w:r>
    </w:p>
    <w:p w:rsidR="00E07ECC" w:rsidRPr="000A6651" w:rsidRDefault="00E07ECC" w:rsidP="000A6651">
      <w:pPr>
        <w:ind w:left="284"/>
        <w:rPr>
          <w:i/>
        </w:rPr>
      </w:pPr>
      <w:r w:rsidRPr="000A6651">
        <w:rPr>
          <w:i/>
        </w:rPr>
        <w:t xml:space="preserve">Apparent clearance of zonisamide from plasma at steady-state after oral administration is about 0.70L/h and the terminal elimination half-life is about 60 hours in the absence of concomitant therapy with CYP3A4 inducers. However, the apparent clearance is increased by up to 2-fold in patients also receiving the antiepileptic drugs phenobarbitone, phenytoin, carbamazepine and/or sodium valproate, and elimination half-life is reduced by up to 50%. The elimination half-life is independent of dose and not affected by repeat administration. Fluctuation in serum or plasma zonisamide concentrations over a dosing interval is low (&lt; 30 %). The rate of clearance from erythrocytes is approximately 0.3L/h at steady state. The main route of excretion of zonisamide metabolites and unchanged drug is via the urine. In healthy volunteers, 62% of the dose was </w:t>
      </w:r>
      <w:r w:rsidRPr="000A6651">
        <w:rPr>
          <w:i/>
        </w:rPr>
        <w:lastRenderedPageBreak/>
        <w:t>recovered in urine and a further 3% in faeces over 10 days. Renal clearance of unchanged zonisamide is relatively low (approximately 3.5 mL/min); about 15 - 30 % of the dose is eliminated unchanged, with the remainder being excreted as metabolites.</w:t>
      </w:r>
    </w:p>
    <w:p w:rsidR="00E07ECC" w:rsidRPr="000A6651" w:rsidRDefault="00E07ECC" w:rsidP="000A6651">
      <w:pPr>
        <w:ind w:left="284"/>
        <w:rPr>
          <w:i/>
        </w:rPr>
      </w:pPr>
      <w:r w:rsidRPr="000A6651">
        <w:rPr>
          <w:i/>
        </w:rPr>
        <w:t>Effect of zonisamide on cytochrome P450 enzymes</w:t>
      </w:r>
    </w:p>
    <w:p w:rsidR="00E07ECC" w:rsidRPr="000A6651" w:rsidRDefault="00E07ECC" w:rsidP="000A6651">
      <w:pPr>
        <w:ind w:left="284"/>
        <w:rPr>
          <w:i/>
        </w:rPr>
      </w:pPr>
      <w:r w:rsidRPr="000A6651">
        <w:rPr>
          <w:i/>
        </w:rPr>
        <w:t>In vitro studies using human liver microsomes show no or little (&lt; 25%) inhibition of cytochrome P450 isoenzymes 1A2, 2A6, 2C9, 2C19, 2D6, 2E1 or 3A4 at zonisamide concentrations approximately two-fold or greater than clinically relevant unbound serum concentrations. Clinical studies have demonstrated that zonisamide does not significantly affect the pharmacokinetics of carbamazepine, phenytoin, lamotrigine, sodium valproate, levonorgestrel, norethindrone, ethynylestradiol and desipramine in vivo. The potential effects of zonisamide on the pharmacokinetics of other compounds, including phenobarbitone, are unknown.</w:t>
      </w:r>
    </w:p>
    <w:p w:rsidR="00E07ECC" w:rsidRPr="000A6651" w:rsidRDefault="00E07ECC" w:rsidP="000A6651">
      <w:pPr>
        <w:ind w:left="284"/>
        <w:rPr>
          <w:i/>
        </w:rPr>
      </w:pPr>
      <w:r w:rsidRPr="000A6651">
        <w:rPr>
          <w:i/>
        </w:rPr>
        <w:t>Special patient groups</w:t>
      </w:r>
    </w:p>
    <w:p w:rsidR="00E07ECC" w:rsidRPr="000A6651" w:rsidRDefault="00E07ECC" w:rsidP="000A6651">
      <w:pPr>
        <w:ind w:left="284"/>
        <w:rPr>
          <w:i/>
        </w:rPr>
      </w:pPr>
      <w:r w:rsidRPr="000A6651">
        <w:rPr>
          <w:i/>
        </w:rPr>
        <w:t>In subjects with renal impairment, renal clearance of single doses of zonisamide was positively correlated with creatinine clearance. The plasma AUC of zonisamide was increased by 35% in subjects with creatinine clearance &lt; 20mL/min.</w:t>
      </w:r>
    </w:p>
    <w:p w:rsidR="00E07ECC" w:rsidRPr="000A6651" w:rsidRDefault="00E07ECC" w:rsidP="000A6651">
      <w:pPr>
        <w:ind w:left="284"/>
        <w:rPr>
          <w:i/>
        </w:rPr>
      </w:pPr>
      <w:r w:rsidRPr="000A6651">
        <w:rPr>
          <w:i/>
        </w:rPr>
        <w:t>Patients with an impaired liver function: The pharmacokinetics of zonisamide in patients with impaired liver function have not been adequately studied.</w:t>
      </w:r>
    </w:p>
    <w:p w:rsidR="00E07ECC" w:rsidRPr="000A6651" w:rsidRDefault="00E07ECC" w:rsidP="000A6651">
      <w:pPr>
        <w:ind w:left="284"/>
        <w:rPr>
          <w:i/>
        </w:rPr>
      </w:pPr>
      <w:r w:rsidRPr="000A6651">
        <w:rPr>
          <w:i/>
        </w:rPr>
        <w:t>Elderly: No clinically significant differences were observed in the pharmacokinetics between young (aged 21-40 years) and elderly (65-75 years).</w:t>
      </w:r>
    </w:p>
    <w:p w:rsidR="00E07ECC" w:rsidRPr="000A6651" w:rsidRDefault="00E07ECC" w:rsidP="000A6651">
      <w:pPr>
        <w:ind w:left="284"/>
        <w:rPr>
          <w:i/>
        </w:rPr>
      </w:pPr>
      <w:r w:rsidRPr="000A6651">
        <w:rPr>
          <w:i/>
        </w:rPr>
        <w:t>Adolescents (12-18 years): Limited data indicate that pharmacokinetics in adolescents dosed to steady state at 1, 7 or 12mg/kg daily, in divided doses, are similar to those observed in adults, after adjustment for bodyweight.</w:t>
      </w:r>
    </w:p>
    <w:p w:rsidR="00E07ECC" w:rsidRPr="000A6651" w:rsidRDefault="00E07ECC" w:rsidP="000A6651">
      <w:pPr>
        <w:ind w:left="284"/>
        <w:rPr>
          <w:i/>
        </w:rPr>
      </w:pPr>
      <w:r w:rsidRPr="000A6651">
        <w:rPr>
          <w:i/>
        </w:rPr>
        <w:t>Other characteristics</w:t>
      </w:r>
    </w:p>
    <w:p w:rsidR="00E07ECC" w:rsidRPr="000A6651" w:rsidRDefault="00E07ECC" w:rsidP="000A6651">
      <w:pPr>
        <w:ind w:left="284"/>
        <w:rPr>
          <w:i/>
        </w:rPr>
      </w:pPr>
      <w:r w:rsidRPr="000A6651">
        <w:rPr>
          <w:i/>
        </w:rPr>
        <w:t>No clear zonisamide dose-concentration-response relationship has been defined. When comparing the same dose level, subjects of higher total body weight appear to have lower steady-state serum concentrations, but this effect appears to be relatively modest. Age (≥ 12 years) and gender, after adjustment for body weight effects, have no apparent effect on zonisamide exposure in epileptic patients during steady-state dosing</w:t>
      </w:r>
    </w:p>
    <w:p w:rsidR="00E07ECC" w:rsidRDefault="00E07ECC" w:rsidP="000A6651">
      <w:pPr>
        <w:pStyle w:val="Heading3"/>
      </w:pPr>
      <w:bookmarkStart w:id="35" w:name="_Toc241374296"/>
      <w:bookmarkStart w:id="36" w:name="_Ref269982040"/>
      <w:bookmarkStart w:id="37" w:name="_Ref271018704"/>
      <w:bookmarkStart w:id="38" w:name="_Ref271018755"/>
      <w:bookmarkStart w:id="39" w:name="_Toc272414635"/>
      <w:bookmarkStart w:id="40" w:name="_Toc290846258"/>
      <w:bookmarkStart w:id="41" w:name="_Toc290888795"/>
      <w:bookmarkStart w:id="42" w:name="_Toc326646507"/>
      <w:bookmarkStart w:id="43" w:name="_Toc359237249"/>
      <w:r>
        <w:t>Evaluator’s overall conclusions on pharmacokinetics</w:t>
      </w:r>
      <w:bookmarkEnd w:id="35"/>
      <w:bookmarkEnd w:id="36"/>
      <w:bookmarkEnd w:id="37"/>
      <w:bookmarkEnd w:id="38"/>
      <w:bookmarkEnd w:id="39"/>
      <w:bookmarkEnd w:id="40"/>
      <w:bookmarkEnd w:id="41"/>
      <w:bookmarkEnd w:id="42"/>
      <w:bookmarkEnd w:id="43"/>
    </w:p>
    <w:p w:rsidR="00E07ECC" w:rsidRPr="00103BEC" w:rsidRDefault="00E07ECC" w:rsidP="00E07ECC">
      <w:pPr>
        <w:spacing w:after="60"/>
      </w:pPr>
      <w:r>
        <w:t>The ratios of the geometric means indicated that the Black and Asian race groups had 4% lower and 20% higher peak serum zonisamide exposure (</w:t>
      </w:r>
      <w:r w:rsidR="000A6651">
        <w:t>that is</w:t>
      </w:r>
      <w:r>
        <w:t>, C</w:t>
      </w:r>
      <w:r w:rsidRPr="00103BEC">
        <w:rPr>
          <w:vertAlign w:val="subscript"/>
        </w:rPr>
        <w:t>max</w:t>
      </w:r>
      <w:r>
        <w:t>), respectively, compared to the White race group. Meanwhile, serum zonisamide cumulative exposure (</w:t>
      </w:r>
      <w:r w:rsidR="000A6651">
        <w:t>that is,</w:t>
      </w:r>
      <w:r>
        <w:t xml:space="preserve"> AUC</w:t>
      </w:r>
      <w:r w:rsidRPr="00103BEC">
        <w:rPr>
          <w:vertAlign w:val="subscript"/>
        </w:rPr>
        <w:t>last</w:t>
      </w:r>
      <w:r>
        <w:t xml:space="preserve"> and AUC</w:t>
      </w:r>
      <w:r w:rsidRPr="00103BEC">
        <w:rPr>
          <w:rFonts w:cs="Cambria"/>
          <w:vertAlign w:val="subscript"/>
        </w:rPr>
        <w:t>∞</w:t>
      </w:r>
      <w:r>
        <w:rPr>
          <w:rFonts w:cs="Cambria"/>
        </w:rPr>
        <w:t>) was 7.11% and 14.15% higher in the Black and Asian race</w:t>
      </w:r>
      <w:r>
        <w:t xml:space="preserve"> groups, respectively, compared to the White race group.</w:t>
      </w:r>
    </w:p>
    <w:p w:rsidR="00586F98" w:rsidRDefault="00E07ECC" w:rsidP="00FD4F49">
      <w:r>
        <w:t>As r</w:t>
      </w:r>
      <w:r w:rsidRPr="003620D0">
        <w:t>ace has no apparent clinically relevant effect on s</w:t>
      </w:r>
      <w:r>
        <w:t>ingle-dose serum zonisamide PKs</w:t>
      </w:r>
      <w:r w:rsidRPr="003620D0">
        <w:t>, modification of zonisamide dosing based on race should not be necessary</w:t>
      </w:r>
      <w:r>
        <w:t>.</w:t>
      </w:r>
    </w:p>
    <w:p w:rsidR="00586F98" w:rsidRDefault="00586F98" w:rsidP="00586F98">
      <w:pPr>
        <w:pStyle w:val="Heading2"/>
      </w:pPr>
      <w:bookmarkStart w:id="44" w:name="_Toc359237250"/>
      <w:r>
        <w:t>Pharmacodynamics</w:t>
      </w:r>
      <w:bookmarkEnd w:id="44"/>
    </w:p>
    <w:p w:rsidR="00C22678" w:rsidRPr="00586F98" w:rsidRDefault="00E07ECC" w:rsidP="00C22678">
      <w:pPr>
        <w:rPr>
          <w:lang w:eastAsia="ja-JP"/>
        </w:rPr>
      </w:pPr>
      <w:r>
        <w:rPr>
          <w:lang w:eastAsia="ja-JP"/>
        </w:rPr>
        <w:t xml:space="preserve">No new information </w:t>
      </w:r>
      <w:r w:rsidR="000A6651">
        <w:rPr>
          <w:lang w:eastAsia="ja-JP"/>
        </w:rPr>
        <w:t xml:space="preserve">was </w:t>
      </w:r>
      <w:r>
        <w:rPr>
          <w:lang w:eastAsia="ja-JP"/>
        </w:rPr>
        <w:t>submitted.</w:t>
      </w:r>
    </w:p>
    <w:p w:rsidR="00586F98" w:rsidRDefault="00C22678" w:rsidP="000A6651">
      <w:pPr>
        <w:pStyle w:val="Heading2"/>
      </w:pPr>
      <w:bookmarkStart w:id="45" w:name="_Toc359237251"/>
      <w:r>
        <w:t>Dosage selection for the pivotal studies</w:t>
      </w:r>
      <w:bookmarkEnd w:id="45"/>
    </w:p>
    <w:p w:rsidR="00E07ECC" w:rsidRDefault="00E07ECC" w:rsidP="00E72353">
      <w:r w:rsidRPr="00E07ECC">
        <w:t>Study AN46046-304 (monotherapy in the treatment of newly diagnosed epilepsy) dose-response results suggested a possible effect at a dose of 30</w:t>
      </w:r>
      <w:r w:rsidR="000A6651">
        <w:t>0 mg</w:t>
      </w:r>
      <w:r w:rsidRPr="00E07ECC">
        <w:t>/day. In that the proportion of subjects who were seizure-free for at least 6 months was 60.0% in the 30</w:t>
      </w:r>
      <w:r w:rsidR="000A6651">
        <w:t>0 mg</w:t>
      </w:r>
      <w:r w:rsidRPr="00E07ECC">
        <w:t xml:space="preserve">/day group and 30.8% and 33.3% in the 25 and 100 mg groups. There were no unexpected findings that would suggest a differential </w:t>
      </w:r>
      <w:r w:rsidRPr="00E07ECC">
        <w:lastRenderedPageBreak/>
        <w:t>tolerability or safety profile from that demonstrated in the adjunctive setting. Higher doses led to slightly more withdrawals than the lower dose, and a higher percentage of subjects had SAEs in the 30</w:t>
      </w:r>
      <w:r w:rsidR="000A6651">
        <w:t>0 mg</w:t>
      </w:r>
      <w:r w:rsidRPr="00E07ECC">
        <w:t xml:space="preserve"> arm compared to the 100 and 25 mg arms.</w:t>
      </w:r>
    </w:p>
    <w:p w:rsidR="00C22678" w:rsidRDefault="00C22678" w:rsidP="000A6651">
      <w:pPr>
        <w:pStyle w:val="Heading2"/>
      </w:pPr>
      <w:bookmarkStart w:id="46" w:name="_Toc359237252"/>
      <w:r>
        <w:t>Clinical efficacy</w:t>
      </w:r>
      <w:bookmarkEnd w:id="46"/>
    </w:p>
    <w:p w:rsidR="00E07ECC" w:rsidRPr="000A6651" w:rsidRDefault="000A6651" w:rsidP="00E07ECC">
      <w:pPr>
        <w:spacing w:after="60"/>
      </w:pPr>
      <w:r>
        <w:t>T</w:t>
      </w:r>
      <w:r w:rsidR="00E07ECC" w:rsidRPr="000A6651">
        <w:t>he relevant guideline is CHMP/EWP/566/98 Rev. 2/Corr. Guideline on Clinical Investigation of Medicinal Products in the Treatment of Epileptic Disorders. It contains the following quotations:</w:t>
      </w:r>
    </w:p>
    <w:p w:rsidR="00E07ECC" w:rsidRPr="000A6651" w:rsidRDefault="00E07ECC" w:rsidP="000A6651">
      <w:pPr>
        <w:ind w:left="284"/>
        <w:rPr>
          <w:i/>
        </w:rPr>
      </w:pPr>
      <w:r w:rsidRPr="000A6651">
        <w:rPr>
          <w:i/>
        </w:rPr>
        <w:t>4.3 Assessment of efficacy</w:t>
      </w:r>
    </w:p>
    <w:p w:rsidR="00E07ECC" w:rsidRPr="000A6651" w:rsidRDefault="00E07ECC" w:rsidP="000A6651">
      <w:pPr>
        <w:ind w:left="284"/>
        <w:rPr>
          <w:i/>
        </w:rPr>
      </w:pPr>
      <w:r w:rsidRPr="000A6651">
        <w:rPr>
          <w:i/>
        </w:rPr>
        <w:t>In monotherapy (adults and children)</w:t>
      </w:r>
    </w:p>
    <w:p w:rsidR="00E07ECC" w:rsidRPr="000A6651" w:rsidRDefault="00E07ECC" w:rsidP="000A6651">
      <w:pPr>
        <w:ind w:left="284"/>
        <w:rPr>
          <w:i/>
        </w:rPr>
      </w:pPr>
      <w:r w:rsidRPr="000A6651">
        <w:rPr>
          <w:i/>
        </w:rPr>
        <w:t>a)in newly or recently diagnosed patients, the primary efficacy variable should be based on the proportion of patients remaining seizure free for at least six months (excluding the dose escalation period). The trial should have a minimum duration of one year in order to assess safety and maintenance of efficacy</w:t>
      </w:r>
    </w:p>
    <w:p w:rsidR="00E07ECC" w:rsidRPr="000A6651" w:rsidRDefault="00E07ECC" w:rsidP="000A6651">
      <w:pPr>
        <w:ind w:left="284"/>
        <w:rPr>
          <w:i/>
        </w:rPr>
      </w:pPr>
      <w:r w:rsidRPr="000A6651">
        <w:rPr>
          <w:i/>
        </w:rPr>
        <w:t>4.4 Statistical analyses</w:t>
      </w:r>
    </w:p>
    <w:p w:rsidR="00E07ECC" w:rsidRPr="000A6651" w:rsidRDefault="00E07ECC" w:rsidP="000A6651">
      <w:pPr>
        <w:ind w:left="284"/>
        <w:rPr>
          <w:i/>
        </w:rPr>
      </w:pPr>
      <w:r w:rsidRPr="000A6651">
        <w:rPr>
          <w:i/>
        </w:rPr>
        <w:t>The analysis of efficacy will usually be intended to demonstrate superiority based on the ITT principle as referred in ICHE9 and the period when patients are established on a fixed dose of either the study product or placebo/comparator i.e. the maintenance dose.</w:t>
      </w:r>
    </w:p>
    <w:p w:rsidR="00E07ECC" w:rsidRPr="000A6651" w:rsidRDefault="00E07ECC" w:rsidP="000A6651">
      <w:pPr>
        <w:ind w:left="284"/>
        <w:rPr>
          <w:i/>
        </w:rPr>
      </w:pPr>
      <w:r w:rsidRPr="000A6651">
        <w:rPr>
          <w:i/>
        </w:rPr>
        <w:t>The primary analysis of efficacy should be unadjusted except for factors used to stratify randomisation. Factors known to influence outcome such as aetiology, seizure type, baseline seizure frequency, seizure severity and epilepsy syndrome should be taken into account in supportive analyses. The use of concomitant anti-epileptic products should be summarised and the potential impact on efficacy evaluated and discussed.</w:t>
      </w:r>
    </w:p>
    <w:p w:rsidR="00E72353" w:rsidRDefault="00E72353" w:rsidP="003C2B8A">
      <w:pPr>
        <w:pStyle w:val="Heading3"/>
      </w:pPr>
      <w:bookmarkStart w:id="47" w:name="_Toc359237253"/>
      <w:bookmarkStart w:id="48" w:name="_Toc326646511"/>
      <w:r>
        <w:t>Efficacy</w:t>
      </w:r>
      <w:r w:rsidR="003C2B8A">
        <w:t xml:space="preserve"> for the proposed i</w:t>
      </w:r>
      <w:r>
        <w:t>ndication</w:t>
      </w:r>
      <w:bookmarkEnd w:id="47"/>
    </w:p>
    <w:p w:rsidR="00E07ECC" w:rsidRPr="00111588" w:rsidRDefault="00E07ECC" w:rsidP="003C2B8A">
      <w:pPr>
        <w:ind w:left="1134"/>
        <w:rPr>
          <w:b/>
          <w:i/>
        </w:rPr>
      </w:pPr>
      <w:r w:rsidRPr="00111588">
        <w:rPr>
          <w:b/>
          <w:i/>
        </w:rPr>
        <w:t>For Monotherapy of Partial Seizures With or Without Secondary Generalization in Adults with Newly Diagnosed Epilepsy</w:t>
      </w:r>
      <w:bookmarkEnd w:id="48"/>
    </w:p>
    <w:p w:rsidR="00E07ECC" w:rsidRDefault="00E07ECC" w:rsidP="000A6651">
      <w:pPr>
        <w:pStyle w:val="Heading4"/>
      </w:pPr>
      <w:bookmarkStart w:id="49" w:name="_Ref271037274"/>
      <w:bookmarkStart w:id="50" w:name="_Toc272414652"/>
      <w:bookmarkStart w:id="51" w:name="_Toc290846274"/>
      <w:bookmarkStart w:id="52" w:name="_Toc290888811"/>
      <w:bookmarkStart w:id="53" w:name="_Toc326646512"/>
      <w:r>
        <w:t>Pivotal efficacy stud</w:t>
      </w:r>
      <w:bookmarkEnd w:id="49"/>
      <w:bookmarkEnd w:id="50"/>
      <w:bookmarkEnd w:id="51"/>
      <w:bookmarkEnd w:id="52"/>
      <w:r>
        <w:t>y</w:t>
      </w:r>
      <w:bookmarkEnd w:id="53"/>
    </w:p>
    <w:p w:rsidR="00E07ECC" w:rsidRPr="003C0A48" w:rsidRDefault="00E07ECC" w:rsidP="000A6651">
      <w:pPr>
        <w:pStyle w:val="Heading5"/>
      </w:pPr>
      <w:bookmarkStart w:id="54" w:name="_Ref243301615"/>
      <w:bookmarkStart w:id="55" w:name="_Ref271040927"/>
      <w:bookmarkStart w:id="56" w:name="_Ref271040932"/>
      <w:bookmarkStart w:id="57" w:name="_Toc272414653"/>
      <w:bookmarkStart w:id="58" w:name="_Toc290846275"/>
      <w:bookmarkStart w:id="59" w:name="_Toc290888812"/>
      <w:bookmarkStart w:id="60" w:name="_Toc326646513"/>
      <w:r w:rsidRPr="003C0A48">
        <w:t>S</w:t>
      </w:r>
      <w:r>
        <w:t xml:space="preserve">tudy </w:t>
      </w:r>
      <w:bookmarkEnd w:id="54"/>
      <w:r>
        <w:t>E2090-E044-3</w:t>
      </w:r>
      <w:r w:rsidRPr="000A6651">
        <w:rPr>
          <w:rFonts w:eastAsia="MS Mincho"/>
        </w:rPr>
        <w:t>1</w:t>
      </w:r>
      <w:r>
        <w:t>0</w:t>
      </w:r>
      <w:bookmarkEnd w:id="55"/>
      <w:bookmarkEnd w:id="56"/>
      <w:bookmarkEnd w:id="57"/>
      <w:bookmarkEnd w:id="58"/>
      <w:bookmarkEnd w:id="59"/>
      <w:bookmarkEnd w:id="60"/>
    </w:p>
    <w:p w:rsidR="00E07ECC" w:rsidRPr="003C0A48" w:rsidRDefault="00E07ECC" w:rsidP="000A6651">
      <w:pPr>
        <w:pStyle w:val="Heading6"/>
      </w:pPr>
      <w:r w:rsidRPr="003C0A48">
        <w:t>Study design, objectives, locations and dates</w:t>
      </w:r>
    </w:p>
    <w:p w:rsidR="00E07ECC" w:rsidRDefault="00E07ECC" w:rsidP="00E07ECC">
      <w:pPr>
        <w:autoSpaceDE w:val="0"/>
        <w:autoSpaceDN w:val="0"/>
        <w:adjustRightInd w:val="0"/>
        <w:spacing w:after="60"/>
      </w:pPr>
      <w:r>
        <w:t>This was a multi-centre, two-arm, randomized, double-blind, noninferiority study using a flexible dosing regimen to allow optimal zonisamide or carbamazepine therapy for individual subjects,</w:t>
      </w:r>
      <w:r w:rsidRPr="006A1828">
        <w:t xml:space="preserve"> </w:t>
      </w:r>
      <w:r>
        <w:t>to compare the efficacy and safety of zonisamide and carbamazepine as monotherapy, in newly diagnosed partial epilepsy.</w:t>
      </w:r>
    </w:p>
    <w:p w:rsidR="00E07ECC" w:rsidRDefault="00E07ECC" w:rsidP="00E07ECC">
      <w:pPr>
        <w:autoSpaceDE w:val="0"/>
        <w:autoSpaceDN w:val="0"/>
        <w:adjustRightInd w:val="0"/>
        <w:spacing w:after="60"/>
      </w:pPr>
      <w:r>
        <w:t>The trial consisted of:</w:t>
      </w:r>
    </w:p>
    <w:p w:rsidR="00E07ECC" w:rsidRDefault="00E07ECC" w:rsidP="008B07CC">
      <w:pPr>
        <w:pStyle w:val="ListBullet"/>
      </w:pPr>
      <w:r>
        <w:t xml:space="preserve">A maximum 2-week Screening </w:t>
      </w:r>
    </w:p>
    <w:p w:rsidR="00E07ECC" w:rsidRDefault="00E07ECC" w:rsidP="008B07CC">
      <w:pPr>
        <w:pStyle w:val="ListBullet"/>
      </w:pPr>
      <w:r>
        <w:t>A 4-week Titration Period: The starting dose was 10</w:t>
      </w:r>
      <w:r w:rsidR="000A6651">
        <w:t>0 mg</w:t>
      </w:r>
      <w:r>
        <w:t>/day zonisamide or 20</w:t>
      </w:r>
      <w:r w:rsidR="000A6651">
        <w:t>0 mg</w:t>
      </w:r>
      <w:r>
        <w:t xml:space="preserve">/day carbamazapine </w:t>
      </w:r>
      <w:r w:rsidRPr="0071380A">
        <w:t>once daily in the evening</w:t>
      </w:r>
      <w:r>
        <w:t>. The dose was up-titrated every 2 weeks; to 20</w:t>
      </w:r>
      <w:r w:rsidR="000A6651">
        <w:t>0 mg</w:t>
      </w:r>
      <w:r>
        <w:t xml:space="preserve">/day zonisamide </w:t>
      </w:r>
      <w:r w:rsidRPr="0071380A">
        <w:t>given once daily plus a daily placebo</w:t>
      </w:r>
      <w:r>
        <w:t xml:space="preserve"> or 40</w:t>
      </w:r>
      <w:r w:rsidR="000A6651">
        <w:t>0 mg</w:t>
      </w:r>
      <w:r>
        <w:t>/day carbamazapine</w:t>
      </w:r>
      <w:r w:rsidRPr="0071380A">
        <w:rPr>
          <w:rFonts w:ascii="Times New Roman" w:eastAsiaTheme="minorHAnsi" w:hAnsi="Times New Roman"/>
          <w:sz w:val="24"/>
        </w:rPr>
        <w:t xml:space="preserve"> </w:t>
      </w:r>
      <w:r w:rsidRPr="0071380A">
        <w:t>given twice daily</w:t>
      </w:r>
      <w:r>
        <w:t>, and after 4 weeks to 30</w:t>
      </w:r>
      <w:r w:rsidR="000A6651">
        <w:t>0 mg</w:t>
      </w:r>
      <w:r>
        <w:t>/day zonisamide or 60</w:t>
      </w:r>
      <w:r w:rsidR="000A6651">
        <w:t>0 mg</w:t>
      </w:r>
      <w:r>
        <w:t>/day carbamazapine.</w:t>
      </w:r>
    </w:p>
    <w:p w:rsidR="00E07ECC" w:rsidRDefault="00E07ECC" w:rsidP="008B07CC">
      <w:pPr>
        <w:pStyle w:val="ListBullet"/>
      </w:pPr>
      <w:r>
        <w:t>A 26- to 78-week Flexible Dosing Period during which i</w:t>
      </w:r>
      <w:r w:rsidRPr="000A764E">
        <w:t>f subjects experienced a seizure, their dose could be</w:t>
      </w:r>
      <w:r>
        <w:t xml:space="preserve"> up-titrated a</w:t>
      </w:r>
      <w:r w:rsidRPr="000A764E">
        <w:t xml:space="preserve"> maximum of tw</w:t>
      </w:r>
      <w:r>
        <w:t>ice</w:t>
      </w:r>
      <w:r w:rsidRPr="000A764E">
        <w:t xml:space="preserve"> </w:t>
      </w:r>
      <w:r>
        <w:t>(up to a maximum dose of 40</w:t>
      </w:r>
      <w:r w:rsidR="000A6651">
        <w:t>0 mg</w:t>
      </w:r>
      <w:r>
        <w:t xml:space="preserve">/day </w:t>
      </w:r>
      <w:r w:rsidRPr="000A764E">
        <w:t xml:space="preserve">zonisamide or 800 mg/day </w:t>
      </w:r>
      <w:r>
        <w:t>carbamazepine</w:t>
      </w:r>
      <w:r w:rsidRPr="0071380A">
        <w:rPr>
          <w:rFonts w:ascii="Times New Roman" w:eastAsiaTheme="minorHAnsi" w:hAnsi="Times New Roman"/>
          <w:sz w:val="24"/>
        </w:rPr>
        <w:t xml:space="preserve"> </w:t>
      </w:r>
      <w:r w:rsidR="003C2B8A" w:rsidRPr="0071380A">
        <w:t>initially,</w:t>
      </w:r>
      <w:r w:rsidRPr="0071380A">
        <w:t xml:space="preserve"> then to a maximum of 50</w:t>
      </w:r>
      <w:r w:rsidR="000A6651">
        <w:t>0 mg</w:t>
      </w:r>
      <w:r w:rsidRPr="0071380A">
        <w:t>/day zonisamide or 120</w:t>
      </w:r>
      <w:r w:rsidR="000A6651">
        <w:t>0 mg</w:t>
      </w:r>
      <w:r w:rsidRPr="0071380A">
        <w:t>/day carbamazapine</w:t>
      </w:r>
      <w:r>
        <w:t>)</w:t>
      </w:r>
      <w:r w:rsidRPr="000A764E">
        <w:t>.</w:t>
      </w:r>
      <w:r>
        <w:t xml:space="preserve"> Down titration for </w:t>
      </w:r>
      <w:r w:rsidRPr="000A764E">
        <w:t>AEs</w:t>
      </w:r>
      <w:r>
        <w:t xml:space="preserve"> etc. was possible.</w:t>
      </w:r>
      <w:r w:rsidR="003C2B8A">
        <w:t xml:space="preserve"> </w:t>
      </w:r>
    </w:p>
    <w:p w:rsidR="00E07ECC" w:rsidRDefault="00E07ECC" w:rsidP="008B07CC">
      <w:pPr>
        <w:pStyle w:val="ListBullet"/>
      </w:pPr>
      <w:r>
        <w:t>A 26-week Maintenance Period:</w:t>
      </w:r>
      <w:r w:rsidRPr="000A764E">
        <w:t xml:space="preserve"> Subjects seizure-free for 26 weeks entered the Maintenance Period and</w:t>
      </w:r>
      <w:r>
        <w:t xml:space="preserve"> </w:t>
      </w:r>
      <w:r w:rsidRPr="000A764E">
        <w:t>continued on a stable dose for a further 26 weeks.</w:t>
      </w:r>
    </w:p>
    <w:p w:rsidR="00E07ECC" w:rsidRDefault="00E07ECC" w:rsidP="008B07CC">
      <w:pPr>
        <w:pStyle w:val="ListBullet"/>
      </w:pPr>
      <w:r>
        <w:lastRenderedPageBreak/>
        <w:t xml:space="preserve">Subjects who completed the study (seizure-free for 26 weeks during the Maintenance Period) could continue zonisamide/carbamazepine treatment in extension study E2090-E044-314. </w:t>
      </w:r>
    </w:p>
    <w:p w:rsidR="00E07ECC" w:rsidRDefault="00E07ECC" w:rsidP="008B07CC">
      <w:pPr>
        <w:autoSpaceDE w:val="0"/>
        <w:autoSpaceDN w:val="0"/>
        <w:adjustRightInd w:val="0"/>
      </w:pPr>
      <w:r>
        <w:t>Otherwise:</w:t>
      </w:r>
    </w:p>
    <w:p w:rsidR="00E07ECC" w:rsidRDefault="00E07ECC" w:rsidP="008B07CC">
      <w:pPr>
        <w:pStyle w:val="ListBullet"/>
      </w:pPr>
      <w:r>
        <w:t>Up to 6 weeks</w:t>
      </w:r>
      <w:r w:rsidRPr="006A1828">
        <w:t xml:space="preserve"> </w:t>
      </w:r>
      <w:r>
        <w:t>Down-titration Period</w:t>
      </w:r>
      <w:r w:rsidR="003C2B8A">
        <w:t>,</w:t>
      </w:r>
      <w:r w:rsidRPr="006A1828">
        <w:t xml:space="preserve"> </w:t>
      </w:r>
      <w:r>
        <w:t>at a rate of 10</w:t>
      </w:r>
      <w:r w:rsidR="000A6651">
        <w:t>0 mg</w:t>
      </w:r>
      <w:r>
        <w:t>/week zonisamide or 20</w:t>
      </w:r>
      <w:r w:rsidR="000A6651">
        <w:t>0 mg</w:t>
      </w:r>
      <w:r>
        <w:t xml:space="preserve">/week carbamazepine until </w:t>
      </w:r>
      <w:r w:rsidR="003C2B8A">
        <w:t xml:space="preserve">a </w:t>
      </w:r>
      <w:r>
        <w:t>zero dose was reached.</w:t>
      </w:r>
    </w:p>
    <w:p w:rsidR="00E07ECC" w:rsidRDefault="00E07ECC" w:rsidP="00E07ECC">
      <w:pPr>
        <w:autoSpaceDE w:val="0"/>
        <w:autoSpaceDN w:val="0"/>
        <w:adjustRightInd w:val="0"/>
        <w:spacing w:after="60"/>
        <w:ind w:left="720" w:hanging="720"/>
      </w:pPr>
      <w:r>
        <w:t>Maximum 116 weeks.</w:t>
      </w:r>
    </w:p>
    <w:p w:rsidR="00E07ECC" w:rsidRPr="00162E95" w:rsidRDefault="00E07ECC" w:rsidP="008B07CC">
      <w:pPr>
        <w:pStyle w:val="Heading6"/>
      </w:pPr>
      <w:r w:rsidRPr="00162E95">
        <w:t>Primary Objective</w:t>
      </w:r>
    </w:p>
    <w:p w:rsidR="00E07ECC" w:rsidRDefault="003C2B8A" w:rsidP="00E07ECC">
      <w:pPr>
        <w:autoSpaceDE w:val="0"/>
        <w:autoSpaceDN w:val="0"/>
        <w:adjustRightInd w:val="0"/>
        <w:spacing w:after="60"/>
      </w:pPr>
      <w:r>
        <w:t xml:space="preserve">To assess the efficacy of </w:t>
      </w:r>
      <w:r w:rsidR="00E07ECC">
        <w:t>zonisamide compared to carbamazepine when given as monotherapy to newly diagnosed subjects with partial seizures by assessment of 26-week seizure-free rate</w:t>
      </w:r>
    </w:p>
    <w:p w:rsidR="00E07ECC" w:rsidRPr="00162E95" w:rsidRDefault="00E07ECC" w:rsidP="008B07CC">
      <w:pPr>
        <w:pStyle w:val="Heading6"/>
      </w:pPr>
      <w:r w:rsidRPr="00162E95">
        <w:t>Secondary Objectives</w:t>
      </w:r>
    </w:p>
    <w:p w:rsidR="00E07ECC" w:rsidRDefault="00E07ECC" w:rsidP="008B07CC">
      <w:pPr>
        <w:pStyle w:val="ListBullet"/>
        <w:numPr>
          <w:ilvl w:val="0"/>
          <w:numId w:val="0"/>
        </w:numPr>
        <w:ind w:left="360" w:hanging="360"/>
      </w:pPr>
      <w:r>
        <w:t>To further explore the efficacy of</w:t>
      </w:r>
      <w:r w:rsidR="003C2B8A">
        <w:t xml:space="preserve"> </w:t>
      </w:r>
      <w:r>
        <w:t xml:space="preserve">zonisamide compared to carbamazapine </w:t>
      </w:r>
    </w:p>
    <w:p w:rsidR="00E07ECC" w:rsidRDefault="00E07ECC" w:rsidP="008B07CC">
      <w:pPr>
        <w:pStyle w:val="ListBullet"/>
        <w:numPr>
          <w:ilvl w:val="0"/>
          <w:numId w:val="0"/>
        </w:numPr>
        <w:ind w:left="360" w:hanging="360"/>
      </w:pPr>
      <w:r>
        <w:t>To assess the safety and tolerability of</w:t>
      </w:r>
      <w:r w:rsidR="003C2B8A">
        <w:t xml:space="preserve"> </w:t>
      </w:r>
      <w:r>
        <w:t xml:space="preserve">zonisamide compared to carbamazapine </w:t>
      </w:r>
    </w:p>
    <w:p w:rsidR="00E07ECC" w:rsidRDefault="00E07ECC" w:rsidP="008B07CC">
      <w:pPr>
        <w:pStyle w:val="ListBullet"/>
        <w:numPr>
          <w:ilvl w:val="0"/>
          <w:numId w:val="0"/>
        </w:numPr>
        <w:ind w:left="360" w:hanging="360"/>
      </w:pPr>
      <w:r>
        <w:t>To assess the QoL of subjects taking</w:t>
      </w:r>
      <w:r w:rsidR="003C2B8A">
        <w:t xml:space="preserve"> </w:t>
      </w:r>
      <w:r>
        <w:t xml:space="preserve">zonisamide compared to carbamazapine </w:t>
      </w:r>
    </w:p>
    <w:p w:rsidR="00E07ECC" w:rsidRDefault="00E07ECC" w:rsidP="00E07ECC">
      <w:pPr>
        <w:autoSpaceDE w:val="0"/>
        <w:autoSpaceDN w:val="0"/>
        <w:adjustRightInd w:val="0"/>
        <w:spacing w:after="60"/>
      </w:pPr>
      <w:r>
        <w:t>120 centres screened subjects in 22 countries:</w:t>
      </w:r>
    </w:p>
    <w:p w:rsidR="00E07ECC" w:rsidRDefault="00E07ECC" w:rsidP="00E07ECC">
      <w:pPr>
        <w:autoSpaceDE w:val="0"/>
        <w:autoSpaceDN w:val="0"/>
        <w:adjustRightInd w:val="0"/>
        <w:spacing w:after="60"/>
      </w:pPr>
      <w:r>
        <w:t>Australia (6), Czech Republic (3), France (1), Germany (9), Greece (2), Hungary (9), India (11), Italy (9), Montenegro (1), Poland (15), Romania (4), Russia (14), Serbia (5), Slovakia (7), South Africa (3), South Korea (4), Spain (4), Sweden (2), Switzerland (1), Taiwan (2), Ukraine (4), UK (4). Study went from 13 Jul 2007 to 14 Jan 2011.</w:t>
      </w:r>
    </w:p>
    <w:p w:rsidR="00E07ECC" w:rsidRPr="004B259C" w:rsidRDefault="00E07ECC" w:rsidP="008B07CC">
      <w:pPr>
        <w:pStyle w:val="Heading6"/>
      </w:pPr>
      <w:r w:rsidRPr="004B259C">
        <w:t>Inclusion and exclusion criteria</w:t>
      </w:r>
    </w:p>
    <w:p w:rsidR="00E07ECC" w:rsidRDefault="00E07ECC" w:rsidP="00E07ECC">
      <w:pPr>
        <w:autoSpaceDE w:val="0"/>
        <w:autoSpaceDN w:val="0"/>
        <w:adjustRightInd w:val="0"/>
        <w:spacing w:after="60"/>
      </w:pPr>
      <w:r>
        <w:t>Inclusion Criteria:</w:t>
      </w:r>
    </w:p>
    <w:p w:rsidR="00E07ECC" w:rsidRDefault="00E07ECC" w:rsidP="008B07CC">
      <w:pPr>
        <w:pStyle w:val="ListBullet"/>
      </w:pPr>
      <w:r>
        <w:t xml:space="preserve">Male or female subjects, 18 to 75 years of age. </w:t>
      </w:r>
    </w:p>
    <w:p w:rsidR="00E07ECC" w:rsidRDefault="00E07ECC" w:rsidP="008B07CC">
      <w:pPr>
        <w:pStyle w:val="ListBullet"/>
      </w:pPr>
      <w:r>
        <w:t xml:space="preserve">Subjects had untreated, newly diagnosed epilepsy having at least two well documented, unprovoked, clinically evaluated and classified partial seizures (with or without secondary generalization) </w:t>
      </w:r>
      <w:r w:rsidRPr="00162E95">
        <w:rPr>
          <w:b/>
        </w:rPr>
        <w:t>or generalized tonic-clonic seizures</w:t>
      </w:r>
      <w:r>
        <w:t xml:space="preserve"> (without clear focal origin) within 12 months of the Screening Visit, of which at least one seizure occurred within 3 months of the Screening Visit (more than one seizure within a 24-hour period was counted as one seizure).</w:t>
      </w:r>
    </w:p>
    <w:p w:rsidR="00E07ECC" w:rsidRDefault="00E07ECC" w:rsidP="008B07CC">
      <w:pPr>
        <w:pStyle w:val="ListBullet"/>
      </w:pPr>
      <w:r>
        <w:t xml:space="preserve">Either no previous use of an AED, or treatment with one AED for a maximum duration of 2 weeks. </w:t>
      </w:r>
    </w:p>
    <w:p w:rsidR="00E07ECC" w:rsidRDefault="00E07ECC" w:rsidP="008B07CC">
      <w:pPr>
        <w:pStyle w:val="ListBullet"/>
      </w:pPr>
      <w:r>
        <w:t>A documented EEG within 12 months of the Screening Visit, compatible with localization-related epilepsy (to exclude primary generalized epilepsy).</w:t>
      </w:r>
    </w:p>
    <w:p w:rsidR="00E07ECC" w:rsidRDefault="00E07ECC" w:rsidP="008B07CC">
      <w:pPr>
        <w:pStyle w:val="ListBullet"/>
      </w:pPr>
      <w:bookmarkStart w:id="61" w:name="Temp"/>
      <w:bookmarkEnd w:id="61"/>
      <w:r>
        <w:t>A documented computed axial tomography (CAT) scan or magnetic resonance imaging (MRI) scan confirming the absence of a progressive neurological lesion within 12 months of the Screening Visit.</w:t>
      </w:r>
    </w:p>
    <w:p w:rsidR="00E07ECC" w:rsidRDefault="00E07ECC" w:rsidP="00E07ECC">
      <w:pPr>
        <w:autoSpaceDE w:val="0"/>
        <w:autoSpaceDN w:val="0"/>
        <w:adjustRightInd w:val="0"/>
        <w:spacing w:after="60"/>
      </w:pPr>
      <w:r>
        <w:t>Exclusion Criteria:</w:t>
      </w:r>
    </w:p>
    <w:p w:rsidR="00E07ECC" w:rsidRDefault="00E07ECC" w:rsidP="008B07CC">
      <w:pPr>
        <w:pStyle w:val="ListBullet"/>
      </w:pPr>
      <w:r>
        <w:t>A history of clinical investigations, including EEG data that were suggestive of idiopathic generalized epilepsy as defined by the ILAE5.</w:t>
      </w:r>
    </w:p>
    <w:p w:rsidR="00E07ECC" w:rsidRDefault="00E07ECC" w:rsidP="008B07CC">
      <w:pPr>
        <w:pStyle w:val="ListBullet"/>
      </w:pPr>
      <w:r>
        <w:t>A history of absence, myoclonic, clonic, tonic, or atonic seizures.</w:t>
      </w:r>
    </w:p>
    <w:p w:rsidR="00E07ECC" w:rsidRDefault="00E07ECC" w:rsidP="008B07CC">
      <w:pPr>
        <w:pStyle w:val="ListBullet"/>
      </w:pPr>
      <w:r>
        <w:t>A history of status epilepticus or non-epileptic seizures (e.g., metabolic, pseudo seizures</w:t>
      </w:r>
      <w:r w:rsidR="003C2B8A">
        <w:t>).</w:t>
      </w:r>
    </w:p>
    <w:p w:rsidR="00E07ECC" w:rsidRDefault="00E07ECC" w:rsidP="008B07CC">
      <w:pPr>
        <w:pStyle w:val="ListBullet"/>
      </w:pPr>
      <w:r>
        <w:t>Progressive encephalopathy or findings consistent with progressive central nervous system disease or lesion (e.g., infection, demyelination, or tumour).</w:t>
      </w:r>
    </w:p>
    <w:p w:rsidR="00E07ECC" w:rsidRDefault="00E07ECC" w:rsidP="008B07CC">
      <w:pPr>
        <w:pStyle w:val="ListBullet"/>
      </w:pPr>
      <w:r>
        <w:t>A body weight of less than 40 kg.</w:t>
      </w:r>
    </w:p>
    <w:p w:rsidR="00E07ECC" w:rsidRDefault="00E07ECC" w:rsidP="008B07CC">
      <w:pPr>
        <w:pStyle w:val="ListBullet"/>
      </w:pPr>
      <w:r>
        <w:lastRenderedPageBreak/>
        <w:t xml:space="preserve">A history of psychiatric illness or mood disorder requiring electro-convulsive or drug therapy within the previous 6 months which is considered uncontrolled; a history of suicide attempt; alcohol or drug abuse; chronic treatment with benzodiazepines or barbiturates. </w:t>
      </w:r>
    </w:p>
    <w:p w:rsidR="00E07ECC" w:rsidRDefault="00E07ECC" w:rsidP="008B07CC">
      <w:pPr>
        <w:pStyle w:val="ListBullet"/>
      </w:pPr>
      <w:r>
        <w:t>Currently taking carbonic anhydrase inhibitors.</w:t>
      </w:r>
    </w:p>
    <w:p w:rsidR="00E07ECC" w:rsidRDefault="00E07ECC" w:rsidP="008B07CC">
      <w:pPr>
        <w:pStyle w:val="ListBullet"/>
      </w:pPr>
      <w:r>
        <w:t xml:space="preserve">In all countries except India, South Korea, and Taiwan: subjects with Asian ancestry, unless they were tested for the human leukocyte antigen (HLA) B1502 allele. </w:t>
      </w:r>
    </w:p>
    <w:p w:rsidR="00E07ECC" w:rsidRDefault="00E07ECC" w:rsidP="008B07CC">
      <w:pPr>
        <w:pStyle w:val="ListBullet"/>
      </w:pPr>
      <w:r>
        <w:t>Subjects who were tested for the HLA B1502 allele and tested positive for the HLA B1502 allele.</w:t>
      </w:r>
      <w:r>
        <w:rPr>
          <w:rStyle w:val="FootnoteReference"/>
        </w:rPr>
        <w:footnoteReference w:id="1"/>
      </w:r>
    </w:p>
    <w:p w:rsidR="00E07ECC" w:rsidRPr="004D5D5C" w:rsidRDefault="00E07ECC" w:rsidP="008B07CC">
      <w:pPr>
        <w:pStyle w:val="Heading6"/>
      </w:pPr>
      <w:r w:rsidRPr="004D5D5C">
        <w:t>Study treatments</w:t>
      </w:r>
    </w:p>
    <w:p w:rsidR="00E07ECC" w:rsidRDefault="00E07ECC" w:rsidP="008B07CC">
      <w:pPr>
        <w:pStyle w:val="FigureTitle"/>
      </w:pPr>
      <w:bookmarkStart w:id="62" w:name="_Toc326646583"/>
      <w:r>
        <w:t xml:space="preserve">Figure </w:t>
      </w:r>
      <w:r w:rsidR="00423552">
        <w:fldChar w:fldCharType="begin"/>
      </w:r>
      <w:r w:rsidR="00FC3F50">
        <w:instrText xml:space="preserve"> SEQ Figure \* ARABIC </w:instrText>
      </w:r>
      <w:r w:rsidR="00423552">
        <w:fldChar w:fldCharType="separate"/>
      </w:r>
      <w:r w:rsidR="002E4F77">
        <w:rPr>
          <w:noProof/>
        </w:rPr>
        <w:t>2</w:t>
      </w:r>
      <w:r w:rsidR="00423552">
        <w:fldChar w:fldCharType="end"/>
      </w:r>
      <w:r w:rsidR="008B07CC">
        <w:t>.</w:t>
      </w:r>
      <w:r>
        <w:t xml:space="preserve"> </w:t>
      </w:r>
      <w:r w:rsidRPr="001B7D8C">
        <w:t>Study Diagram</w:t>
      </w:r>
      <w:bookmarkEnd w:id="62"/>
    </w:p>
    <w:p w:rsidR="00E07ECC" w:rsidRDefault="00E07ECC" w:rsidP="00E07ECC">
      <w:pPr>
        <w:pStyle w:val="Caption"/>
        <w:spacing w:after="0"/>
      </w:pPr>
      <w:r>
        <w:rPr>
          <w:noProof/>
          <w:lang w:eastAsia="en-AU"/>
        </w:rPr>
        <w:drawing>
          <wp:inline distT="0" distB="0" distL="0" distR="0">
            <wp:extent cx="5916295" cy="2974975"/>
            <wp:effectExtent l="19050" t="0" r="8255" b="0"/>
            <wp:docPr id="7" name="Picture 7" descr="Figure 2. Stud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916295" cy="2974975"/>
                    </a:xfrm>
                    <a:prstGeom prst="rect">
                      <a:avLst/>
                    </a:prstGeom>
                    <a:noFill/>
                    <a:ln w="9525">
                      <a:noFill/>
                      <a:miter lim="800000"/>
                      <a:headEnd/>
                      <a:tailEnd/>
                    </a:ln>
                  </pic:spPr>
                </pic:pic>
              </a:graphicData>
            </a:graphic>
          </wp:inline>
        </w:drawing>
      </w:r>
    </w:p>
    <w:p w:rsidR="00E07ECC" w:rsidRPr="002F124A" w:rsidRDefault="00E07ECC" w:rsidP="00E07ECC">
      <w:pPr>
        <w:autoSpaceDE w:val="0"/>
        <w:autoSpaceDN w:val="0"/>
        <w:adjustRightInd w:val="0"/>
        <w:spacing w:after="60"/>
        <w:jc w:val="both"/>
      </w:pPr>
      <w:r>
        <w:t>Titration to 30</w:t>
      </w:r>
      <w:r w:rsidR="000A6651">
        <w:t>0 mg</w:t>
      </w:r>
      <w:r>
        <w:t>/day zonisamide or 60</w:t>
      </w:r>
      <w:r w:rsidR="000A6651">
        <w:t>0 mg</w:t>
      </w:r>
      <w:r>
        <w:t>/day carbamazepine, subjects unable to achieve the target dose at end of titration period were either withdrawn from the study, or alternatively, subjects not tolerating their medication were permitted one down-titration step during the first 2 weeks after the titration period only, to 20</w:t>
      </w:r>
      <w:r w:rsidR="000A6651">
        <w:t>0 mg</w:t>
      </w:r>
      <w:r>
        <w:t>/day</w:t>
      </w:r>
      <w:r w:rsidR="003C2B8A">
        <w:t xml:space="preserve"> </w:t>
      </w:r>
      <w:r>
        <w:t>zonisamide or 40</w:t>
      </w:r>
      <w:r w:rsidR="000A6651">
        <w:t>0 mg</w:t>
      </w:r>
      <w:r>
        <w:t xml:space="preserve">/day carbamazapine. If subjects consequently experienced a seizure, their dose could be up-titrated. </w:t>
      </w:r>
    </w:p>
    <w:p w:rsidR="00E07ECC" w:rsidRDefault="00E07ECC" w:rsidP="00E07ECC">
      <w:pPr>
        <w:autoSpaceDE w:val="0"/>
        <w:autoSpaceDN w:val="0"/>
        <w:adjustRightInd w:val="0"/>
        <w:spacing w:after="60"/>
        <w:jc w:val="both"/>
      </w:pPr>
      <w:r w:rsidRPr="002F124A">
        <w:t>Subjects who required a dose outside of the s</w:t>
      </w:r>
      <w:r>
        <w:t>tudy dose ranges (less than 20</w:t>
      </w:r>
      <w:r w:rsidR="000A6651">
        <w:t>0 mg</w:t>
      </w:r>
      <w:r w:rsidRPr="002F124A">
        <w:t xml:space="preserve"> or more than</w:t>
      </w:r>
      <w:r>
        <w:t xml:space="preserve"> </w:t>
      </w:r>
      <w:r w:rsidRPr="002F124A">
        <w:t>5</w:t>
      </w:r>
      <w:r>
        <w:t>0</w:t>
      </w:r>
      <w:r w:rsidR="000A6651">
        <w:t>0 mg</w:t>
      </w:r>
      <w:r w:rsidRPr="002F124A">
        <w:t>/day zonisamide</w:t>
      </w:r>
      <w:r>
        <w:t>; less than 40</w:t>
      </w:r>
      <w:r w:rsidR="000A6651">
        <w:t>0 mg</w:t>
      </w:r>
      <w:r>
        <w:t xml:space="preserve"> or more than 120</w:t>
      </w:r>
      <w:r w:rsidR="000A6651">
        <w:t>0 mg</w:t>
      </w:r>
      <w:r w:rsidRPr="002F124A">
        <w:t>/day carbamazapine) were withdrawn from</w:t>
      </w:r>
      <w:r>
        <w:t xml:space="preserve"> </w:t>
      </w:r>
      <w:r w:rsidRPr="002F124A">
        <w:t>the study.</w:t>
      </w:r>
    </w:p>
    <w:p w:rsidR="00E07ECC" w:rsidRDefault="00E07ECC" w:rsidP="00E07ECC">
      <w:pPr>
        <w:autoSpaceDE w:val="0"/>
        <w:autoSpaceDN w:val="0"/>
        <w:adjustRightInd w:val="0"/>
        <w:spacing w:after="60"/>
        <w:jc w:val="both"/>
      </w:pPr>
      <w:r>
        <w:t>Comparator choice: carbamazepine is used specifically for the treatment of partial epilepsy, and is recommended as the first line monotherapy treatment in newly diagnosed individuals. The prolonged release formulation of Tegretol Retard is equally as efficacious as immediate release carbamazepine but has fewer dose-related side effects and more stable plasma concentrations.</w:t>
      </w:r>
    </w:p>
    <w:p w:rsidR="00E07ECC" w:rsidRDefault="00E07ECC" w:rsidP="008B07CC">
      <w:pPr>
        <w:pStyle w:val="Heading6"/>
      </w:pPr>
      <w:r w:rsidRPr="004B259C">
        <w:t>Efficacy variables and outcomes</w:t>
      </w:r>
    </w:p>
    <w:p w:rsidR="00E07ECC" w:rsidRDefault="00E07ECC" w:rsidP="00E07ECC">
      <w:pPr>
        <w:spacing w:after="60"/>
      </w:pPr>
      <w:r>
        <w:t xml:space="preserve">The </w:t>
      </w:r>
      <w:r w:rsidRPr="007D3BF8">
        <w:rPr>
          <w:b/>
        </w:rPr>
        <w:t>primary efficacy variable</w:t>
      </w:r>
      <w:r>
        <w:t xml:space="preserve"> was the proportion of subjects seizure-free for 26 weeks as assessed by the occurrence of seizures as documented in the seizure diary.</w:t>
      </w:r>
      <w:r>
        <w:rPr>
          <w:rStyle w:val="FootnoteReference"/>
        </w:rPr>
        <w:footnoteReference w:id="2"/>
      </w:r>
    </w:p>
    <w:p w:rsidR="00E07ECC" w:rsidRDefault="00E07ECC" w:rsidP="00E07ECC">
      <w:pPr>
        <w:spacing w:after="60"/>
      </w:pPr>
      <w:r>
        <w:t xml:space="preserve">The </w:t>
      </w:r>
      <w:r w:rsidRPr="007D3BF8">
        <w:rPr>
          <w:b/>
        </w:rPr>
        <w:t>secondary efficacy variables</w:t>
      </w:r>
      <w:r>
        <w:t xml:space="preserve"> measured were:</w:t>
      </w:r>
    </w:p>
    <w:p w:rsidR="00E07ECC" w:rsidRDefault="00E07ECC" w:rsidP="00FD4F49">
      <w:pPr>
        <w:pStyle w:val="ListBullet"/>
      </w:pPr>
      <w:r>
        <w:lastRenderedPageBreak/>
        <w:t>Proportion of subjects seizure-free for 52 weeks</w:t>
      </w:r>
    </w:p>
    <w:p w:rsidR="00E07ECC" w:rsidRDefault="00E07ECC" w:rsidP="00FD4F49">
      <w:pPr>
        <w:pStyle w:val="ListBullet"/>
      </w:pPr>
      <w:r>
        <w:t>Time to withdrawal due to lack of efficacy</w:t>
      </w:r>
    </w:p>
    <w:p w:rsidR="00E07ECC" w:rsidRDefault="00E07ECC" w:rsidP="00FD4F49">
      <w:pPr>
        <w:pStyle w:val="ListBullet"/>
      </w:pPr>
      <w:r>
        <w:t>Time to withdrawal due to an AE</w:t>
      </w:r>
    </w:p>
    <w:p w:rsidR="00E07ECC" w:rsidRDefault="00E07ECC" w:rsidP="00FD4F49">
      <w:pPr>
        <w:pStyle w:val="ListBullet"/>
      </w:pPr>
      <w:r>
        <w:t>Time to the end of a 26-week and 52-week seizure-free period.</w:t>
      </w:r>
    </w:p>
    <w:p w:rsidR="00E07ECC" w:rsidRPr="004B259C" w:rsidRDefault="00E07ECC" w:rsidP="008B07CC">
      <w:pPr>
        <w:pStyle w:val="Heading6"/>
      </w:pPr>
      <w:r w:rsidRPr="004B259C">
        <w:t>Randomisation and blinding methods</w:t>
      </w:r>
    </w:p>
    <w:p w:rsidR="00E07ECC" w:rsidRDefault="00E07ECC" w:rsidP="00E07ECC">
      <w:pPr>
        <w:spacing w:after="60"/>
      </w:pPr>
      <w:r>
        <w:t>Eligible subjects were randomized in a 1:1 ratio to either the carbamazepine or</w:t>
      </w:r>
      <w:r w:rsidR="003C2B8A">
        <w:t xml:space="preserve"> </w:t>
      </w:r>
      <w:r>
        <w:t>zonisamide arm.</w:t>
      </w:r>
    </w:p>
    <w:p w:rsidR="00E07ECC" w:rsidRDefault="00E07ECC" w:rsidP="00E07ECC">
      <w:pPr>
        <w:spacing w:after="60"/>
      </w:pPr>
      <w:r>
        <w:t xml:space="preserve">The comparator study drug, </w:t>
      </w:r>
      <w:r w:rsidR="003C2B8A">
        <w:t>carbamazapine,</w:t>
      </w:r>
      <w:r>
        <w:t xml:space="preserve"> is a liver enzyme inducer whereas</w:t>
      </w:r>
      <w:r w:rsidR="003C2B8A">
        <w:t xml:space="preserve"> </w:t>
      </w:r>
      <w:r>
        <w:t xml:space="preserve">zonisamide is not. It may therefore, have been possible for the investigator to know which treatment a subject was receiving by reviewing their laboratory results, </w:t>
      </w:r>
      <w:r w:rsidR="000A6651">
        <w:t>that is,</w:t>
      </w:r>
      <w:r>
        <w:t xml:space="preserve"> gamma glutamyl transferase (GGT) levels were likely to increase for subjects who were being treated with carbamazapine . It was therefore necessary for the GGT results to remain blinded. They were not included on the report sent to the investigators but were reviewed by an independent medical monitor, who had access to the randomization code. Only results of clinical significance were reported to the investigators.</w:t>
      </w:r>
    </w:p>
    <w:p w:rsidR="00E07ECC" w:rsidRDefault="00E07ECC" w:rsidP="008B07CC">
      <w:pPr>
        <w:pStyle w:val="Heading6"/>
      </w:pPr>
      <w:r>
        <w:t>Analysis populations</w:t>
      </w:r>
    </w:p>
    <w:p w:rsidR="00E07ECC" w:rsidRPr="004C1C45" w:rsidRDefault="00E07ECC" w:rsidP="00E07ECC">
      <w:pPr>
        <w:autoSpaceDE w:val="0"/>
        <w:autoSpaceDN w:val="0"/>
        <w:adjustRightInd w:val="0"/>
        <w:spacing w:after="60"/>
      </w:pPr>
      <w:r w:rsidRPr="004C1C45">
        <w:t xml:space="preserve">The </w:t>
      </w:r>
      <w:r w:rsidRPr="004C1C45">
        <w:rPr>
          <w:b/>
          <w:bCs/>
        </w:rPr>
        <w:t xml:space="preserve">All Subjects Population </w:t>
      </w:r>
      <w:r w:rsidRPr="004C1C45">
        <w:t xml:space="preserve">was defined as all subjects </w:t>
      </w:r>
      <w:r>
        <w:t>who were recruited to the study.</w:t>
      </w:r>
    </w:p>
    <w:p w:rsidR="00E07ECC" w:rsidRPr="004C1C45" w:rsidRDefault="00E07ECC" w:rsidP="00E07ECC">
      <w:pPr>
        <w:autoSpaceDE w:val="0"/>
        <w:autoSpaceDN w:val="0"/>
        <w:adjustRightInd w:val="0"/>
        <w:spacing w:after="60"/>
        <w:jc w:val="both"/>
      </w:pPr>
      <w:r w:rsidRPr="004C1C45">
        <w:t xml:space="preserve">The </w:t>
      </w:r>
      <w:r w:rsidRPr="004C1C45">
        <w:rPr>
          <w:b/>
          <w:bCs/>
        </w:rPr>
        <w:t xml:space="preserve">Randomized Population </w:t>
      </w:r>
      <w:r w:rsidRPr="004C1C45">
        <w:t>was defined as all screened subjects who were randomized to</w:t>
      </w:r>
      <w:r>
        <w:t xml:space="preserve"> </w:t>
      </w:r>
      <w:r w:rsidRPr="004C1C45">
        <w:t>treatment.</w:t>
      </w:r>
    </w:p>
    <w:p w:rsidR="00E07ECC" w:rsidRDefault="00E07ECC" w:rsidP="00E07ECC">
      <w:pPr>
        <w:autoSpaceDE w:val="0"/>
        <w:autoSpaceDN w:val="0"/>
        <w:adjustRightInd w:val="0"/>
        <w:spacing w:after="60"/>
        <w:jc w:val="both"/>
      </w:pPr>
      <w:r w:rsidRPr="004C1C45">
        <w:t xml:space="preserve">The </w:t>
      </w:r>
      <w:r w:rsidRPr="004C1C45">
        <w:rPr>
          <w:b/>
          <w:bCs/>
        </w:rPr>
        <w:t xml:space="preserve">Intent to treat (ITT)/Safety Population </w:t>
      </w:r>
      <w:r w:rsidRPr="004C1C45">
        <w:t>was defined as all randomized subjects who</w:t>
      </w:r>
      <w:r>
        <w:t xml:space="preserve"> </w:t>
      </w:r>
      <w:r w:rsidRPr="004C1C45">
        <w:t xml:space="preserve">received at least one dose of study medication. </w:t>
      </w:r>
    </w:p>
    <w:p w:rsidR="00E07ECC" w:rsidRPr="004B259C" w:rsidDel="0081373E" w:rsidRDefault="00E07ECC" w:rsidP="00E07ECC">
      <w:pPr>
        <w:autoSpaceDE w:val="0"/>
        <w:autoSpaceDN w:val="0"/>
        <w:adjustRightInd w:val="0"/>
        <w:spacing w:after="60"/>
        <w:jc w:val="both"/>
      </w:pPr>
      <w:r w:rsidRPr="004C1C45">
        <w:t xml:space="preserve">The </w:t>
      </w:r>
      <w:r w:rsidRPr="004C1C45">
        <w:rPr>
          <w:b/>
          <w:bCs/>
        </w:rPr>
        <w:t xml:space="preserve">Per Protocol (PP) Population </w:t>
      </w:r>
      <w:r w:rsidRPr="004C1C45">
        <w:t>was defined as a subset of the ITT Population who had</w:t>
      </w:r>
      <w:r>
        <w:t xml:space="preserve"> </w:t>
      </w:r>
      <w:r w:rsidRPr="004C1C45">
        <w:t>no major protocol violations or deviations.</w:t>
      </w:r>
    </w:p>
    <w:p w:rsidR="00E07ECC" w:rsidRPr="004B259C" w:rsidDel="0081373E" w:rsidRDefault="00E07ECC" w:rsidP="008B07CC">
      <w:pPr>
        <w:pStyle w:val="Heading6"/>
      </w:pPr>
      <w:r w:rsidRPr="004B259C" w:rsidDel="0081373E">
        <w:t>Sample size</w:t>
      </w:r>
    </w:p>
    <w:p w:rsidR="00E07ECC" w:rsidRDefault="00E07ECC" w:rsidP="00E07ECC">
      <w:pPr>
        <w:spacing w:after="60"/>
      </w:pPr>
      <w:r>
        <w:t>The sample size was based on the primary efficacy endpoint of proportion of subjects seizure-free for at least 6 months. The noninferiority margin (delta) is a relative 20% difference (e.g., an absolute difference of 12% if proportion seizure-free is 60%) up to a maximum of an absolute 12% difference.</w:t>
      </w:r>
    </w:p>
    <w:p w:rsidR="00E07ECC" w:rsidRDefault="00E07ECC" w:rsidP="00E07ECC">
      <w:pPr>
        <w:spacing w:after="60"/>
      </w:pPr>
      <w:r>
        <w:t>Assuming that the proportion seizure-free in the</w:t>
      </w:r>
      <w:r w:rsidR="003C2B8A">
        <w:t xml:space="preserve"> </w:t>
      </w:r>
      <w:r>
        <w:t>zonisamide and carbamazepine groups is 60%, 262 subjects per group were required to conclude that</w:t>
      </w:r>
      <w:r w:rsidR="003C2B8A">
        <w:t xml:space="preserve"> </w:t>
      </w:r>
      <w:r>
        <w:t>zonisamide is noninferior to carbamazepine if the lower limit of the 95% CI of the treatment difference (carbamazepine –</w:t>
      </w:r>
      <w:r w:rsidR="003C2B8A">
        <w:t xml:space="preserve"> </w:t>
      </w:r>
      <w:r>
        <w:t>zonisamide) is above –12% with 80% power and a 1-sided 0.025 alpha level. If the proportion of seizure-free subjects in both groups is 65% or 70%, then 262 subjects per group would provide 82% and 85% power, respectively.</w:t>
      </w:r>
    </w:p>
    <w:p w:rsidR="00E07ECC" w:rsidRDefault="00E07ECC" w:rsidP="00E07ECC">
      <w:pPr>
        <w:spacing w:after="60"/>
      </w:pPr>
      <w:r>
        <w:t>Allowing for a 10% drop-out rate, a total of 582 subjects were to be randomized in a ratio of 1:1 between</w:t>
      </w:r>
      <w:r w:rsidR="003C2B8A">
        <w:t xml:space="preserve"> </w:t>
      </w:r>
      <w:r>
        <w:t>zonisamide</w:t>
      </w:r>
      <w:r w:rsidR="003C2B8A">
        <w:t>: carbamazapine</w:t>
      </w:r>
      <w:r>
        <w:t xml:space="preserve">. </w:t>
      </w:r>
    </w:p>
    <w:p w:rsidR="00E07ECC" w:rsidRPr="004B259C" w:rsidRDefault="00E07ECC" w:rsidP="008B07CC">
      <w:pPr>
        <w:pStyle w:val="Heading6"/>
      </w:pPr>
      <w:r w:rsidRPr="004B259C">
        <w:t>Statistical methods</w:t>
      </w:r>
    </w:p>
    <w:p w:rsidR="00E07ECC" w:rsidRDefault="00E07ECC" w:rsidP="00E07ECC">
      <w:pPr>
        <w:spacing w:after="60"/>
      </w:pPr>
      <w:r>
        <w:t>The null hypothesis and alternative hypotheses were:</w:t>
      </w:r>
    </w:p>
    <w:p w:rsidR="00E07ECC" w:rsidRPr="008B07CC" w:rsidRDefault="00E07ECC" w:rsidP="00E07ECC">
      <w:pPr>
        <w:spacing w:after="60"/>
        <w:rPr>
          <w:i/>
        </w:rPr>
      </w:pPr>
      <w:r w:rsidRPr="008B07CC">
        <w:rPr>
          <w:i/>
        </w:rPr>
        <w:t>H</w:t>
      </w:r>
      <w:r w:rsidRPr="008B07CC">
        <w:rPr>
          <w:i/>
          <w:vertAlign w:val="subscript"/>
        </w:rPr>
        <w:t>0</w:t>
      </w:r>
      <w:r w:rsidRPr="008B07CC">
        <w:rPr>
          <w:i/>
        </w:rPr>
        <w:t>:</w:t>
      </w:r>
      <w:r w:rsidR="003C2B8A">
        <w:rPr>
          <w:i/>
        </w:rPr>
        <w:t xml:space="preserve"> </w:t>
      </w:r>
      <w:r w:rsidRPr="008B07CC">
        <w:rPr>
          <w:i/>
        </w:rPr>
        <w:t xml:space="preserve">zonisamide is inferior to carbamazepine </w:t>
      </w:r>
    </w:p>
    <w:p w:rsidR="00E07ECC" w:rsidRPr="008B07CC" w:rsidRDefault="00E07ECC" w:rsidP="008B07CC">
      <w:pPr>
        <w:tabs>
          <w:tab w:val="left" w:pos="1134"/>
        </w:tabs>
        <w:spacing w:after="60"/>
        <w:ind w:firstLine="1134"/>
        <w:rPr>
          <w:i/>
        </w:rPr>
      </w:pPr>
      <w:r w:rsidRPr="008B07CC">
        <w:rPr>
          <w:i/>
        </w:rPr>
        <w:t>H</w:t>
      </w:r>
      <w:r w:rsidRPr="008B07CC">
        <w:rPr>
          <w:i/>
          <w:vertAlign w:val="subscript"/>
        </w:rPr>
        <w:t>0</w:t>
      </w:r>
      <w:r w:rsidRPr="008B07CC">
        <w:rPr>
          <w:i/>
        </w:rPr>
        <w:t xml:space="preserve">: pZ - pC </w:t>
      </w:r>
      <w:r w:rsidR="003C2B8A">
        <w:rPr>
          <w:i/>
        </w:rPr>
        <w:t>≤</w:t>
      </w:r>
      <w:r w:rsidRPr="008B07CC">
        <w:rPr>
          <w:i/>
        </w:rPr>
        <w:t>- delta</w:t>
      </w:r>
    </w:p>
    <w:p w:rsidR="00E07ECC" w:rsidRPr="008B07CC" w:rsidRDefault="00E07ECC" w:rsidP="00E07ECC">
      <w:pPr>
        <w:rPr>
          <w:i/>
        </w:rPr>
      </w:pPr>
      <w:r w:rsidRPr="008B07CC">
        <w:rPr>
          <w:i/>
        </w:rPr>
        <w:t>Where:</w:t>
      </w:r>
    </w:p>
    <w:p w:rsidR="00E07ECC" w:rsidRPr="008B07CC" w:rsidRDefault="00E07ECC" w:rsidP="00E07ECC">
      <w:pPr>
        <w:rPr>
          <w:i/>
        </w:rPr>
      </w:pPr>
      <w:r w:rsidRPr="008B07CC">
        <w:rPr>
          <w:i/>
        </w:rPr>
        <w:t>pZ = proportion with 6-month seizure freedom on</w:t>
      </w:r>
      <w:r w:rsidR="003C2B8A">
        <w:rPr>
          <w:i/>
        </w:rPr>
        <w:t xml:space="preserve"> </w:t>
      </w:r>
      <w:r w:rsidRPr="008B07CC">
        <w:rPr>
          <w:i/>
        </w:rPr>
        <w:t>zonisamide</w:t>
      </w:r>
    </w:p>
    <w:p w:rsidR="00E07ECC" w:rsidRPr="008B07CC" w:rsidRDefault="00E07ECC" w:rsidP="00E07ECC">
      <w:pPr>
        <w:spacing w:after="60"/>
        <w:rPr>
          <w:i/>
        </w:rPr>
      </w:pPr>
      <w:r w:rsidRPr="008B07CC">
        <w:rPr>
          <w:i/>
        </w:rPr>
        <w:t xml:space="preserve">pC = proportion with 6-month seizure freedom on carbamazapine </w:t>
      </w:r>
    </w:p>
    <w:p w:rsidR="00E07ECC" w:rsidRPr="008B07CC" w:rsidRDefault="00E07ECC" w:rsidP="00E07ECC">
      <w:pPr>
        <w:spacing w:after="60"/>
        <w:rPr>
          <w:i/>
        </w:rPr>
      </w:pPr>
      <w:r w:rsidRPr="008B07CC">
        <w:rPr>
          <w:i/>
        </w:rPr>
        <w:t>H</w:t>
      </w:r>
      <w:r w:rsidRPr="008B07CC">
        <w:rPr>
          <w:i/>
          <w:vertAlign w:val="subscript"/>
        </w:rPr>
        <w:t>a</w:t>
      </w:r>
      <w:r w:rsidRPr="008B07CC">
        <w:rPr>
          <w:i/>
        </w:rPr>
        <w:t>:</w:t>
      </w:r>
      <w:r w:rsidR="003C2B8A">
        <w:rPr>
          <w:i/>
        </w:rPr>
        <w:t xml:space="preserve"> </w:t>
      </w:r>
      <w:r w:rsidRPr="008B07CC">
        <w:rPr>
          <w:i/>
        </w:rPr>
        <w:t xml:space="preserve">zonisamide not inferior to carbamazepine </w:t>
      </w:r>
    </w:p>
    <w:p w:rsidR="00E07ECC" w:rsidRPr="008B07CC" w:rsidRDefault="00E07ECC" w:rsidP="008B07CC">
      <w:pPr>
        <w:spacing w:after="60"/>
        <w:ind w:firstLine="1134"/>
        <w:rPr>
          <w:i/>
        </w:rPr>
      </w:pPr>
      <w:r w:rsidRPr="008B07CC">
        <w:rPr>
          <w:i/>
        </w:rPr>
        <w:t>H</w:t>
      </w:r>
      <w:r w:rsidRPr="008B07CC">
        <w:rPr>
          <w:i/>
          <w:vertAlign w:val="subscript"/>
        </w:rPr>
        <w:t>a</w:t>
      </w:r>
      <w:r w:rsidRPr="008B07CC">
        <w:rPr>
          <w:i/>
        </w:rPr>
        <w:t>: pZ - pC &gt; . delta</w:t>
      </w:r>
    </w:p>
    <w:p w:rsidR="00E07ECC" w:rsidRPr="008B07CC" w:rsidRDefault="00E07ECC" w:rsidP="00E07ECC">
      <w:pPr>
        <w:spacing w:after="60"/>
        <w:rPr>
          <w:i/>
        </w:rPr>
      </w:pPr>
      <w:r w:rsidRPr="008B07CC">
        <w:rPr>
          <w:i/>
        </w:rPr>
        <w:lastRenderedPageBreak/>
        <w:t>The noninferiority margin (delta) is a 20% relative difference (e.g., 12% if the proportion seizure-free is 60%, up to a maximum of 12%).</w:t>
      </w:r>
    </w:p>
    <w:p w:rsidR="00E07ECC" w:rsidRDefault="00E07ECC" w:rsidP="00E07ECC">
      <w:pPr>
        <w:spacing w:after="60"/>
      </w:pPr>
      <w:r>
        <w:t>The primary analysis was performed using logistic regression, including as factors, treatment (zonisamide</w:t>
      </w:r>
      <w:r w:rsidR="000A6651">
        <w:t xml:space="preserve"> versus </w:t>
      </w:r>
      <w:r>
        <w:t>carbamazapine) and country.</w:t>
      </w:r>
    </w:p>
    <w:p w:rsidR="00E07ECC" w:rsidRDefault="00E07ECC" w:rsidP="00E07ECC">
      <w:pPr>
        <w:spacing w:after="60"/>
      </w:pPr>
      <w:r>
        <w:t>The adjusted difference ( zonisamide – carbamazapine ) in proportions and 95% CI were calculated. A sensitivity analysis was conducted excluding country group as a factor. Similar analyses were performed in the ITT Population.</w:t>
      </w:r>
    </w:p>
    <w:p w:rsidR="00E07ECC" w:rsidRDefault="00E07ECC" w:rsidP="00E07ECC">
      <w:pPr>
        <w:spacing w:after="60"/>
      </w:pPr>
      <w:r>
        <w:t xml:space="preserve">A further analysis considering additional factors/covariates such as epilepsy etiology (structural brain anomalies or head injuries versus others), number of pretreatment seizures (number of seizures in the 3 months/12 months before randomization) was performed. </w:t>
      </w:r>
    </w:p>
    <w:p w:rsidR="00E07ECC" w:rsidRDefault="00E07ECC" w:rsidP="00E07ECC">
      <w:pPr>
        <w:spacing w:after="60"/>
      </w:pPr>
      <w:r>
        <w:t xml:space="preserve">A subgroup analysis based on seizure history was performed. For each subgroup the percentage seizure-free in each treatment group was presented, along with odds ratios, adjusted difference in proportions, and 95% CIs. </w:t>
      </w:r>
    </w:p>
    <w:p w:rsidR="00E07ECC" w:rsidRDefault="00E07ECC" w:rsidP="00E07ECC">
      <w:pPr>
        <w:spacing w:after="60"/>
      </w:pPr>
      <w:r>
        <w:t>The key secondary efficacy parameter was the proportion of subjects seizure-free for at least a 12-month (52-week) period</w:t>
      </w:r>
      <w:r>
        <w:rPr>
          <w:rStyle w:val="FootnoteReference"/>
        </w:rPr>
        <w:footnoteReference w:id="3"/>
      </w:r>
      <w:r>
        <w:t xml:space="preserve"> and was analysed similarly to the primary endpoint. A non inferiority margin was not set for this endpoint.</w:t>
      </w:r>
    </w:p>
    <w:p w:rsidR="00E07ECC" w:rsidRDefault="00E07ECC" w:rsidP="008B07CC">
      <w:pPr>
        <w:pStyle w:val="Heading6"/>
      </w:pPr>
      <w:r>
        <w:t>Changes to the Planned Analyses</w:t>
      </w:r>
    </w:p>
    <w:p w:rsidR="00E07ECC" w:rsidRPr="004B259C" w:rsidRDefault="00E07ECC" w:rsidP="00E07ECC">
      <w:pPr>
        <w:spacing w:after="60"/>
      </w:pPr>
      <w:r>
        <w:t>The secondary endpoints of time to 6 months seizure freedom and 12 months seizure freedom were analysed using Cox’s proportional hazards model and not using logistic regression as specified in the protocol. For subjects who did not achieve seizure freedom, time to seizure freedom was censored at the date of their last treatment visit, and not the time of commencing the last dose, as specified in the protocol.</w:t>
      </w:r>
    </w:p>
    <w:p w:rsidR="00E07ECC" w:rsidRPr="004B259C" w:rsidRDefault="00E07ECC" w:rsidP="008B07CC">
      <w:pPr>
        <w:pStyle w:val="Heading6"/>
      </w:pPr>
      <w:r w:rsidRPr="004B259C">
        <w:t>Participant flow</w:t>
      </w:r>
    </w:p>
    <w:p w:rsidR="00E07ECC" w:rsidRPr="00A008B8" w:rsidRDefault="00E07ECC" w:rsidP="00E07ECC">
      <w:pPr>
        <w:spacing w:after="60"/>
      </w:pPr>
      <w:r>
        <w:t>Pooling of centres and countries with low numbers occurred. When a group would have no responders that country was combined with others.</w:t>
      </w:r>
    </w:p>
    <w:p w:rsidR="00E07ECC" w:rsidRDefault="00E07ECC" w:rsidP="00081C6D">
      <w:pPr>
        <w:pStyle w:val="FigureTitle"/>
        <w:keepNext/>
      </w:pPr>
      <w:bookmarkStart w:id="63" w:name="_Toc326646584"/>
      <w:r>
        <w:lastRenderedPageBreak/>
        <w:t xml:space="preserve">Figure </w:t>
      </w:r>
      <w:r w:rsidR="00423552">
        <w:fldChar w:fldCharType="begin"/>
      </w:r>
      <w:r w:rsidR="00FC3F50">
        <w:instrText xml:space="preserve"> SEQ Figure \* ARABIC </w:instrText>
      </w:r>
      <w:r w:rsidR="00423552">
        <w:fldChar w:fldCharType="separate"/>
      </w:r>
      <w:r w:rsidR="002E4F77">
        <w:rPr>
          <w:noProof/>
        </w:rPr>
        <w:t>3</w:t>
      </w:r>
      <w:r w:rsidR="00423552">
        <w:fldChar w:fldCharType="end"/>
      </w:r>
      <w:r w:rsidR="008B07CC">
        <w:t>.</w:t>
      </w:r>
      <w:r>
        <w:t xml:space="preserve"> Subject Disposition</w:t>
      </w:r>
      <w:bookmarkEnd w:id="63"/>
      <w:r>
        <w:rPr>
          <w:noProof/>
          <w:lang w:eastAsia="en-AU"/>
        </w:rPr>
        <w:drawing>
          <wp:inline distT="0" distB="0" distL="0" distR="0">
            <wp:extent cx="5208124" cy="4829175"/>
            <wp:effectExtent l="19050" t="0" r="0" b="0"/>
            <wp:docPr id="8" name="Picture 8" descr="Figure 3. Subjec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5209434" cy="4830390"/>
                    </a:xfrm>
                    <a:prstGeom prst="rect">
                      <a:avLst/>
                    </a:prstGeom>
                    <a:noFill/>
                    <a:ln w="9525">
                      <a:noFill/>
                      <a:miter lim="800000"/>
                      <a:headEnd/>
                      <a:tailEnd/>
                    </a:ln>
                  </pic:spPr>
                </pic:pic>
              </a:graphicData>
            </a:graphic>
          </wp:inline>
        </w:drawing>
      </w:r>
    </w:p>
    <w:p w:rsidR="008B07CC" w:rsidRDefault="00E07ECC" w:rsidP="008B07CC">
      <w:pPr>
        <w:keepNext/>
        <w:rPr>
          <w:sz w:val="18"/>
          <w:szCs w:val="18"/>
        </w:rPr>
      </w:pPr>
      <w:r w:rsidRPr="00081C6D">
        <w:rPr>
          <w:sz w:val="18"/>
          <w:szCs w:val="18"/>
          <w:vertAlign w:val="superscript"/>
        </w:rPr>
        <w:t>a</w:t>
      </w:r>
      <w:r w:rsidRPr="00081C6D">
        <w:rPr>
          <w:sz w:val="18"/>
          <w:szCs w:val="18"/>
        </w:rPr>
        <w:t xml:space="preserve"> Subject who signed informed consent</w:t>
      </w:r>
    </w:p>
    <w:p w:rsidR="00E07ECC" w:rsidRDefault="00E07ECC" w:rsidP="00E07ECC">
      <w:pPr>
        <w:pStyle w:val="Heading5"/>
        <w:numPr>
          <w:ilvl w:val="4"/>
          <w:numId w:val="0"/>
        </w:numPr>
        <w:tabs>
          <w:tab w:val="num" w:pos="1701"/>
        </w:tabs>
        <w:ind w:left="1701" w:hanging="1701"/>
      </w:pPr>
      <w:r>
        <w:t>Major protocol violations/deviations</w:t>
      </w:r>
    </w:p>
    <w:p w:rsidR="00E07ECC" w:rsidRDefault="00E07ECC" w:rsidP="00FD4F49">
      <w:pPr>
        <w:pStyle w:val="TableTitle"/>
      </w:pPr>
      <w:bookmarkStart w:id="64" w:name="_Toc326646549"/>
      <w:r>
        <w:t xml:space="preserve">Table </w:t>
      </w:r>
      <w:r w:rsidR="00423552">
        <w:fldChar w:fldCharType="begin"/>
      </w:r>
      <w:r w:rsidR="00FC3F50">
        <w:instrText xml:space="preserve"> SEQ Table \* ARABIC </w:instrText>
      </w:r>
      <w:r w:rsidR="00423552">
        <w:fldChar w:fldCharType="separate"/>
      </w:r>
      <w:r w:rsidR="002E4F77">
        <w:rPr>
          <w:noProof/>
        </w:rPr>
        <w:t>4</w:t>
      </w:r>
      <w:r w:rsidR="00423552">
        <w:fldChar w:fldCharType="end"/>
      </w:r>
      <w:r w:rsidR="008B07CC">
        <w:t>.</w:t>
      </w:r>
      <w:r>
        <w:t xml:space="preserve"> </w:t>
      </w:r>
      <w:r w:rsidRPr="001C5FF0">
        <w:t>Major Violations/Deviations:</w:t>
      </w:r>
      <w:r w:rsidRPr="00605AF6">
        <w:t xml:space="preserve"> </w:t>
      </w:r>
      <w:r w:rsidRPr="001C5FF0">
        <w:t>Per Protocol Population</w:t>
      </w:r>
      <w:bookmarkEnd w:id="64"/>
    </w:p>
    <w:p w:rsidR="00E07ECC" w:rsidRDefault="00E07ECC" w:rsidP="008B07CC">
      <w:pPr>
        <w:keepNext/>
        <w:autoSpaceDE w:val="0"/>
        <w:autoSpaceDN w:val="0"/>
        <w:adjustRightInd w:val="0"/>
      </w:pPr>
      <w:r>
        <w:rPr>
          <w:noProof/>
          <w:lang w:eastAsia="en-AU"/>
        </w:rPr>
        <w:drawing>
          <wp:inline distT="0" distB="0" distL="0" distR="0">
            <wp:extent cx="5831625" cy="2623198"/>
            <wp:effectExtent l="19050" t="0" r="0" b="0"/>
            <wp:docPr id="9" name="Picture 9" descr="Table 4. Major Violations/Deviations: Per Protoco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5839986" cy="2626959"/>
                    </a:xfrm>
                    <a:prstGeom prst="rect">
                      <a:avLst/>
                    </a:prstGeom>
                    <a:noFill/>
                    <a:ln w="9525">
                      <a:noFill/>
                      <a:miter lim="800000"/>
                      <a:headEnd/>
                      <a:tailEnd/>
                    </a:ln>
                  </pic:spPr>
                </pic:pic>
              </a:graphicData>
            </a:graphic>
          </wp:inline>
        </w:drawing>
      </w:r>
    </w:p>
    <w:p w:rsidR="00E07ECC" w:rsidRPr="00081C6D" w:rsidRDefault="00E07ECC" w:rsidP="00081C6D">
      <w:pPr>
        <w:keepNext/>
        <w:autoSpaceDE w:val="0"/>
        <w:autoSpaceDN w:val="0"/>
        <w:adjustRightInd w:val="0"/>
        <w:rPr>
          <w:sz w:val="18"/>
          <w:szCs w:val="18"/>
        </w:rPr>
      </w:pPr>
      <w:r w:rsidRPr="00081C6D">
        <w:rPr>
          <w:sz w:val="18"/>
          <w:szCs w:val="18"/>
        </w:rPr>
        <w:t>Note: Subject 21091001 took the incorrect treatment before randomization and therefore, has been classified 'Treated not as randomized'. The subject then followed the protocol as planned on the correct randomized treatment and is therefore summarized as randomized in all summaries.</w:t>
      </w:r>
      <w:r w:rsidRPr="00081C6D">
        <w:rPr>
          <w:sz w:val="18"/>
          <w:szCs w:val="18"/>
        </w:rPr>
        <w:tab/>
        <w:t>FU = Follow-up,</w:t>
      </w:r>
      <w:r w:rsidR="00081C6D" w:rsidRPr="00081C6D">
        <w:rPr>
          <w:sz w:val="18"/>
          <w:szCs w:val="18"/>
        </w:rPr>
        <w:t xml:space="preserve"> </w:t>
      </w:r>
      <w:r w:rsidRPr="00081C6D">
        <w:rPr>
          <w:sz w:val="18"/>
          <w:szCs w:val="18"/>
          <w:vertAlign w:val="superscript"/>
        </w:rPr>
        <w:t>a</w:t>
      </w:r>
      <w:r w:rsidRPr="00081C6D">
        <w:rPr>
          <w:sz w:val="18"/>
          <w:szCs w:val="18"/>
        </w:rPr>
        <w:t xml:space="preserve"> A subject may appe</w:t>
      </w:r>
      <w:r w:rsidR="00FD4F49">
        <w:rPr>
          <w:sz w:val="18"/>
          <w:szCs w:val="18"/>
        </w:rPr>
        <w:t>ar in more than one category.</w:t>
      </w:r>
    </w:p>
    <w:p w:rsidR="00E07ECC" w:rsidRPr="004B259C" w:rsidRDefault="00E07ECC" w:rsidP="00081C6D">
      <w:pPr>
        <w:pStyle w:val="Heading5"/>
        <w:numPr>
          <w:ilvl w:val="4"/>
          <w:numId w:val="0"/>
        </w:numPr>
        <w:tabs>
          <w:tab w:val="num" w:pos="1701"/>
        </w:tabs>
        <w:spacing w:after="60"/>
      </w:pPr>
      <w:r w:rsidRPr="004B259C">
        <w:lastRenderedPageBreak/>
        <w:t>Baseline data</w:t>
      </w:r>
    </w:p>
    <w:p w:rsidR="00E07ECC" w:rsidRDefault="00E07ECC" w:rsidP="00FD4F49">
      <w:pPr>
        <w:pStyle w:val="TableTitle"/>
      </w:pPr>
      <w:bookmarkStart w:id="65" w:name="_Toc326646550"/>
      <w:r>
        <w:t xml:space="preserve">Table </w:t>
      </w:r>
      <w:r w:rsidR="00423552">
        <w:fldChar w:fldCharType="begin"/>
      </w:r>
      <w:r w:rsidR="00FC3F50">
        <w:instrText xml:space="preserve"> SEQ Table \* ARABIC </w:instrText>
      </w:r>
      <w:r w:rsidR="00423552">
        <w:fldChar w:fldCharType="separate"/>
      </w:r>
      <w:r w:rsidR="002E4F77">
        <w:rPr>
          <w:noProof/>
        </w:rPr>
        <w:t>5</w:t>
      </w:r>
      <w:r w:rsidR="00423552">
        <w:fldChar w:fldCharType="end"/>
      </w:r>
      <w:r w:rsidR="00625969">
        <w:t>.</w:t>
      </w:r>
      <w:r w:rsidR="003C2B8A">
        <w:t xml:space="preserve"> </w:t>
      </w:r>
      <w:r w:rsidRPr="0056695D">
        <w:t>Summary of Baseline Characteristics: Safety Population</w:t>
      </w:r>
      <w:bookmarkEnd w:id="65"/>
      <w:r w:rsidR="00081C6D">
        <w:t xml:space="preserve">. Table continued across 2 pages. </w:t>
      </w:r>
    </w:p>
    <w:p w:rsidR="00E07ECC" w:rsidRDefault="00E07ECC" w:rsidP="00081C6D">
      <w:pPr>
        <w:keepNext/>
        <w:keepLines/>
      </w:pPr>
      <w:r>
        <w:rPr>
          <w:noProof/>
          <w:lang w:eastAsia="en-AU"/>
        </w:rPr>
        <w:drawing>
          <wp:inline distT="0" distB="0" distL="0" distR="0">
            <wp:extent cx="3855720" cy="5459095"/>
            <wp:effectExtent l="19050" t="0" r="0" b="0"/>
            <wp:docPr id="10" name="Picture 10" descr="Table 5. Summary of Baseline Characteristic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b="1138"/>
                    <a:stretch>
                      <a:fillRect/>
                    </a:stretch>
                  </pic:blipFill>
                  <pic:spPr bwMode="auto">
                    <a:xfrm>
                      <a:off x="0" y="0"/>
                      <a:ext cx="3855720" cy="5459095"/>
                    </a:xfrm>
                    <a:prstGeom prst="rect">
                      <a:avLst/>
                    </a:prstGeom>
                    <a:noFill/>
                    <a:ln w="9525">
                      <a:noFill/>
                      <a:miter lim="800000"/>
                      <a:headEnd/>
                      <a:tailEnd/>
                    </a:ln>
                  </pic:spPr>
                </pic:pic>
              </a:graphicData>
            </a:graphic>
          </wp:inline>
        </w:drawing>
      </w:r>
      <w:r>
        <w:rPr>
          <w:noProof/>
          <w:lang w:eastAsia="en-AU"/>
        </w:rPr>
        <w:drawing>
          <wp:inline distT="0" distB="0" distL="0" distR="0">
            <wp:extent cx="3814445" cy="2750185"/>
            <wp:effectExtent l="19050" t="0" r="0" b="0"/>
            <wp:docPr id="11" name="Picture 11" descr="Table 5 continued. Summary of Baseline Characteristic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3814445" cy="2750185"/>
                    </a:xfrm>
                    <a:prstGeom prst="rect">
                      <a:avLst/>
                    </a:prstGeom>
                    <a:noFill/>
                    <a:ln w="9525">
                      <a:noFill/>
                      <a:miter lim="800000"/>
                      <a:headEnd/>
                      <a:tailEnd/>
                    </a:ln>
                  </pic:spPr>
                </pic:pic>
              </a:graphicData>
            </a:graphic>
          </wp:inline>
        </w:drawing>
      </w:r>
    </w:p>
    <w:p w:rsidR="00E07ECC" w:rsidRDefault="00E07ECC" w:rsidP="00625969">
      <w:pPr>
        <w:keepNext/>
        <w:rPr>
          <w:sz w:val="16"/>
        </w:rPr>
      </w:pPr>
      <w:r w:rsidRPr="00D22721">
        <w:rPr>
          <w:sz w:val="16"/>
          <w:vertAlign w:val="superscript"/>
        </w:rPr>
        <w:lastRenderedPageBreak/>
        <w:t>a</w:t>
      </w:r>
      <w:r w:rsidRPr="00D22721">
        <w:rPr>
          <w:sz w:val="16"/>
        </w:rPr>
        <w:t xml:space="preserve"> Time since diagnosis is calculated as ((date of informed consent minus date of diagnosis)/365.25)*12.</w:t>
      </w:r>
      <w:r w:rsidRPr="00D22721">
        <w:rPr>
          <w:sz w:val="16"/>
          <w:vertAlign w:val="superscript"/>
        </w:rPr>
        <w:t>b</w:t>
      </w:r>
      <w:r w:rsidRPr="00D22721">
        <w:rPr>
          <w:sz w:val="16"/>
        </w:rPr>
        <w:t xml:space="preserve"> Subjects may have had more than one type of seizure.</w:t>
      </w:r>
      <w:r w:rsidR="00625969">
        <w:rPr>
          <w:sz w:val="16"/>
        </w:rPr>
        <w:t xml:space="preserve"> </w:t>
      </w:r>
      <w:r w:rsidRPr="00D22721">
        <w:rPr>
          <w:sz w:val="16"/>
          <w:vertAlign w:val="superscript"/>
        </w:rPr>
        <w:t>c</w:t>
      </w:r>
      <w:r w:rsidRPr="00D22721">
        <w:rPr>
          <w:sz w:val="16"/>
        </w:rPr>
        <w:t xml:space="preserve"> Time since last seizure is calculated as the (date of informed consent minus date of last seizure before informed consent date)</w:t>
      </w:r>
      <w:r w:rsidR="00625969">
        <w:rPr>
          <w:sz w:val="16"/>
        </w:rPr>
        <w:t xml:space="preserve">. </w:t>
      </w:r>
      <w:r w:rsidRPr="00D22721">
        <w:rPr>
          <w:sz w:val="16"/>
          <w:vertAlign w:val="superscript"/>
        </w:rPr>
        <w:t>d</w:t>
      </w:r>
      <w:r w:rsidRPr="00D22721">
        <w:rPr>
          <w:sz w:val="16"/>
        </w:rPr>
        <w:t xml:space="preserve"> The maximum number of seizures recorded at baseline was cut off at 30.</w:t>
      </w:r>
    </w:p>
    <w:p w:rsidR="00E07ECC" w:rsidRDefault="00E07ECC" w:rsidP="00FD4F49">
      <w:pPr>
        <w:pStyle w:val="TableTitle"/>
      </w:pPr>
      <w:bookmarkStart w:id="66" w:name="_Toc326646551"/>
      <w:r>
        <w:t xml:space="preserve">Table </w:t>
      </w:r>
      <w:r w:rsidR="00423552">
        <w:fldChar w:fldCharType="begin"/>
      </w:r>
      <w:r w:rsidR="00FC3F50">
        <w:instrText xml:space="preserve"> SEQ Table \* ARABIC </w:instrText>
      </w:r>
      <w:r w:rsidR="00423552">
        <w:fldChar w:fldCharType="separate"/>
      </w:r>
      <w:r w:rsidR="002E4F77">
        <w:rPr>
          <w:noProof/>
        </w:rPr>
        <w:t>6</w:t>
      </w:r>
      <w:r w:rsidR="00423552">
        <w:fldChar w:fldCharType="end"/>
      </w:r>
      <w:r w:rsidR="00625969">
        <w:t>.</w:t>
      </w:r>
      <w:r w:rsidR="003C2B8A">
        <w:t xml:space="preserve"> </w:t>
      </w:r>
      <w:r w:rsidRPr="001C5FF0">
        <w:t>Summary of Demography, Baseline Height &amp; Weight: Safety Population</w:t>
      </w:r>
      <w:bookmarkEnd w:id="66"/>
    </w:p>
    <w:p w:rsidR="00E07ECC" w:rsidRDefault="00E07ECC" w:rsidP="00E07ECC">
      <w:pPr>
        <w:autoSpaceDE w:val="0"/>
        <w:autoSpaceDN w:val="0"/>
        <w:adjustRightInd w:val="0"/>
      </w:pPr>
      <w:r>
        <w:rPr>
          <w:noProof/>
          <w:lang w:eastAsia="en-AU"/>
        </w:rPr>
        <w:drawing>
          <wp:inline distT="0" distB="0" distL="0" distR="0">
            <wp:extent cx="4572000" cy="1856105"/>
            <wp:effectExtent l="19050" t="0" r="0" b="0"/>
            <wp:docPr id="12" name="Picture 12" descr="Table 6. Summary of Demography, Baseline Height &amp; Weight: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b="46202"/>
                    <a:stretch>
                      <a:fillRect/>
                    </a:stretch>
                  </pic:blipFill>
                  <pic:spPr bwMode="auto">
                    <a:xfrm>
                      <a:off x="0" y="0"/>
                      <a:ext cx="4572000" cy="1856105"/>
                    </a:xfrm>
                    <a:prstGeom prst="rect">
                      <a:avLst/>
                    </a:prstGeom>
                    <a:noFill/>
                    <a:ln w="9525">
                      <a:noFill/>
                      <a:miter lim="800000"/>
                      <a:headEnd/>
                      <a:tailEnd/>
                    </a:ln>
                  </pic:spPr>
                </pic:pic>
              </a:graphicData>
            </a:graphic>
          </wp:inline>
        </w:drawing>
      </w:r>
    </w:p>
    <w:p w:rsidR="00E07ECC" w:rsidRDefault="00E07ECC" w:rsidP="00E07ECC">
      <w:pPr>
        <w:autoSpaceDE w:val="0"/>
        <w:autoSpaceDN w:val="0"/>
        <w:adjustRightInd w:val="0"/>
      </w:pPr>
      <w:r>
        <w:rPr>
          <w:noProof/>
          <w:u w:val="single"/>
          <w:lang w:eastAsia="en-AU"/>
        </w:rPr>
        <w:drawing>
          <wp:inline distT="0" distB="0" distL="0" distR="0">
            <wp:extent cx="4558665" cy="716280"/>
            <wp:effectExtent l="19050" t="0" r="0" b="0"/>
            <wp:docPr id="13" name="Picture 13" descr="Table 6 continued. Summary of Demography, Baseline Height &amp; Weight: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t="79010"/>
                    <a:stretch>
                      <a:fillRect/>
                    </a:stretch>
                  </pic:blipFill>
                  <pic:spPr bwMode="auto">
                    <a:xfrm>
                      <a:off x="0" y="0"/>
                      <a:ext cx="4558665" cy="716280"/>
                    </a:xfrm>
                    <a:prstGeom prst="rect">
                      <a:avLst/>
                    </a:prstGeom>
                    <a:noFill/>
                    <a:ln w="9525">
                      <a:noFill/>
                      <a:miter lim="800000"/>
                      <a:headEnd/>
                      <a:tailEnd/>
                    </a:ln>
                  </pic:spPr>
                </pic:pic>
              </a:graphicData>
            </a:graphic>
          </wp:inline>
        </w:drawing>
      </w:r>
    </w:p>
    <w:p w:rsidR="00E07ECC" w:rsidRPr="00081C6D" w:rsidRDefault="00E07ECC" w:rsidP="00E07ECC">
      <w:pPr>
        <w:autoSpaceDE w:val="0"/>
        <w:autoSpaceDN w:val="0"/>
        <w:adjustRightInd w:val="0"/>
        <w:rPr>
          <w:sz w:val="18"/>
          <w:szCs w:val="18"/>
        </w:rPr>
      </w:pPr>
      <w:r w:rsidRPr="00081C6D">
        <w:rPr>
          <w:sz w:val="18"/>
          <w:szCs w:val="18"/>
          <w:vertAlign w:val="superscript"/>
        </w:rPr>
        <w:t>a</w:t>
      </w:r>
      <w:r w:rsidRPr="00081C6D">
        <w:rPr>
          <w:sz w:val="18"/>
          <w:szCs w:val="18"/>
        </w:rPr>
        <w:t xml:space="preserve"> Ag</w:t>
      </w:r>
      <w:r w:rsidR="00FD4F49">
        <w:rPr>
          <w:sz w:val="18"/>
          <w:szCs w:val="18"/>
        </w:rPr>
        <w:t>e is age at informed consent.</w:t>
      </w:r>
    </w:p>
    <w:p w:rsidR="00E07ECC" w:rsidRDefault="00E07ECC" w:rsidP="00E07ECC">
      <w:pPr>
        <w:spacing w:after="60"/>
      </w:pPr>
      <w:r>
        <w:t xml:space="preserve">Some subjects were taking other Anti epileptic drugs just before receiving their randomized study medication or during the period immediately after the </w:t>
      </w:r>
      <w:r w:rsidRPr="0056695D">
        <w:t>Final Visit</w:t>
      </w:r>
      <w:r>
        <w:t>, any subjects on these drugs at other times during the study were excluded.</w:t>
      </w:r>
    </w:p>
    <w:p w:rsidR="00E07ECC" w:rsidRDefault="00E07ECC" w:rsidP="00E07ECC">
      <w:pPr>
        <w:spacing w:after="60"/>
      </w:pPr>
      <w:r>
        <w:t xml:space="preserve">Twenty-two subjects (11 zonisamide; 11 carbamazepine) had &lt; 80% compliance to treatment and were excluded from the PP Population. </w:t>
      </w:r>
    </w:p>
    <w:p w:rsidR="00E07ECC" w:rsidRPr="004B259C" w:rsidRDefault="00E07ECC" w:rsidP="00625969">
      <w:pPr>
        <w:pStyle w:val="Heading6"/>
      </w:pPr>
      <w:r w:rsidRPr="004B259C">
        <w:lastRenderedPageBreak/>
        <w:t>Results for the primary efficacy outcome</w:t>
      </w:r>
      <w:r>
        <w:t xml:space="preserve"> </w:t>
      </w:r>
    </w:p>
    <w:p w:rsidR="00E07ECC" w:rsidRDefault="00E07ECC" w:rsidP="00FD4F49">
      <w:pPr>
        <w:pStyle w:val="TableTitle"/>
      </w:pPr>
      <w:bookmarkStart w:id="67" w:name="_Toc326646552"/>
      <w:r>
        <w:t xml:space="preserve">Table </w:t>
      </w:r>
      <w:r w:rsidR="00423552">
        <w:fldChar w:fldCharType="begin"/>
      </w:r>
      <w:r w:rsidR="00FC3F50">
        <w:instrText xml:space="preserve"> SEQ Table \* ARABIC </w:instrText>
      </w:r>
      <w:r w:rsidR="00423552">
        <w:fldChar w:fldCharType="separate"/>
      </w:r>
      <w:r w:rsidR="002E4F77">
        <w:rPr>
          <w:noProof/>
        </w:rPr>
        <w:t>7</w:t>
      </w:r>
      <w:r w:rsidR="00423552">
        <w:fldChar w:fldCharType="end"/>
      </w:r>
      <w:r w:rsidR="00625969">
        <w:t>.</w:t>
      </w:r>
      <w:r w:rsidR="003C2B8A">
        <w:t xml:space="preserve"> </w:t>
      </w:r>
      <w:r>
        <w:t>Six-Month Seizure Freedom:</w:t>
      </w:r>
      <w:bookmarkEnd w:id="67"/>
    </w:p>
    <w:tbl>
      <w:tblPr>
        <w:tblStyle w:val="TableGrid"/>
        <w:tblW w:w="0" w:type="auto"/>
        <w:tblLook w:val="04A0"/>
      </w:tblPr>
      <w:tblGrid>
        <w:gridCol w:w="596"/>
        <w:gridCol w:w="3059"/>
        <w:gridCol w:w="1389"/>
        <w:gridCol w:w="1652"/>
        <w:gridCol w:w="1499"/>
        <w:gridCol w:w="1353"/>
      </w:tblGrid>
      <w:tr w:rsidR="00E07ECC" w:rsidTr="00FD4F49">
        <w:trPr>
          <w:tblHeader/>
        </w:trPr>
        <w:tc>
          <w:tcPr>
            <w:tcW w:w="0" w:type="auto"/>
            <w:gridSpan w:val="2"/>
            <w:shd w:val="clear" w:color="auto" w:fill="0070C0"/>
          </w:tcPr>
          <w:p w:rsidR="00E07ECC" w:rsidRPr="00625969" w:rsidRDefault="00E07ECC" w:rsidP="00625969">
            <w:pPr>
              <w:keepNext/>
              <w:rPr>
                <w:b/>
                <w:color w:val="FFFFFF" w:themeColor="background1"/>
                <w:sz w:val="20"/>
                <w:szCs w:val="20"/>
              </w:rPr>
            </w:pPr>
            <w:r w:rsidRPr="00625969">
              <w:rPr>
                <w:b/>
                <w:color w:val="FFFFFF" w:themeColor="background1"/>
                <w:sz w:val="20"/>
                <w:szCs w:val="20"/>
              </w:rPr>
              <w:t>Six-Month Seizure Freedom</w:t>
            </w:r>
          </w:p>
        </w:tc>
        <w:tc>
          <w:tcPr>
            <w:tcW w:w="0" w:type="auto"/>
            <w:shd w:val="clear" w:color="auto" w:fill="0070C0"/>
          </w:tcPr>
          <w:p w:rsidR="00E07ECC" w:rsidRPr="00625969" w:rsidRDefault="00E07ECC" w:rsidP="00625969">
            <w:pPr>
              <w:keepNext/>
              <w:rPr>
                <w:b/>
                <w:color w:val="FFFFFF" w:themeColor="background1"/>
                <w:sz w:val="20"/>
                <w:szCs w:val="20"/>
              </w:rPr>
            </w:pPr>
            <w:r w:rsidRPr="00625969">
              <w:rPr>
                <w:b/>
                <w:color w:val="FFFFFF" w:themeColor="background1"/>
                <w:sz w:val="20"/>
                <w:szCs w:val="20"/>
              </w:rPr>
              <w:t>Zonisamide</w:t>
            </w:r>
          </w:p>
          <w:p w:rsidR="00E07ECC" w:rsidRPr="00625969" w:rsidRDefault="00E07ECC" w:rsidP="00625969">
            <w:pPr>
              <w:keepNext/>
              <w:rPr>
                <w:b/>
                <w:color w:val="FFFFFF" w:themeColor="background1"/>
                <w:sz w:val="20"/>
                <w:szCs w:val="20"/>
              </w:rPr>
            </w:pPr>
            <w:r w:rsidRPr="00625969">
              <w:rPr>
                <w:b/>
                <w:color w:val="FFFFFF" w:themeColor="background1"/>
                <w:sz w:val="20"/>
                <w:szCs w:val="20"/>
              </w:rPr>
              <w:t>n (%)</w:t>
            </w:r>
          </w:p>
        </w:tc>
        <w:tc>
          <w:tcPr>
            <w:tcW w:w="0" w:type="auto"/>
            <w:shd w:val="clear" w:color="auto" w:fill="0070C0"/>
          </w:tcPr>
          <w:p w:rsidR="00E07ECC" w:rsidRPr="00625969" w:rsidRDefault="00E07ECC" w:rsidP="00625969">
            <w:pPr>
              <w:keepNext/>
              <w:rPr>
                <w:b/>
                <w:color w:val="FFFFFF" w:themeColor="background1"/>
                <w:sz w:val="20"/>
                <w:szCs w:val="20"/>
              </w:rPr>
            </w:pPr>
            <w:r w:rsidRPr="00625969">
              <w:rPr>
                <w:b/>
                <w:color w:val="FFFFFF" w:themeColor="background1"/>
                <w:sz w:val="20"/>
                <w:szCs w:val="20"/>
              </w:rPr>
              <w:t>Carbamazepine</w:t>
            </w:r>
          </w:p>
          <w:p w:rsidR="00E07ECC" w:rsidRPr="00625969" w:rsidRDefault="00E07ECC" w:rsidP="00625969">
            <w:pPr>
              <w:keepNext/>
              <w:rPr>
                <w:b/>
                <w:color w:val="FFFFFF" w:themeColor="background1"/>
                <w:sz w:val="20"/>
                <w:szCs w:val="20"/>
              </w:rPr>
            </w:pPr>
            <w:r w:rsidRPr="00625969">
              <w:rPr>
                <w:b/>
                <w:color w:val="FFFFFF" w:themeColor="background1"/>
                <w:sz w:val="20"/>
                <w:szCs w:val="20"/>
              </w:rPr>
              <w:t>n (%)</w:t>
            </w:r>
          </w:p>
        </w:tc>
        <w:tc>
          <w:tcPr>
            <w:tcW w:w="0" w:type="auto"/>
            <w:shd w:val="clear" w:color="auto" w:fill="0070C0"/>
          </w:tcPr>
          <w:p w:rsidR="00E07ECC" w:rsidRPr="00625969" w:rsidRDefault="00E07ECC" w:rsidP="00625969">
            <w:pPr>
              <w:keepNext/>
              <w:rPr>
                <w:b/>
                <w:color w:val="FFFFFF" w:themeColor="background1"/>
                <w:sz w:val="20"/>
                <w:szCs w:val="20"/>
              </w:rPr>
            </w:pPr>
            <w:r w:rsidRPr="00625969">
              <w:rPr>
                <w:b/>
                <w:color w:val="FFFFFF" w:themeColor="background1"/>
                <w:sz w:val="20"/>
                <w:szCs w:val="20"/>
              </w:rPr>
              <w:t>Adjusted difference</w:t>
            </w:r>
            <w:r w:rsidRPr="00625969">
              <w:rPr>
                <w:b/>
                <w:color w:val="FFFFFF" w:themeColor="background1"/>
                <w:sz w:val="20"/>
                <w:szCs w:val="20"/>
                <w:vertAlign w:val="superscript"/>
              </w:rPr>
              <w:t>b</w:t>
            </w:r>
            <w:r w:rsidRPr="00625969">
              <w:rPr>
                <w:b/>
                <w:color w:val="FFFFFF" w:themeColor="background1"/>
                <w:sz w:val="20"/>
                <w:szCs w:val="20"/>
              </w:rPr>
              <w:t xml:space="preserve"> (95% CI)</w:t>
            </w:r>
            <w:r w:rsidRPr="00625969">
              <w:rPr>
                <w:b/>
                <w:color w:val="FFFFFF" w:themeColor="background1"/>
                <w:sz w:val="20"/>
                <w:szCs w:val="20"/>
                <w:vertAlign w:val="superscript"/>
              </w:rPr>
              <w:t>c</w:t>
            </w:r>
          </w:p>
        </w:tc>
        <w:tc>
          <w:tcPr>
            <w:tcW w:w="0" w:type="auto"/>
            <w:shd w:val="clear" w:color="auto" w:fill="0070C0"/>
          </w:tcPr>
          <w:p w:rsidR="00E07ECC" w:rsidRPr="00625969" w:rsidRDefault="00E07ECC" w:rsidP="00625969">
            <w:pPr>
              <w:keepNext/>
              <w:rPr>
                <w:b/>
                <w:color w:val="FFFFFF" w:themeColor="background1"/>
                <w:sz w:val="20"/>
                <w:szCs w:val="20"/>
              </w:rPr>
            </w:pPr>
            <w:r w:rsidRPr="00625969">
              <w:rPr>
                <w:b/>
                <w:color w:val="FFFFFF" w:themeColor="background1"/>
                <w:sz w:val="20"/>
                <w:szCs w:val="20"/>
              </w:rPr>
              <w:t>Odds Ratio(95% CI)</w:t>
            </w:r>
            <w:r w:rsidRPr="00625969">
              <w:rPr>
                <w:b/>
                <w:color w:val="FFFFFF" w:themeColor="background1"/>
                <w:sz w:val="20"/>
                <w:szCs w:val="20"/>
                <w:vertAlign w:val="superscript"/>
              </w:rPr>
              <w:t>a</w:t>
            </w:r>
          </w:p>
        </w:tc>
      </w:tr>
      <w:tr w:rsidR="00E07ECC" w:rsidTr="000A6651">
        <w:tc>
          <w:tcPr>
            <w:tcW w:w="0" w:type="auto"/>
            <w:vMerge w:val="restart"/>
          </w:tcPr>
          <w:p w:rsidR="00E07ECC" w:rsidRPr="00625969" w:rsidRDefault="00E07ECC" w:rsidP="00625969">
            <w:pPr>
              <w:keepNext/>
              <w:rPr>
                <w:sz w:val="20"/>
                <w:szCs w:val="20"/>
              </w:rPr>
            </w:pPr>
            <w:r w:rsidRPr="00625969">
              <w:rPr>
                <w:sz w:val="20"/>
                <w:szCs w:val="20"/>
              </w:rPr>
              <w:t>PP pop</w:t>
            </w:r>
          </w:p>
        </w:tc>
        <w:tc>
          <w:tcPr>
            <w:tcW w:w="0" w:type="auto"/>
          </w:tcPr>
          <w:p w:rsidR="00E07ECC" w:rsidRPr="00625969" w:rsidRDefault="00E07ECC" w:rsidP="00625969">
            <w:pPr>
              <w:keepNext/>
              <w:rPr>
                <w:sz w:val="20"/>
                <w:szCs w:val="20"/>
              </w:rPr>
            </w:pPr>
          </w:p>
        </w:tc>
        <w:tc>
          <w:tcPr>
            <w:tcW w:w="0" w:type="auto"/>
          </w:tcPr>
          <w:p w:rsidR="00E07ECC" w:rsidRPr="00625969" w:rsidRDefault="00E07ECC" w:rsidP="00625969">
            <w:pPr>
              <w:keepNext/>
              <w:rPr>
                <w:sz w:val="20"/>
                <w:szCs w:val="20"/>
              </w:rPr>
            </w:pPr>
            <w:r w:rsidRPr="00625969">
              <w:rPr>
                <w:sz w:val="20"/>
                <w:szCs w:val="20"/>
              </w:rPr>
              <w:t>(N=223)</w:t>
            </w:r>
          </w:p>
        </w:tc>
        <w:tc>
          <w:tcPr>
            <w:tcW w:w="0" w:type="auto"/>
          </w:tcPr>
          <w:p w:rsidR="00E07ECC" w:rsidRPr="00625969" w:rsidRDefault="00E07ECC" w:rsidP="00625969">
            <w:pPr>
              <w:keepNext/>
              <w:rPr>
                <w:sz w:val="20"/>
                <w:szCs w:val="20"/>
              </w:rPr>
            </w:pPr>
            <w:r w:rsidRPr="00625969">
              <w:rPr>
                <w:sz w:val="20"/>
                <w:szCs w:val="20"/>
              </w:rPr>
              <w:t xml:space="preserve"> (N=233)</w:t>
            </w:r>
          </w:p>
        </w:tc>
        <w:tc>
          <w:tcPr>
            <w:tcW w:w="0" w:type="auto"/>
          </w:tcPr>
          <w:p w:rsidR="00E07ECC" w:rsidRPr="00625969" w:rsidRDefault="00E07ECC" w:rsidP="00625969">
            <w:pPr>
              <w:keepNext/>
              <w:rPr>
                <w:sz w:val="20"/>
                <w:szCs w:val="20"/>
              </w:rPr>
            </w:pPr>
          </w:p>
        </w:tc>
        <w:tc>
          <w:tcPr>
            <w:tcW w:w="0" w:type="auto"/>
          </w:tcPr>
          <w:p w:rsidR="00E07ECC" w:rsidRPr="00625969" w:rsidRDefault="00E07ECC" w:rsidP="00625969">
            <w:pPr>
              <w:keepNext/>
              <w:rPr>
                <w:sz w:val="20"/>
                <w:szCs w:val="20"/>
              </w:rPr>
            </w:pPr>
          </w:p>
        </w:tc>
      </w:tr>
      <w:tr w:rsidR="00E07ECC" w:rsidTr="000A6651">
        <w:tc>
          <w:tcPr>
            <w:tcW w:w="0" w:type="auto"/>
            <w:vMerge/>
          </w:tcPr>
          <w:p w:rsidR="00E07ECC" w:rsidRPr="00625969" w:rsidRDefault="00E07ECC" w:rsidP="00625969">
            <w:pPr>
              <w:keepNext/>
              <w:rPr>
                <w:sz w:val="20"/>
                <w:szCs w:val="20"/>
              </w:rPr>
            </w:pPr>
          </w:p>
        </w:tc>
        <w:tc>
          <w:tcPr>
            <w:tcW w:w="0" w:type="auto"/>
          </w:tcPr>
          <w:p w:rsidR="00E07ECC" w:rsidRPr="00625969" w:rsidRDefault="00E07ECC" w:rsidP="00625969">
            <w:pPr>
              <w:keepNext/>
              <w:rPr>
                <w:sz w:val="20"/>
                <w:szCs w:val="20"/>
              </w:rPr>
            </w:pPr>
            <w:r w:rsidRPr="00625969">
              <w:rPr>
                <w:sz w:val="20"/>
                <w:szCs w:val="20"/>
              </w:rPr>
              <w:t>Modelled with factors for treatment and pooled country group.</w:t>
            </w:r>
          </w:p>
        </w:tc>
        <w:tc>
          <w:tcPr>
            <w:tcW w:w="0" w:type="auto"/>
            <w:vMerge w:val="restart"/>
          </w:tcPr>
          <w:p w:rsidR="00E07ECC" w:rsidRPr="00625969" w:rsidRDefault="00E07ECC" w:rsidP="00625969">
            <w:pPr>
              <w:keepNext/>
              <w:rPr>
                <w:sz w:val="20"/>
                <w:szCs w:val="20"/>
              </w:rPr>
            </w:pPr>
            <w:r w:rsidRPr="00625969">
              <w:rPr>
                <w:sz w:val="20"/>
                <w:szCs w:val="20"/>
              </w:rPr>
              <w:t>177 (79.4)</w:t>
            </w:r>
          </w:p>
        </w:tc>
        <w:tc>
          <w:tcPr>
            <w:tcW w:w="0" w:type="auto"/>
            <w:vMerge w:val="restart"/>
          </w:tcPr>
          <w:p w:rsidR="00E07ECC" w:rsidRPr="00625969" w:rsidRDefault="00E07ECC" w:rsidP="00625969">
            <w:pPr>
              <w:keepNext/>
              <w:rPr>
                <w:sz w:val="20"/>
                <w:szCs w:val="20"/>
              </w:rPr>
            </w:pPr>
            <w:r w:rsidRPr="00625969">
              <w:rPr>
                <w:sz w:val="20"/>
                <w:szCs w:val="20"/>
              </w:rPr>
              <w:t>195 (83.7)</w:t>
            </w:r>
          </w:p>
        </w:tc>
        <w:tc>
          <w:tcPr>
            <w:tcW w:w="0" w:type="auto"/>
          </w:tcPr>
          <w:p w:rsidR="00E07ECC" w:rsidRPr="00625969" w:rsidRDefault="00E07ECC" w:rsidP="00625969">
            <w:pPr>
              <w:keepNext/>
              <w:rPr>
                <w:sz w:val="20"/>
                <w:szCs w:val="20"/>
              </w:rPr>
            </w:pPr>
            <w:r w:rsidRPr="00625969">
              <w:rPr>
                <w:sz w:val="20"/>
                <w:szCs w:val="20"/>
              </w:rPr>
              <w:t>–0.045</w:t>
            </w:r>
          </w:p>
          <w:p w:rsidR="00E07ECC" w:rsidRPr="00625969" w:rsidRDefault="00E07ECC" w:rsidP="00625969">
            <w:pPr>
              <w:keepNext/>
              <w:rPr>
                <w:sz w:val="20"/>
                <w:szCs w:val="20"/>
              </w:rPr>
            </w:pPr>
            <w:r w:rsidRPr="00625969">
              <w:rPr>
                <w:sz w:val="20"/>
                <w:szCs w:val="20"/>
              </w:rPr>
              <w:t>(–0.122, 0.031)</w:t>
            </w:r>
          </w:p>
        </w:tc>
        <w:tc>
          <w:tcPr>
            <w:tcW w:w="0" w:type="auto"/>
          </w:tcPr>
          <w:p w:rsidR="00E07ECC" w:rsidRPr="00625969" w:rsidRDefault="00E07ECC" w:rsidP="00625969">
            <w:pPr>
              <w:keepNext/>
              <w:rPr>
                <w:sz w:val="20"/>
                <w:szCs w:val="20"/>
              </w:rPr>
            </w:pPr>
            <w:r w:rsidRPr="00625969">
              <w:rPr>
                <w:sz w:val="20"/>
                <w:szCs w:val="20"/>
              </w:rPr>
              <w:t>0.748</w:t>
            </w:r>
          </w:p>
          <w:p w:rsidR="00E07ECC" w:rsidRPr="00625969" w:rsidRDefault="00E07ECC" w:rsidP="00625969">
            <w:pPr>
              <w:keepNext/>
              <w:rPr>
                <w:sz w:val="20"/>
                <w:szCs w:val="20"/>
              </w:rPr>
            </w:pPr>
            <w:r w:rsidRPr="00625969">
              <w:rPr>
                <w:sz w:val="20"/>
                <w:szCs w:val="20"/>
              </w:rPr>
              <w:t>(0.459, 1.219)</w:t>
            </w:r>
          </w:p>
        </w:tc>
      </w:tr>
      <w:tr w:rsidR="00E07ECC" w:rsidTr="000A6651">
        <w:tc>
          <w:tcPr>
            <w:tcW w:w="0" w:type="auto"/>
            <w:vMerge/>
          </w:tcPr>
          <w:p w:rsidR="00E07ECC" w:rsidRPr="00625969" w:rsidRDefault="00E07ECC" w:rsidP="00625969">
            <w:pPr>
              <w:keepNext/>
              <w:rPr>
                <w:sz w:val="20"/>
                <w:szCs w:val="20"/>
              </w:rPr>
            </w:pPr>
          </w:p>
        </w:tc>
        <w:tc>
          <w:tcPr>
            <w:tcW w:w="0" w:type="auto"/>
          </w:tcPr>
          <w:p w:rsidR="00E07ECC" w:rsidRPr="00625969" w:rsidRDefault="00E07ECC" w:rsidP="00625969">
            <w:pPr>
              <w:keepNext/>
              <w:rPr>
                <w:sz w:val="20"/>
                <w:szCs w:val="20"/>
              </w:rPr>
            </w:pPr>
            <w:r w:rsidRPr="00625969">
              <w:rPr>
                <w:sz w:val="20"/>
                <w:szCs w:val="20"/>
              </w:rPr>
              <w:t>Sensitivity Analysis Excluding Country modelled with a factor for treatment only.</w:t>
            </w:r>
          </w:p>
        </w:tc>
        <w:tc>
          <w:tcPr>
            <w:tcW w:w="0" w:type="auto"/>
            <w:vMerge/>
          </w:tcPr>
          <w:p w:rsidR="00E07ECC" w:rsidRPr="00625969" w:rsidRDefault="00E07ECC" w:rsidP="00625969">
            <w:pPr>
              <w:keepNext/>
              <w:rPr>
                <w:sz w:val="20"/>
                <w:szCs w:val="20"/>
              </w:rPr>
            </w:pPr>
          </w:p>
        </w:tc>
        <w:tc>
          <w:tcPr>
            <w:tcW w:w="0" w:type="auto"/>
            <w:vMerge/>
          </w:tcPr>
          <w:p w:rsidR="00E07ECC" w:rsidRPr="00625969" w:rsidRDefault="00E07ECC" w:rsidP="00625969">
            <w:pPr>
              <w:keepNext/>
              <w:rPr>
                <w:sz w:val="20"/>
                <w:szCs w:val="20"/>
              </w:rPr>
            </w:pPr>
          </w:p>
        </w:tc>
        <w:tc>
          <w:tcPr>
            <w:tcW w:w="0" w:type="auto"/>
          </w:tcPr>
          <w:p w:rsidR="00E07ECC" w:rsidRPr="00625969" w:rsidRDefault="00E07ECC" w:rsidP="00625969">
            <w:pPr>
              <w:keepNext/>
              <w:rPr>
                <w:sz w:val="20"/>
                <w:szCs w:val="20"/>
              </w:rPr>
            </w:pPr>
            <w:r w:rsidRPr="00625969">
              <w:rPr>
                <w:sz w:val="20"/>
                <w:szCs w:val="20"/>
              </w:rPr>
              <w:t>-0.043</w:t>
            </w:r>
          </w:p>
          <w:p w:rsidR="00E07ECC" w:rsidRPr="00625969" w:rsidRDefault="00E07ECC" w:rsidP="00625969">
            <w:pPr>
              <w:keepNext/>
              <w:rPr>
                <w:sz w:val="20"/>
                <w:szCs w:val="20"/>
              </w:rPr>
            </w:pPr>
            <w:r w:rsidRPr="00625969">
              <w:rPr>
                <w:sz w:val="20"/>
                <w:szCs w:val="20"/>
              </w:rPr>
              <w:t>(-0.114, 0.028)</w:t>
            </w:r>
          </w:p>
        </w:tc>
        <w:tc>
          <w:tcPr>
            <w:tcW w:w="0" w:type="auto"/>
          </w:tcPr>
          <w:p w:rsidR="00E07ECC" w:rsidRPr="00625969" w:rsidRDefault="00E07ECC" w:rsidP="00625969">
            <w:pPr>
              <w:keepNext/>
              <w:rPr>
                <w:sz w:val="20"/>
                <w:szCs w:val="20"/>
              </w:rPr>
            </w:pPr>
            <w:r w:rsidRPr="00625969">
              <w:rPr>
                <w:sz w:val="20"/>
                <w:szCs w:val="20"/>
              </w:rPr>
              <w:t>0.750</w:t>
            </w:r>
          </w:p>
          <w:p w:rsidR="00E07ECC" w:rsidRPr="00625969" w:rsidRDefault="00E07ECC" w:rsidP="00625969">
            <w:pPr>
              <w:keepNext/>
              <w:rPr>
                <w:sz w:val="20"/>
                <w:szCs w:val="20"/>
              </w:rPr>
            </w:pPr>
            <w:r w:rsidRPr="00625969">
              <w:rPr>
                <w:sz w:val="20"/>
                <w:szCs w:val="20"/>
              </w:rPr>
              <w:t>( 0.466, 1.206)</w:t>
            </w:r>
          </w:p>
        </w:tc>
      </w:tr>
      <w:tr w:rsidR="00E07ECC" w:rsidTr="000A6651">
        <w:tc>
          <w:tcPr>
            <w:tcW w:w="0" w:type="auto"/>
            <w:vMerge/>
          </w:tcPr>
          <w:p w:rsidR="00E07ECC" w:rsidRPr="00625969" w:rsidRDefault="00E07ECC" w:rsidP="00625969">
            <w:pPr>
              <w:keepNext/>
              <w:rPr>
                <w:sz w:val="20"/>
                <w:szCs w:val="20"/>
              </w:rPr>
            </w:pPr>
          </w:p>
        </w:tc>
        <w:tc>
          <w:tcPr>
            <w:tcW w:w="0" w:type="auto"/>
          </w:tcPr>
          <w:p w:rsidR="00E07ECC" w:rsidRPr="00625969" w:rsidRDefault="00E07ECC" w:rsidP="00625969">
            <w:pPr>
              <w:keepNext/>
              <w:rPr>
                <w:sz w:val="20"/>
                <w:szCs w:val="20"/>
                <w:vertAlign w:val="superscript"/>
              </w:rPr>
            </w:pPr>
            <w:r w:rsidRPr="00625969">
              <w:rPr>
                <w:sz w:val="20"/>
                <w:szCs w:val="20"/>
              </w:rPr>
              <w:t>Modelled with factors for treatment, pooled country and number of pre-treatment seizures in the 3 months prior to randomisation.</w:t>
            </w:r>
            <w:r w:rsidRPr="00625969">
              <w:rPr>
                <w:sz w:val="20"/>
                <w:szCs w:val="20"/>
                <w:vertAlign w:val="superscript"/>
              </w:rPr>
              <w:t>d</w:t>
            </w:r>
          </w:p>
        </w:tc>
        <w:tc>
          <w:tcPr>
            <w:tcW w:w="0" w:type="auto"/>
            <w:vMerge/>
          </w:tcPr>
          <w:p w:rsidR="00E07ECC" w:rsidRPr="00625969" w:rsidRDefault="00E07ECC" w:rsidP="00625969">
            <w:pPr>
              <w:keepNext/>
              <w:rPr>
                <w:sz w:val="20"/>
                <w:szCs w:val="20"/>
              </w:rPr>
            </w:pPr>
          </w:p>
        </w:tc>
        <w:tc>
          <w:tcPr>
            <w:tcW w:w="0" w:type="auto"/>
            <w:vMerge/>
          </w:tcPr>
          <w:p w:rsidR="00E07ECC" w:rsidRPr="00625969" w:rsidRDefault="00E07ECC" w:rsidP="00625969">
            <w:pPr>
              <w:keepNext/>
              <w:rPr>
                <w:sz w:val="20"/>
                <w:szCs w:val="20"/>
              </w:rPr>
            </w:pPr>
          </w:p>
        </w:tc>
        <w:tc>
          <w:tcPr>
            <w:tcW w:w="0" w:type="auto"/>
          </w:tcPr>
          <w:p w:rsidR="00E07ECC" w:rsidRPr="00625969" w:rsidRDefault="00E07ECC" w:rsidP="00625969">
            <w:pPr>
              <w:keepNext/>
              <w:jc w:val="center"/>
              <w:rPr>
                <w:sz w:val="20"/>
                <w:szCs w:val="20"/>
              </w:rPr>
            </w:pPr>
            <w:r w:rsidRPr="00625969">
              <w:rPr>
                <w:sz w:val="20"/>
                <w:szCs w:val="20"/>
              </w:rPr>
              <w:t>-0.042</w:t>
            </w:r>
          </w:p>
          <w:p w:rsidR="00E07ECC" w:rsidRPr="00625969" w:rsidRDefault="00E07ECC" w:rsidP="00625969">
            <w:pPr>
              <w:keepNext/>
              <w:jc w:val="center"/>
              <w:rPr>
                <w:sz w:val="20"/>
                <w:szCs w:val="20"/>
              </w:rPr>
            </w:pPr>
            <w:r w:rsidRPr="00625969">
              <w:rPr>
                <w:sz w:val="20"/>
                <w:szCs w:val="20"/>
              </w:rPr>
              <w:t>(-0.118, 0.034)</w:t>
            </w:r>
          </w:p>
        </w:tc>
        <w:tc>
          <w:tcPr>
            <w:tcW w:w="0" w:type="auto"/>
          </w:tcPr>
          <w:p w:rsidR="00E07ECC" w:rsidRPr="00625969" w:rsidRDefault="00E07ECC" w:rsidP="00625969">
            <w:pPr>
              <w:keepNext/>
              <w:rPr>
                <w:sz w:val="20"/>
                <w:szCs w:val="20"/>
              </w:rPr>
            </w:pPr>
            <w:r w:rsidRPr="00625969">
              <w:rPr>
                <w:sz w:val="20"/>
                <w:szCs w:val="20"/>
              </w:rPr>
              <w:t>0.760</w:t>
            </w:r>
          </w:p>
          <w:p w:rsidR="00E07ECC" w:rsidRPr="00625969" w:rsidRDefault="00E07ECC" w:rsidP="00625969">
            <w:pPr>
              <w:keepNext/>
              <w:rPr>
                <w:sz w:val="20"/>
                <w:szCs w:val="20"/>
              </w:rPr>
            </w:pPr>
            <w:r w:rsidRPr="00625969">
              <w:rPr>
                <w:sz w:val="20"/>
                <w:szCs w:val="20"/>
              </w:rPr>
              <w:t>( 0.465, 1.242)</w:t>
            </w:r>
          </w:p>
        </w:tc>
      </w:tr>
      <w:tr w:rsidR="00E07ECC" w:rsidTr="000A6651">
        <w:tc>
          <w:tcPr>
            <w:tcW w:w="0" w:type="auto"/>
          </w:tcPr>
          <w:p w:rsidR="00E07ECC" w:rsidRPr="00625969" w:rsidRDefault="00E07ECC" w:rsidP="00625969">
            <w:pPr>
              <w:keepNext/>
              <w:rPr>
                <w:sz w:val="20"/>
                <w:szCs w:val="20"/>
              </w:rPr>
            </w:pPr>
            <w:r w:rsidRPr="00625969">
              <w:rPr>
                <w:sz w:val="20"/>
                <w:szCs w:val="20"/>
              </w:rPr>
              <w:t>ITT pop</w:t>
            </w:r>
          </w:p>
        </w:tc>
        <w:tc>
          <w:tcPr>
            <w:tcW w:w="0" w:type="auto"/>
          </w:tcPr>
          <w:p w:rsidR="00E07ECC" w:rsidRPr="00625969" w:rsidRDefault="00E07ECC" w:rsidP="00625969">
            <w:pPr>
              <w:keepNext/>
              <w:rPr>
                <w:sz w:val="20"/>
                <w:szCs w:val="20"/>
              </w:rPr>
            </w:pPr>
            <w:r w:rsidRPr="00625969">
              <w:rPr>
                <w:sz w:val="20"/>
                <w:szCs w:val="20"/>
              </w:rPr>
              <w:t>Modelled with factors for treatment and pooled country group.</w:t>
            </w:r>
          </w:p>
        </w:tc>
        <w:tc>
          <w:tcPr>
            <w:tcW w:w="0" w:type="auto"/>
          </w:tcPr>
          <w:p w:rsidR="00E07ECC" w:rsidRPr="00625969" w:rsidRDefault="00E07ECC" w:rsidP="00625969">
            <w:pPr>
              <w:keepNext/>
              <w:rPr>
                <w:sz w:val="20"/>
                <w:szCs w:val="20"/>
              </w:rPr>
            </w:pPr>
            <w:r w:rsidRPr="00625969">
              <w:rPr>
                <w:sz w:val="20"/>
                <w:szCs w:val="20"/>
              </w:rPr>
              <w:t xml:space="preserve"> (N=281) 195 (69.4)</w:t>
            </w:r>
          </w:p>
        </w:tc>
        <w:tc>
          <w:tcPr>
            <w:tcW w:w="0" w:type="auto"/>
          </w:tcPr>
          <w:p w:rsidR="00E07ECC" w:rsidRPr="00625969" w:rsidRDefault="00E07ECC" w:rsidP="00625969">
            <w:pPr>
              <w:keepNext/>
              <w:rPr>
                <w:sz w:val="20"/>
                <w:szCs w:val="20"/>
              </w:rPr>
            </w:pPr>
            <w:r w:rsidRPr="00625969">
              <w:rPr>
                <w:sz w:val="20"/>
                <w:szCs w:val="20"/>
              </w:rPr>
              <w:t xml:space="preserve"> (N=300)</w:t>
            </w:r>
          </w:p>
          <w:p w:rsidR="00E07ECC" w:rsidRPr="00625969" w:rsidRDefault="00E07ECC" w:rsidP="00625969">
            <w:pPr>
              <w:keepNext/>
              <w:rPr>
                <w:sz w:val="20"/>
                <w:szCs w:val="20"/>
              </w:rPr>
            </w:pPr>
            <w:r w:rsidRPr="00625969">
              <w:rPr>
                <w:sz w:val="20"/>
                <w:szCs w:val="20"/>
              </w:rPr>
              <w:t xml:space="preserve"> 224 (74.7)</w:t>
            </w:r>
          </w:p>
        </w:tc>
        <w:tc>
          <w:tcPr>
            <w:tcW w:w="0" w:type="auto"/>
          </w:tcPr>
          <w:p w:rsidR="00E07ECC" w:rsidRPr="00625969" w:rsidRDefault="00E07ECC" w:rsidP="00625969">
            <w:pPr>
              <w:keepNext/>
              <w:rPr>
                <w:sz w:val="20"/>
                <w:szCs w:val="20"/>
              </w:rPr>
            </w:pPr>
            <w:r w:rsidRPr="00625969">
              <w:rPr>
                <w:sz w:val="20"/>
                <w:szCs w:val="20"/>
              </w:rPr>
              <w:t>–0.061</w:t>
            </w:r>
          </w:p>
          <w:p w:rsidR="00E07ECC" w:rsidRPr="00625969" w:rsidRDefault="00E07ECC" w:rsidP="00625969">
            <w:pPr>
              <w:keepNext/>
              <w:rPr>
                <w:sz w:val="20"/>
                <w:szCs w:val="20"/>
              </w:rPr>
            </w:pPr>
            <w:r w:rsidRPr="00625969">
              <w:rPr>
                <w:sz w:val="20"/>
                <w:szCs w:val="20"/>
              </w:rPr>
              <w:t>(–0.136, 0.014)</w:t>
            </w:r>
          </w:p>
        </w:tc>
        <w:tc>
          <w:tcPr>
            <w:tcW w:w="0" w:type="auto"/>
          </w:tcPr>
          <w:p w:rsidR="00E07ECC" w:rsidRPr="00625969" w:rsidRDefault="00E07ECC" w:rsidP="00625969">
            <w:pPr>
              <w:keepNext/>
              <w:rPr>
                <w:sz w:val="20"/>
                <w:szCs w:val="20"/>
              </w:rPr>
            </w:pPr>
            <w:r w:rsidRPr="00625969">
              <w:rPr>
                <w:sz w:val="20"/>
                <w:szCs w:val="20"/>
              </w:rPr>
              <w:t>0.737</w:t>
            </w:r>
          </w:p>
          <w:p w:rsidR="00E07ECC" w:rsidRPr="00625969" w:rsidRDefault="00E07ECC" w:rsidP="00625969">
            <w:pPr>
              <w:keepNext/>
              <w:rPr>
                <w:sz w:val="20"/>
                <w:szCs w:val="20"/>
              </w:rPr>
            </w:pPr>
            <w:r w:rsidRPr="00625969">
              <w:rPr>
                <w:sz w:val="20"/>
                <w:szCs w:val="20"/>
              </w:rPr>
              <w:t>(0.507, 1.072)</w:t>
            </w:r>
          </w:p>
        </w:tc>
      </w:tr>
    </w:tbl>
    <w:p w:rsidR="00E07ECC" w:rsidRPr="00081C6D" w:rsidRDefault="00E07ECC" w:rsidP="00625969">
      <w:pPr>
        <w:keepNext/>
        <w:rPr>
          <w:sz w:val="18"/>
          <w:szCs w:val="18"/>
        </w:rPr>
      </w:pPr>
      <w:r w:rsidRPr="00081C6D">
        <w:rPr>
          <w:sz w:val="18"/>
          <w:szCs w:val="18"/>
          <w:vertAlign w:val="superscript"/>
        </w:rPr>
        <w:t>a</w:t>
      </w:r>
      <w:r w:rsidRPr="00081C6D">
        <w:rPr>
          <w:sz w:val="18"/>
          <w:szCs w:val="18"/>
        </w:rPr>
        <w:t xml:space="preserve"> Wald </w:t>
      </w:r>
      <w:r w:rsidRPr="00081C6D">
        <w:rPr>
          <w:sz w:val="18"/>
          <w:szCs w:val="18"/>
          <w:vertAlign w:val="superscript"/>
        </w:rPr>
        <w:t>b</w:t>
      </w:r>
      <w:r w:rsidRPr="00081C6D">
        <w:rPr>
          <w:sz w:val="18"/>
          <w:szCs w:val="18"/>
        </w:rPr>
        <w:t xml:space="preserve"> Zonisamide – Carbamazepine </w:t>
      </w:r>
      <w:r w:rsidRPr="00081C6D">
        <w:rPr>
          <w:sz w:val="18"/>
          <w:szCs w:val="18"/>
        </w:rPr>
        <w:tab/>
      </w:r>
      <w:r w:rsidRPr="00081C6D">
        <w:rPr>
          <w:sz w:val="18"/>
          <w:szCs w:val="18"/>
          <w:vertAlign w:val="superscript"/>
        </w:rPr>
        <w:t>c</w:t>
      </w:r>
      <w:r w:rsidRPr="00081C6D">
        <w:rPr>
          <w:sz w:val="18"/>
          <w:szCs w:val="18"/>
        </w:rPr>
        <w:t xml:space="preserve"> Derived</w:t>
      </w:r>
      <w:r w:rsidRPr="00081C6D">
        <w:rPr>
          <w:sz w:val="18"/>
          <w:szCs w:val="18"/>
        </w:rPr>
        <w:tab/>
      </w:r>
      <w:r w:rsidRPr="00081C6D">
        <w:rPr>
          <w:sz w:val="18"/>
          <w:szCs w:val="18"/>
          <w:vertAlign w:val="superscript"/>
        </w:rPr>
        <w:t>d</w:t>
      </w:r>
      <w:r w:rsidRPr="00081C6D">
        <w:rPr>
          <w:sz w:val="18"/>
          <w:szCs w:val="18"/>
        </w:rPr>
        <w:t xml:space="preserve"> Exploratory Analysis </w:t>
      </w:r>
    </w:p>
    <w:p w:rsidR="00E07ECC" w:rsidRDefault="00E07ECC" w:rsidP="00625969">
      <w:r>
        <w:t xml:space="preserve">Having set the non inferiority margin </w:t>
      </w:r>
      <w:r w:rsidRPr="000430C6">
        <w:t>to a maximu</w:t>
      </w:r>
      <w:r>
        <w:t>m of an absolute 12% difference</w:t>
      </w:r>
      <w:r w:rsidRPr="000430C6">
        <w:t xml:space="preserve"> the primary efficacy endpoint of proportion of subjects seizure-free for at least 6 months</w:t>
      </w:r>
      <w:r>
        <w:t>, when this was not met, the sponsor modelled out any effect for country, which brought the lower CI within the lower bound.</w:t>
      </w:r>
    </w:p>
    <w:p w:rsidR="00E07ECC" w:rsidRPr="000430C6" w:rsidRDefault="00E07ECC" w:rsidP="00625969">
      <w:r>
        <w:t>The sponsor then argued that -0.122 the lower CI of the adjusted difference (</w:t>
      </w:r>
      <w:r w:rsidRPr="0038310E">
        <w:t>with factors for tre</w:t>
      </w:r>
      <w:r>
        <w:t xml:space="preserve">atment and pooled country group) was -14.7% of the carbamazapine response rate of 82.81% (adjusted for </w:t>
      </w:r>
      <w:r w:rsidRPr="0038310E">
        <w:t>country group.</w:t>
      </w:r>
      <w:r>
        <w:t>) i.e. within 20% of that response rate. The sponsor then referred to published treatment guidelines to support this as a demonstration of efficacy.</w:t>
      </w:r>
      <w:r>
        <w:rPr>
          <w:rStyle w:val="FootnoteReference"/>
        </w:rPr>
        <w:footnoteReference w:id="4"/>
      </w:r>
    </w:p>
    <w:p w:rsidR="00E07ECC" w:rsidRDefault="00E07ECC" w:rsidP="00625969">
      <w:r>
        <w:t xml:space="preserve">For the ITT population it was likewise argued that -0.136 </w:t>
      </w:r>
      <w:r w:rsidRPr="00B9347E">
        <w:t>the lower CI of the adjusted difference (with factors for treatment and pooled country group) was</w:t>
      </w:r>
      <w:r>
        <w:t xml:space="preserve"> -18.03% of the carbamazapine response rate of 75.30% (adjusted for </w:t>
      </w:r>
      <w:r w:rsidRPr="0038310E">
        <w:t>country group.</w:t>
      </w:r>
      <w:r>
        <w:t>) i.e. within 20% of that response rate.</w:t>
      </w:r>
    </w:p>
    <w:p w:rsidR="00E07ECC" w:rsidRPr="0056221F" w:rsidRDefault="00E07ECC" w:rsidP="00625969">
      <w:pPr>
        <w:ind w:left="720"/>
      </w:pPr>
      <w:r w:rsidRPr="0056221F">
        <w:t>The minimum non</w:t>
      </w:r>
      <w:r>
        <w:t xml:space="preserve"> </w:t>
      </w:r>
      <w:r w:rsidRPr="0056221F">
        <w:t>inferiority margin of –12% was set as a relative 20% of the</w:t>
      </w:r>
      <w:r>
        <w:t xml:space="preserve"> </w:t>
      </w:r>
      <w:r w:rsidRPr="0056221F">
        <w:t>expected 60% CBZ response rate which was assumed in the sample size calculation. Higher</w:t>
      </w:r>
      <w:r>
        <w:t xml:space="preserve"> </w:t>
      </w:r>
      <w:r w:rsidRPr="0056221F">
        <w:t xml:space="preserve">rates for </w:t>
      </w:r>
      <w:r w:rsidRPr="0056221F">
        <w:lastRenderedPageBreak/>
        <w:t>6-month seizure freedom were observed for CBZ (83.7%) compared to the</w:t>
      </w:r>
      <w:r>
        <w:t xml:space="preserve"> </w:t>
      </w:r>
      <w:r w:rsidRPr="0056221F">
        <w:t>predefined, assumed rate of 60% seizure freedom.</w:t>
      </w:r>
    </w:p>
    <w:p w:rsidR="00E07ECC" w:rsidRDefault="00E07ECC" w:rsidP="00625969">
      <w:pPr>
        <w:ind w:left="720"/>
      </w:pPr>
      <w:r w:rsidRPr="0056221F">
        <w:t>In light of the high response rates observed in the study, the sponsor considers that the</w:t>
      </w:r>
      <w:r>
        <w:t xml:space="preserve"> </w:t>
      </w:r>
      <w:r w:rsidRPr="0056221F">
        <w:t>protocol predefined absolute margin value of –12% was set too conser</w:t>
      </w:r>
      <w:r>
        <w:t>vatively.</w:t>
      </w:r>
      <w:r>
        <w:rPr>
          <w:rStyle w:val="FootnoteReference"/>
        </w:rPr>
        <w:footnoteReference w:id="5"/>
      </w:r>
    </w:p>
    <w:p w:rsidR="00E07ECC" w:rsidRDefault="00E07ECC" w:rsidP="00E07ECC">
      <w:pPr>
        <w:spacing w:after="60"/>
      </w:pPr>
      <w:r>
        <w:rPr>
          <w:b/>
        </w:rPr>
        <w:t>Comment:</w:t>
      </w:r>
      <w:r w:rsidR="003C2B8A">
        <w:rPr>
          <w:b/>
        </w:rPr>
        <w:t xml:space="preserve"> </w:t>
      </w:r>
      <w:r>
        <w:t>The sponsor in the Study Report appears to argue that the non inferiority margin that was set was statistically but not clinically significant. The selection of the non inferiority margin was not directly discussed,</w:t>
      </w:r>
      <w:r>
        <w:rPr>
          <w:rStyle w:val="FootnoteReference"/>
        </w:rPr>
        <w:footnoteReference w:id="6"/>
      </w:r>
      <w:r>
        <w:t xml:space="preserve"> but appears to have been based on a sole review article which stated: </w:t>
      </w:r>
    </w:p>
    <w:p w:rsidR="00E07ECC" w:rsidRPr="00625969" w:rsidRDefault="00E07ECC" w:rsidP="00625969">
      <w:pPr>
        <w:ind w:left="720"/>
        <w:rPr>
          <w:i/>
        </w:rPr>
      </w:pPr>
      <w:r w:rsidRPr="00625969">
        <w:rPr>
          <w:i/>
        </w:rPr>
        <w:t>“It has been suggested that early treatment may not only suppress seizures in the short term but also prevent the evolution of newly developing seizures to chronic epilepsy. This proposition is based on the temporal patterns of epilepsy- that chronic epilepsy is difficult to treat, with perhaps 80% of patients having continuing seizures, in pronounced contrast to newly diagnosed patients started on treatment in whom immediate seizure control is obtained in over 60%; that the chances of long remission are greatest in the early years of treatment; and that relapse after remission is uncommon. Some experimental data (e.g., Kindling) add circumstantial evidence to this proposition. However, another explanation of these clinical patterns of epilepsy is that the disorder, from its onset, is inherently mild or severe, and that the mild cases remit naturally early in their course. Whilst the clinical observations are undoubted, the exact role of early treatment has not been resolved.”</w:t>
      </w:r>
      <w:r w:rsidRPr="00625969">
        <w:rPr>
          <w:rStyle w:val="FootnoteReference"/>
          <w:i/>
        </w:rPr>
        <w:footnoteReference w:id="7"/>
      </w:r>
    </w:p>
    <w:p w:rsidR="00E07ECC" w:rsidRPr="00BC6542" w:rsidRDefault="00E07ECC" w:rsidP="00625969">
      <w:r>
        <w:t xml:space="preserve">The Summary of </w:t>
      </w:r>
      <w:r w:rsidRPr="00BC6542">
        <w:t xml:space="preserve">Clinical </w:t>
      </w:r>
      <w:r>
        <w:t>Efficacy refers to multiple studies as the source of the non-inferiority margin:</w:t>
      </w:r>
    </w:p>
    <w:p w:rsidR="00E07ECC" w:rsidRDefault="00E07ECC" w:rsidP="00625969">
      <w:pPr>
        <w:ind w:left="227"/>
      </w:pPr>
      <w:r w:rsidRPr="00C17859">
        <w:t>The minimum noninferiority margin of −12% was set as a relative 20% of</w:t>
      </w:r>
      <w:r>
        <w:t xml:space="preserve"> </w:t>
      </w:r>
      <w:r w:rsidRPr="00C17859">
        <w:t>the expected 60% CBZ response rate, which was assumed in the sample size calculation</w:t>
      </w:r>
      <w:r>
        <w:t xml:space="preserve"> </w:t>
      </w:r>
      <w:r w:rsidRPr="00C17859">
        <w:t>based on review of a large number of clinical trials (Brodie MJ et al., 1995; Kalviainen R</w:t>
      </w:r>
      <w:r>
        <w:t xml:space="preserve"> </w:t>
      </w:r>
      <w:r w:rsidRPr="00C17859">
        <w:t>et al., 1995; Chadwick DW et al., 1998; Arroyo S et al., 2005; Rowan AJ et al., 2005).</w:t>
      </w:r>
    </w:p>
    <w:p w:rsidR="00E07ECC" w:rsidRPr="00C17859" w:rsidRDefault="00E07ECC" w:rsidP="00625969">
      <w:pPr>
        <w:pStyle w:val="Heading6"/>
      </w:pPr>
      <w:r w:rsidRPr="00C17859">
        <w:lastRenderedPageBreak/>
        <w:t>Additional analyses</w:t>
      </w:r>
    </w:p>
    <w:p w:rsidR="00E07ECC" w:rsidRDefault="00E07ECC" w:rsidP="00E07ECC">
      <w:pPr>
        <w:spacing w:after="60"/>
      </w:pPr>
      <w:r>
        <w:t xml:space="preserve">The sponsor was able by using an exploratory analysis that </w:t>
      </w:r>
      <w:r w:rsidRPr="00AC78FC">
        <w:t>considere</w:t>
      </w:r>
      <w:r>
        <w:t xml:space="preserve">d additional factors/covariates to show that </w:t>
      </w:r>
      <w:r w:rsidRPr="00AC78FC">
        <w:t>adjusted for the number of seizures in the 3 months prior to randomization and country group,</w:t>
      </w:r>
      <w:r>
        <w:t xml:space="preserve"> the treatment difference was –4.2% (95% CI: –11.8, 3.4);</w:t>
      </w:r>
      <w:r w:rsidR="00625969">
        <w:t xml:space="preserve"> that is</w:t>
      </w:r>
      <w:r w:rsidR="003C2B8A">
        <w:t xml:space="preserve">, </w:t>
      </w:r>
      <w:r>
        <w:t>the lower limit of the 95% CI for the absolute difference met the non inferiority margin.</w:t>
      </w:r>
    </w:p>
    <w:p w:rsidR="00E07ECC" w:rsidRDefault="00E07ECC" w:rsidP="00E07ECC">
      <w:pPr>
        <w:spacing w:after="60"/>
      </w:pPr>
      <w:r>
        <w:t>In s</w:t>
      </w:r>
      <w:r w:rsidRPr="009171D0">
        <w:t>ubgroup analysis based on seizure history</w:t>
      </w:r>
      <w:r>
        <w:t xml:space="preserve"> (subjects with a history of simple partial seizures; complex partial seizures; all partial seizures; secondary generalized tonic clonic seizures; generalized tonic-clonic seizures; and all generalized tonic-clonic seizures), only the all generalized tonic-clonic seizures comparison met the </w:t>
      </w:r>
      <w:r w:rsidRPr="00C91B37">
        <w:t>non inferiority margin</w:t>
      </w:r>
      <w:r>
        <w:t xml:space="preserve">. The greatest difference was for </w:t>
      </w:r>
      <w:r w:rsidRPr="00C91B37">
        <w:t>Complex Partial</w:t>
      </w:r>
      <w:r>
        <w:t xml:space="preserve"> Seizures where carbamazapine was considerably more effective.</w:t>
      </w:r>
    </w:p>
    <w:p w:rsidR="00E07ECC" w:rsidRDefault="00E07ECC" w:rsidP="00625969">
      <w:pPr>
        <w:pStyle w:val="Heading6"/>
      </w:pPr>
      <w:r w:rsidRPr="008E7919">
        <w:t>Secondary Efficacy Results</w:t>
      </w:r>
    </w:p>
    <w:p w:rsidR="00E07ECC" w:rsidRDefault="00E07ECC" w:rsidP="00FD4F49">
      <w:pPr>
        <w:pStyle w:val="TableTitle"/>
      </w:pPr>
      <w:bookmarkStart w:id="68" w:name="_Toc326646553"/>
      <w:r>
        <w:t xml:space="preserve">Table </w:t>
      </w:r>
      <w:r w:rsidR="00423552">
        <w:fldChar w:fldCharType="begin"/>
      </w:r>
      <w:r w:rsidR="00FC3F50">
        <w:instrText xml:space="preserve"> SEQ Table \* ARABIC </w:instrText>
      </w:r>
      <w:r w:rsidR="00423552">
        <w:fldChar w:fldCharType="separate"/>
      </w:r>
      <w:r w:rsidR="002E4F77">
        <w:rPr>
          <w:noProof/>
        </w:rPr>
        <w:t>8</w:t>
      </w:r>
      <w:r w:rsidR="00423552">
        <w:fldChar w:fldCharType="end"/>
      </w:r>
      <w:r w:rsidR="00625969">
        <w:t>.</w:t>
      </w:r>
      <w:r w:rsidR="003C2B8A">
        <w:t xml:space="preserve"> </w:t>
      </w:r>
      <w:r w:rsidRPr="008E7919">
        <w:t>Secondary Efficacy Results</w:t>
      </w:r>
      <w:bookmarkEnd w:id="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0"/>
        <w:gridCol w:w="2658"/>
        <w:gridCol w:w="1428"/>
        <w:gridCol w:w="1701"/>
        <w:gridCol w:w="1559"/>
        <w:gridCol w:w="1502"/>
      </w:tblGrid>
      <w:tr w:rsidR="00E07ECC" w:rsidRPr="00C456FE" w:rsidTr="00FD4F49">
        <w:trPr>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0070C0"/>
            <w:hideMark/>
          </w:tcPr>
          <w:p w:rsidR="00E07ECC" w:rsidRPr="00625969" w:rsidRDefault="00E07ECC" w:rsidP="000A6651">
            <w:pPr>
              <w:jc w:val="center"/>
              <w:rPr>
                <w:b/>
                <w:color w:val="FFFFFF" w:themeColor="background1"/>
                <w:sz w:val="20"/>
                <w:szCs w:val="20"/>
              </w:rPr>
            </w:pPr>
            <w:r w:rsidRPr="00625969">
              <w:rPr>
                <w:b/>
                <w:color w:val="FFFFFF" w:themeColor="background1"/>
                <w:sz w:val="20"/>
                <w:szCs w:val="20"/>
              </w:rPr>
              <w:t>Variable</w:t>
            </w:r>
          </w:p>
          <w:p w:rsidR="00E07ECC" w:rsidRPr="00625969" w:rsidRDefault="00E07ECC" w:rsidP="000A6651">
            <w:pPr>
              <w:rPr>
                <w:b/>
                <w:color w:val="FFFFFF" w:themeColor="background1"/>
                <w:sz w:val="20"/>
                <w:szCs w:val="20"/>
              </w:rPr>
            </w:pPr>
            <w:r w:rsidRPr="00625969">
              <w:rPr>
                <w:b/>
                <w:color w:val="FFFFFF" w:themeColor="background1"/>
                <w:sz w:val="20"/>
                <w:szCs w:val="20"/>
              </w:rPr>
              <w:t>(Modelled with factors for treatment and pooled country group)</w:t>
            </w:r>
          </w:p>
        </w:tc>
        <w:tc>
          <w:tcPr>
            <w:tcW w:w="1428" w:type="dxa"/>
            <w:tcBorders>
              <w:top w:val="single" w:sz="4" w:space="0" w:color="auto"/>
              <w:left w:val="single" w:sz="4" w:space="0" w:color="auto"/>
              <w:bottom w:val="single" w:sz="4" w:space="0" w:color="auto"/>
              <w:right w:val="single" w:sz="4" w:space="0" w:color="auto"/>
            </w:tcBorders>
            <w:shd w:val="clear" w:color="auto" w:fill="0070C0"/>
            <w:hideMark/>
          </w:tcPr>
          <w:p w:rsidR="00E07ECC" w:rsidRPr="00625969" w:rsidRDefault="00E07ECC" w:rsidP="000A6651">
            <w:pPr>
              <w:jc w:val="center"/>
              <w:rPr>
                <w:b/>
                <w:color w:val="FFFFFF" w:themeColor="background1"/>
                <w:sz w:val="20"/>
                <w:szCs w:val="20"/>
              </w:rPr>
            </w:pPr>
            <w:r w:rsidRPr="00625969">
              <w:rPr>
                <w:b/>
                <w:color w:val="FFFFFF" w:themeColor="background1"/>
                <w:sz w:val="20"/>
                <w:szCs w:val="20"/>
              </w:rPr>
              <w:t>Zonisamide</w:t>
            </w:r>
          </w:p>
          <w:p w:rsidR="00E07ECC" w:rsidRPr="00625969" w:rsidRDefault="00E07ECC" w:rsidP="000A6651">
            <w:pPr>
              <w:jc w:val="center"/>
              <w:rPr>
                <w:b/>
                <w:color w:val="FFFFFF" w:themeColor="background1"/>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0070C0"/>
            <w:hideMark/>
          </w:tcPr>
          <w:p w:rsidR="00E07ECC" w:rsidRPr="00625969" w:rsidRDefault="00E07ECC" w:rsidP="000A6651">
            <w:pPr>
              <w:jc w:val="center"/>
              <w:rPr>
                <w:b/>
                <w:color w:val="FFFFFF" w:themeColor="background1"/>
                <w:sz w:val="20"/>
                <w:szCs w:val="20"/>
              </w:rPr>
            </w:pPr>
            <w:r w:rsidRPr="00625969">
              <w:rPr>
                <w:b/>
                <w:color w:val="FFFFFF" w:themeColor="background1"/>
                <w:sz w:val="20"/>
                <w:szCs w:val="20"/>
              </w:rPr>
              <w:t>Carbamazepine</w:t>
            </w:r>
          </w:p>
          <w:p w:rsidR="00E07ECC" w:rsidRPr="00625969" w:rsidRDefault="00E07ECC" w:rsidP="000A6651">
            <w:pPr>
              <w:jc w:val="center"/>
              <w:rPr>
                <w:b/>
                <w:color w:val="FFFFFF" w:themeColor="background1"/>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0070C0"/>
            <w:hideMark/>
          </w:tcPr>
          <w:p w:rsidR="00E07ECC" w:rsidRPr="00625969" w:rsidRDefault="00E07ECC" w:rsidP="000A6651">
            <w:pPr>
              <w:jc w:val="center"/>
              <w:rPr>
                <w:b/>
                <w:color w:val="FFFFFF" w:themeColor="background1"/>
                <w:sz w:val="20"/>
                <w:szCs w:val="20"/>
              </w:rPr>
            </w:pPr>
            <w:r w:rsidRPr="00625969">
              <w:rPr>
                <w:b/>
                <w:color w:val="FFFFFF" w:themeColor="background1"/>
                <w:sz w:val="20"/>
                <w:szCs w:val="20"/>
              </w:rPr>
              <w:t>Adjusted difference</w:t>
            </w:r>
            <w:r w:rsidRPr="00625969">
              <w:rPr>
                <w:b/>
                <w:color w:val="FFFFFF" w:themeColor="background1"/>
                <w:sz w:val="20"/>
                <w:szCs w:val="20"/>
                <w:vertAlign w:val="superscript"/>
              </w:rPr>
              <w:t>b</w:t>
            </w:r>
            <w:r w:rsidRPr="00625969">
              <w:rPr>
                <w:b/>
                <w:color w:val="FFFFFF" w:themeColor="background1"/>
                <w:sz w:val="20"/>
                <w:szCs w:val="20"/>
              </w:rPr>
              <w:t xml:space="preserve"> (95% CI)</w:t>
            </w:r>
            <w:r w:rsidRPr="00625969">
              <w:rPr>
                <w:b/>
                <w:color w:val="FFFFFF" w:themeColor="background1"/>
                <w:sz w:val="20"/>
                <w:szCs w:val="20"/>
                <w:vertAlign w:val="superscript"/>
              </w:rPr>
              <w:t>c</w:t>
            </w:r>
          </w:p>
        </w:tc>
        <w:tc>
          <w:tcPr>
            <w:tcW w:w="1502" w:type="dxa"/>
            <w:tcBorders>
              <w:top w:val="single" w:sz="4" w:space="0" w:color="auto"/>
              <w:left w:val="single" w:sz="4" w:space="0" w:color="auto"/>
              <w:bottom w:val="single" w:sz="4" w:space="0" w:color="auto"/>
              <w:right w:val="single" w:sz="4" w:space="0" w:color="auto"/>
            </w:tcBorders>
            <w:shd w:val="clear" w:color="auto" w:fill="0070C0"/>
            <w:hideMark/>
          </w:tcPr>
          <w:p w:rsidR="00E07ECC" w:rsidRPr="00625969" w:rsidRDefault="00E07ECC" w:rsidP="000A6651">
            <w:pPr>
              <w:jc w:val="center"/>
              <w:rPr>
                <w:b/>
                <w:color w:val="FFFFFF" w:themeColor="background1"/>
                <w:sz w:val="20"/>
                <w:szCs w:val="20"/>
              </w:rPr>
            </w:pPr>
            <w:r w:rsidRPr="00625969">
              <w:rPr>
                <w:b/>
                <w:color w:val="FFFFFF" w:themeColor="background1"/>
                <w:sz w:val="20"/>
                <w:szCs w:val="20"/>
              </w:rPr>
              <w:t>Odds Ratio(95% CI)</w:t>
            </w:r>
            <w:r w:rsidRPr="00625969">
              <w:rPr>
                <w:b/>
                <w:color w:val="FFFFFF" w:themeColor="background1"/>
                <w:sz w:val="20"/>
                <w:szCs w:val="20"/>
                <w:vertAlign w:val="superscript"/>
              </w:rPr>
              <w:t>a</w:t>
            </w:r>
          </w:p>
        </w:tc>
      </w:tr>
      <w:tr w:rsidR="00E07ECC" w:rsidRPr="00C456FE" w:rsidTr="000A6651">
        <w:tc>
          <w:tcPr>
            <w:tcW w:w="0" w:type="auto"/>
            <w:tcBorders>
              <w:top w:val="single" w:sz="4" w:space="0" w:color="auto"/>
              <w:left w:val="single" w:sz="4" w:space="0" w:color="auto"/>
              <w:bottom w:val="single" w:sz="4" w:space="0" w:color="auto"/>
              <w:right w:val="single" w:sz="4" w:space="0" w:color="auto"/>
            </w:tcBorders>
            <w:hideMark/>
          </w:tcPr>
          <w:p w:rsidR="00E07ECC" w:rsidRPr="00625969" w:rsidRDefault="00E07ECC" w:rsidP="000A6651">
            <w:pPr>
              <w:rPr>
                <w:sz w:val="20"/>
                <w:szCs w:val="20"/>
              </w:rPr>
            </w:pPr>
            <w:r w:rsidRPr="00625969">
              <w:rPr>
                <w:sz w:val="20"/>
                <w:szCs w:val="20"/>
              </w:rPr>
              <w:t>PP pop</w:t>
            </w:r>
          </w:p>
        </w:tc>
        <w:tc>
          <w:tcPr>
            <w:tcW w:w="0" w:type="auto"/>
            <w:tcBorders>
              <w:top w:val="single" w:sz="4" w:space="0" w:color="auto"/>
              <w:left w:val="single" w:sz="4" w:space="0" w:color="auto"/>
              <w:bottom w:val="single" w:sz="4" w:space="0" w:color="auto"/>
              <w:right w:val="single" w:sz="4" w:space="0" w:color="auto"/>
            </w:tcBorders>
          </w:tcPr>
          <w:p w:rsidR="00E07ECC" w:rsidRPr="00625969" w:rsidRDefault="00E07ECC" w:rsidP="000A6651">
            <w:pPr>
              <w:rPr>
                <w:sz w:val="20"/>
                <w:szCs w:val="20"/>
              </w:rPr>
            </w:pPr>
            <w:r w:rsidRPr="00625969">
              <w:rPr>
                <w:sz w:val="20"/>
                <w:szCs w:val="20"/>
              </w:rPr>
              <w:t>Twelve-Month Seizure Freedom n (%)</w:t>
            </w:r>
          </w:p>
        </w:tc>
        <w:tc>
          <w:tcPr>
            <w:tcW w:w="1428" w:type="dxa"/>
            <w:tcBorders>
              <w:top w:val="single" w:sz="4" w:space="0" w:color="auto"/>
              <w:left w:val="single" w:sz="4" w:space="0" w:color="auto"/>
              <w:bottom w:val="single" w:sz="4" w:space="0" w:color="auto"/>
              <w:right w:val="single" w:sz="4" w:space="0" w:color="auto"/>
            </w:tcBorders>
            <w:hideMark/>
          </w:tcPr>
          <w:p w:rsidR="00E07ECC" w:rsidRPr="00625969" w:rsidRDefault="00E07ECC" w:rsidP="000A6651">
            <w:pPr>
              <w:jc w:val="center"/>
              <w:rPr>
                <w:sz w:val="20"/>
                <w:szCs w:val="20"/>
              </w:rPr>
            </w:pPr>
            <w:r w:rsidRPr="00625969">
              <w:rPr>
                <w:sz w:val="20"/>
                <w:szCs w:val="20"/>
              </w:rPr>
              <w:t>146 (67.6) (N=216)</w:t>
            </w:r>
          </w:p>
        </w:tc>
        <w:tc>
          <w:tcPr>
            <w:tcW w:w="1701" w:type="dxa"/>
            <w:tcBorders>
              <w:top w:val="single" w:sz="4" w:space="0" w:color="auto"/>
              <w:left w:val="single" w:sz="4" w:space="0" w:color="auto"/>
              <w:bottom w:val="single" w:sz="4" w:space="0" w:color="auto"/>
              <w:right w:val="single" w:sz="4" w:space="0" w:color="auto"/>
            </w:tcBorders>
            <w:hideMark/>
          </w:tcPr>
          <w:p w:rsidR="00E07ECC" w:rsidRPr="00625969" w:rsidRDefault="00E07ECC" w:rsidP="000A6651">
            <w:pPr>
              <w:jc w:val="center"/>
              <w:rPr>
                <w:sz w:val="20"/>
                <w:szCs w:val="20"/>
              </w:rPr>
            </w:pPr>
            <w:r w:rsidRPr="00625969">
              <w:rPr>
                <w:sz w:val="20"/>
                <w:szCs w:val="20"/>
              </w:rPr>
              <w:t>171 (74.7) (N=229)</w:t>
            </w:r>
          </w:p>
        </w:tc>
        <w:tc>
          <w:tcPr>
            <w:tcW w:w="1559" w:type="dxa"/>
            <w:tcBorders>
              <w:top w:val="single" w:sz="4" w:space="0" w:color="auto"/>
              <w:left w:val="single" w:sz="4" w:space="0" w:color="auto"/>
              <w:bottom w:val="single" w:sz="4" w:space="0" w:color="auto"/>
              <w:right w:val="single" w:sz="4" w:space="0" w:color="auto"/>
            </w:tcBorders>
          </w:tcPr>
          <w:p w:rsidR="00E07ECC" w:rsidRPr="00625969" w:rsidRDefault="00E07ECC" w:rsidP="000A6651">
            <w:pPr>
              <w:jc w:val="center"/>
              <w:rPr>
                <w:sz w:val="20"/>
                <w:szCs w:val="20"/>
              </w:rPr>
            </w:pPr>
            <w:r w:rsidRPr="00625969">
              <w:rPr>
                <w:sz w:val="20"/>
                <w:szCs w:val="20"/>
              </w:rPr>
              <w:t>–0.079(–0.172, 0.015)</w:t>
            </w:r>
          </w:p>
        </w:tc>
        <w:tc>
          <w:tcPr>
            <w:tcW w:w="1502" w:type="dxa"/>
            <w:tcBorders>
              <w:top w:val="single" w:sz="4" w:space="0" w:color="auto"/>
              <w:left w:val="single" w:sz="4" w:space="0" w:color="auto"/>
              <w:bottom w:val="single" w:sz="4" w:space="0" w:color="auto"/>
              <w:right w:val="single" w:sz="4" w:space="0" w:color="auto"/>
            </w:tcBorders>
          </w:tcPr>
          <w:p w:rsidR="00E07ECC" w:rsidRPr="00625969" w:rsidRDefault="00E07ECC" w:rsidP="000A6651">
            <w:pPr>
              <w:jc w:val="center"/>
              <w:rPr>
                <w:sz w:val="20"/>
                <w:szCs w:val="20"/>
              </w:rPr>
            </w:pPr>
            <w:r w:rsidRPr="00625969">
              <w:rPr>
                <w:sz w:val="20"/>
                <w:szCs w:val="20"/>
              </w:rPr>
              <w:t>0.697 (0.454, 1.070)</w:t>
            </w:r>
          </w:p>
        </w:tc>
      </w:tr>
      <w:tr w:rsidR="00E07ECC" w:rsidRPr="00C456FE" w:rsidTr="000A6651">
        <w:tc>
          <w:tcPr>
            <w:tcW w:w="0" w:type="auto"/>
            <w:tcBorders>
              <w:top w:val="single" w:sz="4" w:space="0" w:color="auto"/>
              <w:left w:val="single" w:sz="4" w:space="0" w:color="auto"/>
              <w:bottom w:val="single" w:sz="4" w:space="0" w:color="auto"/>
              <w:right w:val="single" w:sz="4" w:space="0" w:color="auto"/>
            </w:tcBorders>
          </w:tcPr>
          <w:p w:rsidR="00E07ECC" w:rsidRPr="00625969" w:rsidRDefault="00E07ECC" w:rsidP="000A6651">
            <w:pPr>
              <w:rPr>
                <w:sz w:val="20"/>
                <w:szCs w:val="20"/>
              </w:rPr>
            </w:pPr>
            <w:r w:rsidRPr="00625969">
              <w:rPr>
                <w:sz w:val="20"/>
                <w:szCs w:val="20"/>
              </w:rPr>
              <w:t>ITT pop</w:t>
            </w:r>
          </w:p>
        </w:tc>
        <w:tc>
          <w:tcPr>
            <w:tcW w:w="0" w:type="auto"/>
            <w:tcBorders>
              <w:top w:val="single" w:sz="4" w:space="0" w:color="auto"/>
              <w:left w:val="single" w:sz="4" w:space="0" w:color="auto"/>
              <w:bottom w:val="single" w:sz="4" w:space="0" w:color="auto"/>
              <w:right w:val="single" w:sz="4" w:space="0" w:color="auto"/>
            </w:tcBorders>
            <w:hideMark/>
          </w:tcPr>
          <w:p w:rsidR="00E07ECC" w:rsidRPr="00625969" w:rsidRDefault="00E07ECC" w:rsidP="000A6651">
            <w:pPr>
              <w:rPr>
                <w:sz w:val="20"/>
                <w:szCs w:val="20"/>
              </w:rPr>
            </w:pPr>
            <w:r w:rsidRPr="00625969">
              <w:rPr>
                <w:sz w:val="20"/>
                <w:szCs w:val="20"/>
              </w:rPr>
              <w:t>Twelve-Month Seizure Freedom n (%)</w:t>
            </w:r>
          </w:p>
        </w:tc>
        <w:tc>
          <w:tcPr>
            <w:tcW w:w="1428" w:type="dxa"/>
            <w:tcBorders>
              <w:top w:val="single" w:sz="4" w:space="0" w:color="auto"/>
              <w:left w:val="single" w:sz="4" w:space="0" w:color="auto"/>
              <w:bottom w:val="single" w:sz="4" w:space="0" w:color="auto"/>
              <w:right w:val="single" w:sz="4" w:space="0" w:color="auto"/>
            </w:tcBorders>
          </w:tcPr>
          <w:p w:rsidR="00E07ECC" w:rsidRPr="00625969" w:rsidRDefault="00E07ECC" w:rsidP="000A6651">
            <w:pPr>
              <w:jc w:val="center"/>
              <w:rPr>
                <w:sz w:val="20"/>
                <w:szCs w:val="20"/>
              </w:rPr>
            </w:pPr>
            <w:r w:rsidRPr="00625969">
              <w:rPr>
                <w:sz w:val="20"/>
                <w:szCs w:val="20"/>
              </w:rPr>
              <w:t>157 (55.9)</w:t>
            </w:r>
          </w:p>
          <w:p w:rsidR="00E07ECC" w:rsidRPr="00625969" w:rsidRDefault="00E07ECC" w:rsidP="000A6651">
            <w:pPr>
              <w:jc w:val="center"/>
              <w:rPr>
                <w:sz w:val="20"/>
                <w:szCs w:val="20"/>
              </w:rPr>
            </w:pPr>
            <w:r w:rsidRPr="00625969">
              <w:rPr>
                <w:sz w:val="20"/>
                <w:szCs w:val="20"/>
              </w:rPr>
              <w:t>(N=281)</w:t>
            </w:r>
          </w:p>
        </w:tc>
        <w:tc>
          <w:tcPr>
            <w:tcW w:w="1701" w:type="dxa"/>
            <w:tcBorders>
              <w:top w:val="single" w:sz="4" w:space="0" w:color="auto"/>
              <w:left w:val="single" w:sz="4" w:space="0" w:color="auto"/>
              <w:bottom w:val="single" w:sz="4" w:space="0" w:color="auto"/>
              <w:right w:val="single" w:sz="4" w:space="0" w:color="auto"/>
            </w:tcBorders>
          </w:tcPr>
          <w:p w:rsidR="00E07ECC" w:rsidRPr="00625969" w:rsidRDefault="00E07ECC" w:rsidP="000A6651">
            <w:pPr>
              <w:jc w:val="center"/>
              <w:rPr>
                <w:sz w:val="20"/>
                <w:szCs w:val="20"/>
              </w:rPr>
            </w:pPr>
            <w:r w:rsidRPr="00625969">
              <w:rPr>
                <w:sz w:val="20"/>
                <w:szCs w:val="20"/>
              </w:rPr>
              <w:t>187 (62.3)</w:t>
            </w:r>
          </w:p>
          <w:p w:rsidR="00E07ECC" w:rsidRPr="00625969" w:rsidRDefault="00E07ECC" w:rsidP="000A6651">
            <w:pPr>
              <w:jc w:val="center"/>
              <w:rPr>
                <w:sz w:val="20"/>
                <w:szCs w:val="20"/>
              </w:rPr>
            </w:pPr>
            <w:r w:rsidRPr="00625969">
              <w:rPr>
                <w:sz w:val="20"/>
                <w:szCs w:val="20"/>
              </w:rPr>
              <w:t>(N=300)</w:t>
            </w:r>
          </w:p>
        </w:tc>
        <w:tc>
          <w:tcPr>
            <w:tcW w:w="1559" w:type="dxa"/>
            <w:tcBorders>
              <w:top w:val="single" w:sz="4" w:space="0" w:color="auto"/>
              <w:left w:val="single" w:sz="4" w:space="0" w:color="auto"/>
              <w:bottom w:val="single" w:sz="4" w:space="0" w:color="auto"/>
              <w:right w:val="single" w:sz="4" w:space="0" w:color="auto"/>
            </w:tcBorders>
            <w:hideMark/>
          </w:tcPr>
          <w:p w:rsidR="00E07ECC" w:rsidRPr="00625969" w:rsidRDefault="00E07ECC" w:rsidP="000A6651">
            <w:pPr>
              <w:jc w:val="center"/>
              <w:rPr>
                <w:sz w:val="20"/>
                <w:szCs w:val="20"/>
              </w:rPr>
            </w:pPr>
            <w:r w:rsidRPr="00625969">
              <w:rPr>
                <w:sz w:val="20"/>
                <w:szCs w:val="20"/>
              </w:rPr>
              <w:t>-0.077</w:t>
            </w:r>
          </w:p>
          <w:p w:rsidR="00E07ECC" w:rsidRPr="00625969" w:rsidRDefault="00E07ECC" w:rsidP="000A6651">
            <w:pPr>
              <w:jc w:val="center"/>
              <w:rPr>
                <w:sz w:val="20"/>
                <w:szCs w:val="20"/>
              </w:rPr>
            </w:pPr>
            <w:r w:rsidRPr="00625969">
              <w:rPr>
                <w:sz w:val="20"/>
                <w:szCs w:val="20"/>
              </w:rPr>
              <w:t>(-0.161, 0.007)</w:t>
            </w:r>
          </w:p>
        </w:tc>
        <w:tc>
          <w:tcPr>
            <w:tcW w:w="1502" w:type="dxa"/>
            <w:tcBorders>
              <w:top w:val="single" w:sz="4" w:space="0" w:color="auto"/>
              <w:left w:val="single" w:sz="4" w:space="0" w:color="auto"/>
              <w:bottom w:val="single" w:sz="4" w:space="0" w:color="auto"/>
              <w:right w:val="single" w:sz="4" w:space="0" w:color="auto"/>
            </w:tcBorders>
            <w:hideMark/>
          </w:tcPr>
          <w:p w:rsidR="00E07ECC" w:rsidRPr="00625969" w:rsidRDefault="00E07ECC" w:rsidP="000A6651">
            <w:pPr>
              <w:jc w:val="center"/>
              <w:rPr>
                <w:sz w:val="20"/>
                <w:szCs w:val="20"/>
              </w:rPr>
            </w:pPr>
            <w:r w:rsidRPr="00625969">
              <w:rPr>
                <w:sz w:val="20"/>
                <w:szCs w:val="20"/>
              </w:rPr>
              <w:t>0.729</w:t>
            </w:r>
          </w:p>
          <w:p w:rsidR="00E07ECC" w:rsidRPr="00625969" w:rsidRDefault="00E07ECC" w:rsidP="000A6651">
            <w:pPr>
              <w:jc w:val="center"/>
              <w:rPr>
                <w:sz w:val="20"/>
                <w:szCs w:val="20"/>
              </w:rPr>
            </w:pPr>
            <w:r w:rsidRPr="00625969">
              <w:rPr>
                <w:sz w:val="20"/>
                <w:szCs w:val="20"/>
              </w:rPr>
              <w:t>( 0.517, 1.029)</w:t>
            </w:r>
          </w:p>
        </w:tc>
      </w:tr>
      <w:tr w:rsidR="00E07ECC" w:rsidRPr="00C456FE" w:rsidTr="000A6651">
        <w:tc>
          <w:tcPr>
            <w:tcW w:w="0" w:type="auto"/>
            <w:tcBorders>
              <w:top w:val="single" w:sz="4" w:space="0" w:color="auto"/>
              <w:left w:val="single" w:sz="4" w:space="0" w:color="auto"/>
              <w:bottom w:val="single" w:sz="4" w:space="0" w:color="auto"/>
              <w:right w:val="single" w:sz="4" w:space="0" w:color="auto"/>
            </w:tcBorders>
          </w:tcPr>
          <w:p w:rsidR="00E07ECC" w:rsidRPr="00625969" w:rsidRDefault="00E07ECC" w:rsidP="000A6651">
            <w:pPr>
              <w:rPr>
                <w:sz w:val="20"/>
                <w:szCs w:val="20"/>
              </w:rPr>
            </w:pPr>
            <w:r w:rsidRPr="00625969">
              <w:rPr>
                <w:sz w:val="20"/>
                <w:szCs w:val="20"/>
              </w:rPr>
              <w:t>PP pop</w:t>
            </w:r>
          </w:p>
        </w:tc>
        <w:tc>
          <w:tcPr>
            <w:tcW w:w="0" w:type="auto"/>
            <w:tcBorders>
              <w:top w:val="single" w:sz="4" w:space="0" w:color="auto"/>
              <w:left w:val="single" w:sz="4" w:space="0" w:color="auto"/>
              <w:bottom w:val="single" w:sz="4" w:space="0" w:color="auto"/>
              <w:right w:val="single" w:sz="4" w:space="0" w:color="auto"/>
            </w:tcBorders>
            <w:hideMark/>
          </w:tcPr>
          <w:p w:rsidR="00E07ECC" w:rsidRPr="00625969" w:rsidRDefault="00E07ECC" w:rsidP="000A6651">
            <w:pPr>
              <w:rPr>
                <w:sz w:val="20"/>
                <w:szCs w:val="20"/>
              </w:rPr>
            </w:pPr>
            <w:r w:rsidRPr="00625969">
              <w:rPr>
                <w:sz w:val="20"/>
                <w:szCs w:val="20"/>
              </w:rPr>
              <w:t>Median Time (days) to Drop Out Due to Lack of Efficacy</w:t>
            </w:r>
          </w:p>
        </w:tc>
        <w:tc>
          <w:tcPr>
            <w:tcW w:w="1428" w:type="dxa"/>
            <w:tcBorders>
              <w:top w:val="single" w:sz="4" w:space="0" w:color="auto"/>
              <w:left w:val="single" w:sz="4" w:space="0" w:color="auto"/>
              <w:bottom w:val="single" w:sz="4" w:space="0" w:color="auto"/>
              <w:right w:val="single" w:sz="4" w:space="0" w:color="auto"/>
            </w:tcBorders>
          </w:tcPr>
          <w:p w:rsidR="00E07ECC" w:rsidRPr="00625969" w:rsidRDefault="00E07ECC" w:rsidP="000A6651">
            <w:pPr>
              <w:jc w:val="center"/>
              <w:rPr>
                <w:sz w:val="20"/>
                <w:szCs w:val="20"/>
              </w:rPr>
            </w:pPr>
            <w:r w:rsidRPr="00625969">
              <w:rPr>
                <w:sz w:val="20"/>
                <w:szCs w:val="20"/>
              </w:rPr>
              <w:t>722</w:t>
            </w:r>
          </w:p>
          <w:p w:rsidR="00E07ECC" w:rsidRPr="00625969" w:rsidRDefault="00E07ECC" w:rsidP="000A6651">
            <w:pPr>
              <w:jc w:val="center"/>
              <w:rPr>
                <w:sz w:val="20"/>
                <w:szCs w:val="20"/>
              </w:rPr>
            </w:pPr>
            <w:r w:rsidRPr="00625969">
              <w:rPr>
                <w:sz w:val="20"/>
                <w:szCs w:val="20"/>
              </w:rPr>
              <w:t>19 (N=223)</w:t>
            </w:r>
          </w:p>
        </w:tc>
        <w:tc>
          <w:tcPr>
            <w:tcW w:w="1701" w:type="dxa"/>
            <w:tcBorders>
              <w:top w:val="single" w:sz="4" w:space="0" w:color="auto"/>
              <w:left w:val="single" w:sz="4" w:space="0" w:color="auto"/>
              <w:bottom w:val="single" w:sz="4" w:space="0" w:color="auto"/>
              <w:right w:val="single" w:sz="4" w:space="0" w:color="auto"/>
            </w:tcBorders>
          </w:tcPr>
          <w:p w:rsidR="00E07ECC" w:rsidRPr="00625969" w:rsidRDefault="00E07ECC" w:rsidP="000A6651">
            <w:pPr>
              <w:jc w:val="center"/>
              <w:rPr>
                <w:sz w:val="20"/>
                <w:szCs w:val="20"/>
              </w:rPr>
            </w:pPr>
            <w:r w:rsidRPr="00625969">
              <w:rPr>
                <w:sz w:val="20"/>
                <w:szCs w:val="20"/>
              </w:rPr>
              <w:t>NC</w:t>
            </w:r>
          </w:p>
          <w:p w:rsidR="00E07ECC" w:rsidRPr="00625969" w:rsidRDefault="00E07ECC" w:rsidP="000A6651">
            <w:pPr>
              <w:jc w:val="center"/>
              <w:rPr>
                <w:sz w:val="20"/>
                <w:szCs w:val="20"/>
              </w:rPr>
            </w:pPr>
            <w:r w:rsidRPr="00625969">
              <w:rPr>
                <w:sz w:val="20"/>
                <w:szCs w:val="20"/>
              </w:rPr>
              <w:t>12 (N=233)</w:t>
            </w:r>
          </w:p>
        </w:tc>
        <w:tc>
          <w:tcPr>
            <w:tcW w:w="1559" w:type="dxa"/>
            <w:tcBorders>
              <w:top w:val="single" w:sz="4" w:space="0" w:color="auto"/>
              <w:left w:val="single" w:sz="4" w:space="0" w:color="auto"/>
              <w:bottom w:val="single" w:sz="4" w:space="0" w:color="auto"/>
              <w:right w:val="single" w:sz="4" w:space="0" w:color="auto"/>
            </w:tcBorders>
            <w:hideMark/>
          </w:tcPr>
          <w:p w:rsidR="00E07ECC" w:rsidRPr="00625969" w:rsidRDefault="00E07ECC" w:rsidP="000A6651">
            <w:pPr>
              <w:jc w:val="center"/>
              <w:rPr>
                <w:sz w:val="20"/>
                <w:szCs w:val="20"/>
              </w:rPr>
            </w:pPr>
          </w:p>
        </w:tc>
        <w:tc>
          <w:tcPr>
            <w:tcW w:w="1502" w:type="dxa"/>
            <w:tcBorders>
              <w:top w:val="single" w:sz="4" w:space="0" w:color="auto"/>
              <w:left w:val="single" w:sz="4" w:space="0" w:color="auto"/>
              <w:bottom w:val="single" w:sz="4" w:space="0" w:color="auto"/>
              <w:right w:val="single" w:sz="4" w:space="0" w:color="auto"/>
            </w:tcBorders>
            <w:hideMark/>
          </w:tcPr>
          <w:p w:rsidR="00E07ECC" w:rsidRPr="00625969" w:rsidRDefault="00E07ECC" w:rsidP="000A6651">
            <w:pPr>
              <w:jc w:val="center"/>
              <w:rPr>
                <w:sz w:val="20"/>
                <w:szCs w:val="20"/>
                <w:vertAlign w:val="superscript"/>
              </w:rPr>
            </w:pPr>
            <w:r w:rsidRPr="00625969">
              <w:rPr>
                <w:sz w:val="20"/>
                <w:szCs w:val="20"/>
              </w:rPr>
              <w:t>1.63</w:t>
            </w:r>
            <w:r w:rsidRPr="00625969">
              <w:rPr>
                <w:sz w:val="20"/>
                <w:szCs w:val="20"/>
                <w:vertAlign w:val="superscript"/>
              </w:rPr>
              <w:t>e</w:t>
            </w:r>
          </w:p>
          <w:p w:rsidR="00E07ECC" w:rsidRPr="00625969" w:rsidRDefault="00E07ECC" w:rsidP="000A6651">
            <w:pPr>
              <w:jc w:val="center"/>
              <w:rPr>
                <w:sz w:val="20"/>
                <w:szCs w:val="20"/>
                <w:vertAlign w:val="superscript"/>
              </w:rPr>
            </w:pPr>
            <w:r w:rsidRPr="00625969">
              <w:rPr>
                <w:sz w:val="20"/>
                <w:szCs w:val="20"/>
              </w:rPr>
              <w:t>(0.78, 3.42)</w:t>
            </w:r>
          </w:p>
        </w:tc>
      </w:tr>
      <w:tr w:rsidR="00E07ECC" w:rsidRPr="00C456FE" w:rsidTr="000A6651">
        <w:tc>
          <w:tcPr>
            <w:tcW w:w="0" w:type="auto"/>
            <w:tcBorders>
              <w:top w:val="single" w:sz="4" w:space="0" w:color="auto"/>
              <w:left w:val="single" w:sz="4" w:space="0" w:color="auto"/>
              <w:bottom w:val="single" w:sz="4" w:space="0" w:color="auto"/>
              <w:right w:val="single" w:sz="4" w:space="0" w:color="auto"/>
            </w:tcBorders>
          </w:tcPr>
          <w:p w:rsidR="00E07ECC" w:rsidRPr="00625969" w:rsidRDefault="00E07ECC" w:rsidP="000A6651">
            <w:pPr>
              <w:rPr>
                <w:sz w:val="20"/>
                <w:szCs w:val="20"/>
              </w:rPr>
            </w:pPr>
            <w:r w:rsidRPr="00625969">
              <w:rPr>
                <w:sz w:val="20"/>
                <w:szCs w:val="20"/>
              </w:rPr>
              <w:t>ITT pop</w:t>
            </w:r>
          </w:p>
        </w:tc>
        <w:tc>
          <w:tcPr>
            <w:tcW w:w="0" w:type="auto"/>
            <w:tcBorders>
              <w:top w:val="single" w:sz="4" w:space="0" w:color="auto"/>
              <w:left w:val="single" w:sz="4" w:space="0" w:color="auto"/>
              <w:bottom w:val="single" w:sz="4" w:space="0" w:color="auto"/>
              <w:right w:val="single" w:sz="4" w:space="0" w:color="auto"/>
            </w:tcBorders>
            <w:hideMark/>
          </w:tcPr>
          <w:p w:rsidR="00E07ECC" w:rsidRPr="00625969" w:rsidRDefault="00E07ECC" w:rsidP="000A6651">
            <w:pPr>
              <w:rPr>
                <w:sz w:val="20"/>
                <w:szCs w:val="20"/>
                <w:vertAlign w:val="superscript"/>
              </w:rPr>
            </w:pPr>
            <w:r w:rsidRPr="00625969">
              <w:rPr>
                <w:sz w:val="20"/>
                <w:szCs w:val="20"/>
              </w:rPr>
              <w:t xml:space="preserve">Median Time (days) to Drop Out Due to Lack of Efficacy </w:t>
            </w:r>
          </w:p>
        </w:tc>
        <w:tc>
          <w:tcPr>
            <w:tcW w:w="1428" w:type="dxa"/>
            <w:tcBorders>
              <w:top w:val="single" w:sz="4" w:space="0" w:color="auto"/>
              <w:left w:val="single" w:sz="4" w:space="0" w:color="auto"/>
              <w:bottom w:val="single" w:sz="4" w:space="0" w:color="auto"/>
              <w:right w:val="single" w:sz="4" w:space="0" w:color="auto"/>
            </w:tcBorders>
          </w:tcPr>
          <w:p w:rsidR="00E07ECC" w:rsidRPr="00625969" w:rsidRDefault="00E07ECC" w:rsidP="000A6651">
            <w:pPr>
              <w:jc w:val="center"/>
              <w:rPr>
                <w:sz w:val="20"/>
                <w:szCs w:val="20"/>
                <w:vertAlign w:val="superscript"/>
              </w:rPr>
            </w:pPr>
            <w:r w:rsidRPr="00625969">
              <w:rPr>
                <w:sz w:val="20"/>
                <w:szCs w:val="20"/>
              </w:rPr>
              <w:t>722</w:t>
            </w:r>
            <w:r w:rsidRPr="00625969">
              <w:rPr>
                <w:sz w:val="20"/>
                <w:szCs w:val="20"/>
                <w:vertAlign w:val="superscript"/>
              </w:rPr>
              <w:t>f</w:t>
            </w:r>
          </w:p>
          <w:p w:rsidR="00E07ECC" w:rsidRPr="00625969" w:rsidRDefault="00E07ECC" w:rsidP="000A6651">
            <w:pPr>
              <w:jc w:val="center"/>
              <w:rPr>
                <w:sz w:val="20"/>
                <w:szCs w:val="20"/>
              </w:rPr>
            </w:pPr>
            <w:r w:rsidRPr="00625969">
              <w:rPr>
                <w:sz w:val="20"/>
                <w:szCs w:val="20"/>
              </w:rPr>
              <w:t>23 (N=281)</w:t>
            </w:r>
          </w:p>
        </w:tc>
        <w:tc>
          <w:tcPr>
            <w:tcW w:w="1701" w:type="dxa"/>
            <w:tcBorders>
              <w:top w:val="single" w:sz="4" w:space="0" w:color="auto"/>
              <w:left w:val="single" w:sz="4" w:space="0" w:color="auto"/>
              <w:bottom w:val="single" w:sz="4" w:space="0" w:color="auto"/>
              <w:right w:val="single" w:sz="4" w:space="0" w:color="auto"/>
            </w:tcBorders>
          </w:tcPr>
          <w:p w:rsidR="00E07ECC" w:rsidRPr="00625969" w:rsidRDefault="00E07ECC" w:rsidP="000A6651">
            <w:pPr>
              <w:jc w:val="center"/>
              <w:rPr>
                <w:sz w:val="20"/>
                <w:szCs w:val="20"/>
              </w:rPr>
            </w:pPr>
            <w:r w:rsidRPr="00625969">
              <w:rPr>
                <w:sz w:val="20"/>
                <w:szCs w:val="20"/>
              </w:rPr>
              <w:t>NC</w:t>
            </w:r>
          </w:p>
          <w:p w:rsidR="00E07ECC" w:rsidRPr="00625969" w:rsidRDefault="00E07ECC" w:rsidP="000A6651">
            <w:pPr>
              <w:jc w:val="center"/>
              <w:rPr>
                <w:sz w:val="20"/>
                <w:szCs w:val="20"/>
              </w:rPr>
            </w:pPr>
            <w:r w:rsidRPr="00625969">
              <w:rPr>
                <w:sz w:val="20"/>
                <w:szCs w:val="20"/>
              </w:rPr>
              <w:t>23 (N=300)</w:t>
            </w:r>
          </w:p>
        </w:tc>
        <w:tc>
          <w:tcPr>
            <w:tcW w:w="1559" w:type="dxa"/>
            <w:tcBorders>
              <w:top w:val="single" w:sz="4" w:space="0" w:color="auto"/>
              <w:left w:val="single" w:sz="4" w:space="0" w:color="auto"/>
              <w:bottom w:val="single" w:sz="4" w:space="0" w:color="auto"/>
              <w:right w:val="single" w:sz="4" w:space="0" w:color="auto"/>
            </w:tcBorders>
            <w:hideMark/>
          </w:tcPr>
          <w:p w:rsidR="00E07ECC" w:rsidRPr="00625969" w:rsidRDefault="00E07ECC" w:rsidP="000A6651">
            <w:pPr>
              <w:jc w:val="center"/>
              <w:rPr>
                <w:sz w:val="20"/>
                <w:szCs w:val="20"/>
              </w:rPr>
            </w:pPr>
          </w:p>
        </w:tc>
        <w:tc>
          <w:tcPr>
            <w:tcW w:w="1502" w:type="dxa"/>
            <w:tcBorders>
              <w:top w:val="single" w:sz="4" w:space="0" w:color="auto"/>
              <w:left w:val="single" w:sz="4" w:space="0" w:color="auto"/>
              <w:bottom w:val="single" w:sz="4" w:space="0" w:color="auto"/>
              <w:right w:val="single" w:sz="4" w:space="0" w:color="auto"/>
            </w:tcBorders>
            <w:hideMark/>
          </w:tcPr>
          <w:p w:rsidR="00E07ECC" w:rsidRPr="00625969" w:rsidRDefault="00E07ECC" w:rsidP="000A6651">
            <w:pPr>
              <w:jc w:val="center"/>
              <w:rPr>
                <w:sz w:val="20"/>
                <w:szCs w:val="20"/>
              </w:rPr>
            </w:pPr>
            <w:r w:rsidRPr="00625969">
              <w:rPr>
                <w:sz w:val="20"/>
                <w:szCs w:val="20"/>
              </w:rPr>
              <w:t>1.11</w:t>
            </w:r>
          </w:p>
          <w:p w:rsidR="00E07ECC" w:rsidRPr="00625969" w:rsidRDefault="00E07ECC" w:rsidP="000A6651">
            <w:pPr>
              <w:jc w:val="center"/>
              <w:rPr>
                <w:sz w:val="20"/>
                <w:szCs w:val="20"/>
                <w:vertAlign w:val="superscript"/>
              </w:rPr>
            </w:pPr>
            <w:r w:rsidRPr="00625969">
              <w:rPr>
                <w:sz w:val="20"/>
                <w:szCs w:val="20"/>
              </w:rPr>
              <w:t>(0.62, 2.01)</w:t>
            </w:r>
          </w:p>
        </w:tc>
      </w:tr>
      <w:tr w:rsidR="00E07ECC" w:rsidRPr="00C456FE" w:rsidTr="000A6651">
        <w:tc>
          <w:tcPr>
            <w:tcW w:w="0" w:type="auto"/>
            <w:tcBorders>
              <w:top w:val="single" w:sz="4" w:space="0" w:color="auto"/>
              <w:left w:val="single" w:sz="4" w:space="0" w:color="auto"/>
              <w:bottom w:val="single" w:sz="4" w:space="0" w:color="auto"/>
              <w:right w:val="single" w:sz="4" w:space="0" w:color="auto"/>
            </w:tcBorders>
          </w:tcPr>
          <w:p w:rsidR="00E07ECC" w:rsidRPr="00625969" w:rsidRDefault="00E07ECC" w:rsidP="000A6651">
            <w:pPr>
              <w:rPr>
                <w:sz w:val="20"/>
                <w:szCs w:val="20"/>
              </w:rPr>
            </w:pPr>
            <w:r w:rsidRPr="00625969">
              <w:rPr>
                <w:sz w:val="20"/>
                <w:szCs w:val="20"/>
              </w:rPr>
              <w:t>PP pop</w:t>
            </w:r>
          </w:p>
        </w:tc>
        <w:tc>
          <w:tcPr>
            <w:tcW w:w="0" w:type="auto"/>
            <w:tcBorders>
              <w:top w:val="single" w:sz="4" w:space="0" w:color="auto"/>
              <w:left w:val="single" w:sz="4" w:space="0" w:color="auto"/>
              <w:bottom w:val="single" w:sz="4" w:space="0" w:color="auto"/>
              <w:right w:val="single" w:sz="4" w:space="0" w:color="auto"/>
            </w:tcBorders>
          </w:tcPr>
          <w:p w:rsidR="00E07ECC" w:rsidRPr="00625969" w:rsidRDefault="00E07ECC" w:rsidP="000A6651">
            <w:pPr>
              <w:rPr>
                <w:sz w:val="20"/>
                <w:szCs w:val="20"/>
              </w:rPr>
            </w:pPr>
            <w:r w:rsidRPr="00625969">
              <w:rPr>
                <w:sz w:val="20"/>
                <w:szCs w:val="20"/>
              </w:rPr>
              <w:t>Median Time (days) to Drop Out Due to an AE</w:t>
            </w:r>
          </w:p>
        </w:tc>
        <w:tc>
          <w:tcPr>
            <w:tcW w:w="1428" w:type="dxa"/>
            <w:tcBorders>
              <w:top w:val="single" w:sz="4" w:space="0" w:color="auto"/>
              <w:left w:val="single" w:sz="4" w:space="0" w:color="auto"/>
              <w:bottom w:val="single" w:sz="4" w:space="0" w:color="auto"/>
              <w:right w:val="single" w:sz="4" w:space="0" w:color="auto"/>
            </w:tcBorders>
          </w:tcPr>
          <w:p w:rsidR="00E07ECC" w:rsidRPr="00625969" w:rsidRDefault="00E07ECC" w:rsidP="000A6651">
            <w:pPr>
              <w:jc w:val="center"/>
              <w:rPr>
                <w:sz w:val="20"/>
                <w:szCs w:val="20"/>
              </w:rPr>
            </w:pPr>
            <w:r w:rsidRPr="00625969">
              <w:rPr>
                <w:sz w:val="20"/>
                <w:szCs w:val="20"/>
              </w:rPr>
              <w:t>NC</w:t>
            </w:r>
          </w:p>
          <w:p w:rsidR="00E07ECC" w:rsidRPr="00625969" w:rsidRDefault="00E07ECC" w:rsidP="000A6651">
            <w:pPr>
              <w:jc w:val="center"/>
              <w:rPr>
                <w:sz w:val="20"/>
                <w:szCs w:val="20"/>
              </w:rPr>
            </w:pPr>
            <w:r w:rsidRPr="00625969">
              <w:rPr>
                <w:sz w:val="20"/>
                <w:szCs w:val="20"/>
              </w:rPr>
              <w:t>21(N=223)</w:t>
            </w:r>
          </w:p>
        </w:tc>
        <w:tc>
          <w:tcPr>
            <w:tcW w:w="1701" w:type="dxa"/>
            <w:tcBorders>
              <w:top w:val="single" w:sz="4" w:space="0" w:color="auto"/>
              <w:left w:val="single" w:sz="4" w:space="0" w:color="auto"/>
              <w:bottom w:val="single" w:sz="4" w:space="0" w:color="auto"/>
              <w:right w:val="single" w:sz="4" w:space="0" w:color="auto"/>
            </w:tcBorders>
          </w:tcPr>
          <w:p w:rsidR="00E07ECC" w:rsidRPr="00625969" w:rsidRDefault="00E07ECC" w:rsidP="000A6651">
            <w:pPr>
              <w:jc w:val="center"/>
              <w:rPr>
                <w:sz w:val="20"/>
                <w:szCs w:val="20"/>
              </w:rPr>
            </w:pPr>
            <w:r w:rsidRPr="00625969">
              <w:rPr>
                <w:sz w:val="20"/>
                <w:szCs w:val="20"/>
              </w:rPr>
              <w:t>NC</w:t>
            </w:r>
          </w:p>
          <w:p w:rsidR="00E07ECC" w:rsidRPr="00625969" w:rsidRDefault="00E07ECC" w:rsidP="000A6651">
            <w:pPr>
              <w:jc w:val="center"/>
              <w:rPr>
                <w:sz w:val="20"/>
                <w:szCs w:val="20"/>
              </w:rPr>
            </w:pPr>
            <w:r w:rsidRPr="00625969">
              <w:rPr>
                <w:sz w:val="20"/>
                <w:szCs w:val="20"/>
              </w:rPr>
              <w:t>24</w:t>
            </w:r>
            <w:r w:rsidR="003C2B8A">
              <w:rPr>
                <w:sz w:val="20"/>
                <w:szCs w:val="20"/>
              </w:rPr>
              <w:t xml:space="preserve"> </w:t>
            </w:r>
            <w:r w:rsidRPr="00625969">
              <w:rPr>
                <w:sz w:val="20"/>
                <w:szCs w:val="20"/>
              </w:rPr>
              <w:t>(N=233)</w:t>
            </w:r>
          </w:p>
        </w:tc>
        <w:tc>
          <w:tcPr>
            <w:tcW w:w="1559" w:type="dxa"/>
            <w:tcBorders>
              <w:top w:val="single" w:sz="4" w:space="0" w:color="auto"/>
              <w:left w:val="single" w:sz="4" w:space="0" w:color="auto"/>
              <w:bottom w:val="single" w:sz="4" w:space="0" w:color="auto"/>
              <w:right w:val="single" w:sz="4" w:space="0" w:color="auto"/>
            </w:tcBorders>
          </w:tcPr>
          <w:p w:rsidR="00E07ECC" w:rsidRPr="00625969" w:rsidRDefault="00E07ECC" w:rsidP="000A6651">
            <w:pPr>
              <w:jc w:val="center"/>
              <w:rPr>
                <w:sz w:val="20"/>
                <w:szCs w:val="20"/>
              </w:rPr>
            </w:pPr>
          </w:p>
        </w:tc>
        <w:tc>
          <w:tcPr>
            <w:tcW w:w="1502" w:type="dxa"/>
            <w:tcBorders>
              <w:top w:val="single" w:sz="4" w:space="0" w:color="auto"/>
              <w:left w:val="single" w:sz="4" w:space="0" w:color="auto"/>
              <w:bottom w:val="single" w:sz="4" w:space="0" w:color="auto"/>
              <w:right w:val="single" w:sz="4" w:space="0" w:color="auto"/>
            </w:tcBorders>
          </w:tcPr>
          <w:p w:rsidR="00E07ECC" w:rsidRPr="00625969" w:rsidRDefault="00E07ECC" w:rsidP="000A6651">
            <w:pPr>
              <w:jc w:val="center"/>
              <w:rPr>
                <w:sz w:val="20"/>
                <w:szCs w:val="20"/>
              </w:rPr>
            </w:pPr>
            <w:r w:rsidRPr="00625969">
              <w:rPr>
                <w:sz w:val="20"/>
                <w:szCs w:val="20"/>
              </w:rPr>
              <w:t>0.94</w:t>
            </w:r>
            <w:r w:rsidRPr="00625969">
              <w:rPr>
                <w:sz w:val="20"/>
                <w:szCs w:val="20"/>
                <w:vertAlign w:val="superscript"/>
              </w:rPr>
              <w:t xml:space="preserve"> e</w:t>
            </w:r>
          </w:p>
          <w:p w:rsidR="00E07ECC" w:rsidRPr="00625969" w:rsidRDefault="00E07ECC" w:rsidP="000A6651">
            <w:pPr>
              <w:jc w:val="center"/>
              <w:rPr>
                <w:sz w:val="20"/>
                <w:szCs w:val="20"/>
                <w:vertAlign w:val="superscript"/>
              </w:rPr>
            </w:pPr>
            <w:r w:rsidRPr="00625969">
              <w:rPr>
                <w:sz w:val="20"/>
                <w:szCs w:val="20"/>
              </w:rPr>
              <w:t>(0.52, 1.70)</w:t>
            </w:r>
          </w:p>
        </w:tc>
      </w:tr>
      <w:tr w:rsidR="00E07ECC" w:rsidRPr="00C456FE" w:rsidTr="000A6651">
        <w:tc>
          <w:tcPr>
            <w:tcW w:w="0" w:type="auto"/>
            <w:tcBorders>
              <w:top w:val="single" w:sz="4" w:space="0" w:color="auto"/>
              <w:left w:val="single" w:sz="4" w:space="0" w:color="auto"/>
              <w:bottom w:val="single" w:sz="4" w:space="0" w:color="auto"/>
              <w:right w:val="single" w:sz="4" w:space="0" w:color="auto"/>
            </w:tcBorders>
            <w:hideMark/>
          </w:tcPr>
          <w:p w:rsidR="00E07ECC" w:rsidRPr="00625969" w:rsidRDefault="00E07ECC" w:rsidP="000A6651">
            <w:pPr>
              <w:rPr>
                <w:sz w:val="20"/>
                <w:szCs w:val="20"/>
              </w:rPr>
            </w:pPr>
            <w:r w:rsidRPr="00625969">
              <w:rPr>
                <w:sz w:val="20"/>
                <w:szCs w:val="20"/>
              </w:rPr>
              <w:t>ITT pop</w:t>
            </w:r>
          </w:p>
        </w:tc>
        <w:tc>
          <w:tcPr>
            <w:tcW w:w="0" w:type="auto"/>
            <w:tcBorders>
              <w:top w:val="single" w:sz="4" w:space="0" w:color="auto"/>
              <w:left w:val="single" w:sz="4" w:space="0" w:color="auto"/>
              <w:bottom w:val="single" w:sz="4" w:space="0" w:color="auto"/>
              <w:right w:val="single" w:sz="4" w:space="0" w:color="auto"/>
            </w:tcBorders>
            <w:hideMark/>
          </w:tcPr>
          <w:p w:rsidR="00E07ECC" w:rsidRPr="00625969" w:rsidRDefault="00E07ECC" w:rsidP="000A6651">
            <w:pPr>
              <w:rPr>
                <w:sz w:val="20"/>
                <w:szCs w:val="20"/>
              </w:rPr>
            </w:pPr>
            <w:r w:rsidRPr="00625969">
              <w:rPr>
                <w:sz w:val="20"/>
                <w:szCs w:val="20"/>
              </w:rPr>
              <w:t>Median Time (days) to Drop Out Due to an AE</w:t>
            </w:r>
          </w:p>
        </w:tc>
        <w:tc>
          <w:tcPr>
            <w:tcW w:w="1428" w:type="dxa"/>
            <w:tcBorders>
              <w:top w:val="single" w:sz="4" w:space="0" w:color="auto"/>
              <w:left w:val="single" w:sz="4" w:space="0" w:color="auto"/>
              <w:bottom w:val="single" w:sz="4" w:space="0" w:color="auto"/>
              <w:right w:val="single" w:sz="4" w:space="0" w:color="auto"/>
            </w:tcBorders>
            <w:hideMark/>
          </w:tcPr>
          <w:p w:rsidR="00E07ECC" w:rsidRPr="00625969" w:rsidRDefault="00E07ECC" w:rsidP="000A6651">
            <w:pPr>
              <w:jc w:val="center"/>
              <w:rPr>
                <w:sz w:val="20"/>
                <w:szCs w:val="20"/>
              </w:rPr>
            </w:pPr>
            <w:r w:rsidRPr="00625969">
              <w:rPr>
                <w:sz w:val="20"/>
                <w:szCs w:val="20"/>
              </w:rPr>
              <w:t>NC</w:t>
            </w:r>
          </w:p>
          <w:p w:rsidR="00E07ECC" w:rsidRPr="00625969" w:rsidRDefault="00E07ECC" w:rsidP="000A6651">
            <w:pPr>
              <w:jc w:val="center"/>
              <w:rPr>
                <w:sz w:val="20"/>
                <w:szCs w:val="20"/>
              </w:rPr>
            </w:pPr>
            <w:r w:rsidRPr="00625969">
              <w:rPr>
                <w:sz w:val="20"/>
                <w:szCs w:val="20"/>
              </w:rPr>
              <w:t>31 (N=281)</w:t>
            </w:r>
          </w:p>
        </w:tc>
        <w:tc>
          <w:tcPr>
            <w:tcW w:w="1701" w:type="dxa"/>
            <w:tcBorders>
              <w:top w:val="single" w:sz="4" w:space="0" w:color="auto"/>
              <w:left w:val="single" w:sz="4" w:space="0" w:color="auto"/>
              <w:bottom w:val="single" w:sz="4" w:space="0" w:color="auto"/>
              <w:right w:val="single" w:sz="4" w:space="0" w:color="auto"/>
            </w:tcBorders>
            <w:hideMark/>
          </w:tcPr>
          <w:p w:rsidR="00E07ECC" w:rsidRPr="00625969" w:rsidRDefault="00E07ECC" w:rsidP="000A6651">
            <w:pPr>
              <w:jc w:val="center"/>
              <w:rPr>
                <w:sz w:val="20"/>
                <w:szCs w:val="20"/>
              </w:rPr>
            </w:pPr>
            <w:r w:rsidRPr="00625969">
              <w:rPr>
                <w:sz w:val="20"/>
                <w:szCs w:val="20"/>
              </w:rPr>
              <w:t>NC</w:t>
            </w:r>
          </w:p>
          <w:p w:rsidR="00E07ECC" w:rsidRPr="00625969" w:rsidRDefault="00E07ECC" w:rsidP="000A6651">
            <w:pPr>
              <w:jc w:val="center"/>
              <w:rPr>
                <w:sz w:val="20"/>
                <w:szCs w:val="20"/>
              </w:rPr>
            </w:pPr>
            <w:r w:rsidRPr="00625969">
              <w:rPr>
                <w:sz w:val="20"/>
                <w:szCs w:val="20"/>
              </w:rPr>
              <w:t>35 (N=300)</w:t>
            </w:r>
          </w:p>
        </w:tc>
        <w:tc>
          <w:tcPr>
            <w:tcW w:w="1559" w:type="dxa"/>
            <w:tcBorders>
              <w:top w:val="single" w:sz="4" w:space="0" w:color="auto"/>
              <w:left w:val="single" w:sz="4" w:space="0" w:color="auto"/>
              <w:bottom w:val="single" w:sz="4" w:space="0" w:color="auto"/>
              <w:right w:val="single" w:sz="4" w:space="0" w:color="auto"/>
            </w:tcBorders>
            <w:hideMark/>
          </w:tcPr>
          <w:p w:rsidR="00E07ECC" w:rsidRPr="00625969" w:rsidRDefault="00E07ECC" w:rsidP="000A6651">
            <w:pPr>
              <w:jc w:val="center"/>
              <w:rPr>
                <w:sz w:val="20"/>
                <w:szCs w:val="20"/>
              </w:rPr>
            </w:pPr>
          </w:p>
        </w:tc>
        <w:tc>
          <w:tcPr>
            <w:tcW w:w="1502" w:type="dxa"/>
            <w:tcBorders>
              <w:top w:val="single" w:sz="4" w:space="0" w:color="auto"/>
              <w:left w:val="single" w:sz="4" w:space="0" w:color="auto"/>
              <w:bottom w:val="single" w:sz="4" w:space="0" w:color="auto"/>
              <w:right w:val="single" w:sz="4" w:space="0" w:color="auto"/>
            </w:tcBorders>
            <w:hideMark/>
          </w:tcPr>
          <w:p w:rsidR="00E07ECC" w:rsidRPr="00625969" w:rsidRDefault="00E07ECC" w:rsidP="000A6651">
            <w:pPr>
              <w:jc w:val="center"/>
              <w:rPr>
                <w:sz w:val="20"/>
                <w:szCs w:val="20"/>
              </w:rPr>
            </w:pPr>
            <w:r w:rsidRPr="00625969">
              <w:rPr>
                <w:sz w:val="20"/>
                <w:szCs w:val="20"/>
              </w:rPr>
              <w:t>1.01</w:t>
            </w:r>
            <w:r w:rsidRPr="00625969">
              <w:rPr>
                <w:sz w:val="20"/>
                <w:szCs w:val="20"/>
                <w:vertAlign w:val="superscript"/>
              </w:rPr>
              <w:t xml:space="preserve"> e</w:t>
            </w:r>
          </w:p>
          <w:p w:rsidR="00E07ECC" w:rsidRPr="00625969" w:rsidRDefault="00E07ECC" w:rsidP="000A6651">
            <w:pPr>
              <w:jc w:val="center"/>
              <w:rPr>
                <w:sz w:val="20"/>
                <w:szCs w:val="20"/>
                <w:vertAlign w:val="superscript"/>
              </w:rPr>
            </w:pPr>
            <w:r w:rsidRPr="00625969">
              <w:rPr>
                <w:sz w:val="20"/>
                <w:szCs w:val="20"/>
              </w:rPr>
              <w:t>(0.62, 1.65)</w:t>
            </w:r>
          </w:p>
        </w:tc>
      </w:tr>
      <w:tr w:rsidR="00E07ECC" w:rsidRPr="00C456FE" w:rsidTr="000A6651">
        <w:tc>
          <w:tcPr>
            <w:tcW w:w="0" w:type="auto"/>
            <w:tcBorders>
              <w:top w:val="single" w:sz="4" w:space="0" w:color="auto"/>
              <w:left w:val="single" w:sz="4" w:space="0" w:color="auto"/>
              <w:bottom w:val="single" w:sz="4" w:space="0" w:color="auto"/>
              <w:right w:val="single" w:sz="4" w:space="0" w:color="auto"/>
            </w:tcBorders>
          </w:tcPr>
          <w:p w:rsidR="00E07ECC" w:rsidRPr="00625969" w:rsidRDefault="00E07ECC" w:rsidP="000A6651">
            <w:pPr>
              <w:rPr>
                <w:sz w:val="20"/>
                <w:szCs w:val="20"/>
              </w:rPr>
            </w:pPr>
            <w:r w:rsidRPr="00625969">
              <w:rPr>
                <w:sz w:val="20"/>
                <w:szCs w:val="20"/>
              </w:rPr>
              <w:t>PP pop</w:t>
            </w:r>
          </w:p>
        </w:tc>
        <w:tc>
          <w:tcPr>
            <w:tcW w:w="0" w:type="auto"/>
            <w:tcBorders>
              <w:top w:val="single" w:sz="4" w:space="0" w:color="auto"/>
              <w:left w:val="single" w:sz="4" w:space="0" w:color="auto"/>
              <w:bottom w:val="single" w:sz="4" w:space="0" w:color="auto"/>
              <w:right w:val="single" w:sz="4" w:space="0" w:color="auto"/>
            </w:tcBorders>
          </w:tcPr>
          <w:p w:rsidR="00E07ECC" w:rsidRPr="00625969" w:rsidRDefault="00E07ECC" w:rsidP="000A6651">
            <w:pPr>
              <w:rPr>
                <w:sz w:val="20"/>
                <w:szCs w:val="20"/>
              </w:rPr>
            </w:pPr>
            <w:r w:rsidRPr="00625969">
              <w:rPr>
                <w:sz w:val="20"/>
                <w:szCs w:val="20"/>
              </w:rPr>
              <w:t xml:space="preserve">Median Time (Days)to 6-Months Seizure Freedom </w:t>
            </w:r>
          </w:p>
        </w:tc>
        <w:tc>
          <w:tcPr>
            <w:tcW w:w="1428" w:type="dxa"/>
            <w:tcBorders>
              <w:top w:val="single" w:sz="4" w:space="0" w:color="auto"/>
              <w:left w:val="single" w:sz="4" w:space="0" w:color="auto"/>
              <w:bottom w:val="single" w:sz="4" w:space="0" w:color="auto"/>
              <w:right w:val="single" w:sz="4" w:space="0" w:color="auto"/>
            </w:tcBorders>
          </w:tcPr>
          <w:p w:rsidR="00E07ECC" w:rsidRPr="00625969" w:rsidRDefault="00E07ECC" w:rsidP="000A6651">
            <w:pPr>
              <w:jc w:val="center"/>
              <w:rPr>
                <w:sz w:val="20"/>
                <w:szCs w:val="20"/>
              </w:rPr>
            </w:pPr>
            <w:r w:rsidRPr="00625969">
              <w:rPr>
                <w:sz w:val="20"/>
                <w:szCs w:val="20"/>
              </w:rPr>
              <w:t>204</w:t>
            </w:r>
          </w:p>
          <w:p w:rsidR="00E07ECC" w:rsidRPr="00625969" w:rsidRDefault="00E07ECC" w:rsidP="000A6651">
            <w:pPr>
              <w:jc w:val="center"/>
              <w:rPr>
                <w:sz w:val="20"/>
                <w:szCs w:val="20"/>
              </w:rPr>
            </w:pPr>
            <w:r w:rsidRPr="00625969">
              <w:rPr>
                <w:sz w:val="20"/>
                <w:szCs w:val="20"/>
              </w:rPr>
              <w:t>177 (N=223)</w:t>
            </w:r>
          </w:p>
        </w:tc>
        <w:tc>
          <w:tcPr>
            <w:tcW w:w="1701" w:type="dxa"/>
            <w:tcBorders>
              <w:top w:val="single" w:sz="4" w:space="0" w:color="auto"/>
              <w:left w:val="single" w:sz="4" w:space="0" w:color="auto"/>
              <w:bottom w:val="single" w:sz="4" w:space="0" w:color="auto"/>
              <w:right w:val="single" w:sz="4" w:space="0" w:color="auto"/>
            </w:tcBorders>
          </w:tcPr>
          <w:p w:rsidR="00E07ECC" w:rsidRPr="00625969" w:rsidRDefault="00E07ECC" w:rsidP="000A6651">
            <w:pPr>
              <w:jc w:val="center"/>
              <w:rPr>
                <w:sz w:val="20"/>
                <w:szCs w:val="20"/>
              </w:rPr>
            </w:pPr>
            <w:r w:rsidRPr="00625969">
              <w:rPr>
                <w:sz w:val="20"/>
                <w:szCs w:val="20"/>
              </w:rPr>
              <w:t>204</w:t>
            </w:r>
          </w:p>
          <w:p w:rsidR="00E07ECC" w:rsidRPr="00625969" w:rsidRDefault="00E07ECC" w:rsidP="000A6651">
            <w:pPr>
              <w:jc w:val="center"/>
              <w:rPr>
                <w:sz w:val="20"/>
                <w:szCs w:val="20"/>
              </w:rPr>
            </w:pPr>
            <w:r w:rsidRPr="00625969">
              <w:rPr>
                <w:sz w:val="20"/>
                <w:szCs w:val="20"/>
              </w:rPr>
              <w:t>195 (N=233)</w:t>
            </w:r>
          </w:p>
        </w:tc>
        <w:tc>
          <w:tcPr>
            <w:tcW w:w="1559" w:type="dxa"/>
            <w:tcBorders>
              <w:top w:val="single" w:sz="4" w:space="0" w:color="auto"/>
              <w:left w:val="single" w:sz="4" w:space="0" w:color="auto"/>
              <w:bottom w:val="single" w:sz="4" w:space="0" w:color="auto"/>
              <w:right w:val="single" w:sz="4" w:space="0" w:color="auto"/>
            </w:tcBorders>
          </w:tcPr>
          <w:p w:rsidR="00E07ECC" w:rsidRPr="00625969" w:rsidRDefault="00E07ECC" w:rsidP="000A6651">
            <w:pPr>
              <w:jc w:val="center"/>
              <w:rPr>
                <w:sz w:val="20"/>
                <w:szCs w:val="20"/>
              </w:rPr>
            </w:pPr>
          </w:p>
        </w:tc>
        <w:tc>
          <w:tcPr>
            <w:tcW w:w="1502" w:type="dxa"/>
            <w:tcBorders>
              <w:top w:val="single" w:sz="4" w:space="0" w:color="auto"/>
              <w:left w:val="single" w:sz="4" w:space="0" w:color="auto"/>
              <w:bottom w:val="single" w:sz="4" w:space="0" w:color="auto"/>
              <w:right w:val="single" w:sz="4" w:space="0" w:color="auto"/>
            </w:tcBorders>
          </w:tcPr>
          <w:p w:rsidR="00E07ECC" w:rsidRPr="00625969" w:rsidRDefault="00E07ECC" w:rsidP="000A6651">
            <w:pPr>
              <w:jc w:val="center"/>
              <w:rPr>
                <w:sz w:val="20"/>
                <w:szCs w:val="20"/>
                <w:vertAlign w:val="superscript"/>
              </w:rPr>
            </w:pPr>
            <w:r w:rsidRPr="00625969">
              <w:rPr>
                <w:sz w:val="20"/>
                <w:szCs w:val="20"/>
              </w:rPr>
              <w:t>0.92</w:t>
            </w:r>
            <w:r w:rsidRPr="00625969">
              <w:rPr>
                <w:sz w:val="20"/>
                <w:szCs w:val="20"/>
                <w:vertAlign w:val="superscript"/>
              </w:rPr>
              <w:t>e</w:t>
            </w:r>
          </w:p>
          <w:p w:rsidR="00E07ECC" w:rsidRPr="00625969" w:rsidRDefault="00E07ECC" w:rsidP="000A6651">
            <w:pPr>
              <w:jc w:val="center"/>
              <w:rPr>
                <w:sz w:val="20"/>
                <w:szCs w:val="20"/>
              </w:rPr>
            </w:pPr>
            <w:r w:rsidRPr="00625969">
              <w:rPr>
                <w:sz w:val="20"/>
                <w:szCs w:val="20"/>
              </w:rPr>
              <w:t>(0.75, 1.14)</w:t>
            </w:r>
          </w:p>
        </w:tc>
      </w:tr>
      <w:tr w:rsidR="00E07ECC" w:rsidRPr="00C456FE" w:rsidTr="000A6651">
        <w:tc>
          <w:tcPr>
            <w:tcW w:w="0" w:type="auto"/>
            <w:tcBorders>
              <w:top w:val="single" w:sz="4" w:space="0" w:color="auto"/>
              <w:left w:val="single" w:sz="4" w:space="0" w:color="auto"/>
              <w:bottom w:val="single" w:sz="4" w:space="0" w:color="auto"/>
              <w:right w:val="single" w:sz="4" w:space="0" w:color="auto"/>
            </w:tcBorders>
          </w:tcPr>
          <w:p w:rsidR="00E07ECC" w:rsidRPr="00625969" w:rsidRDefault="00E07ECC" w:rsidP="000A6651">
            <w:pPr>
              <w:rPr>
                <w:sz w:val="20"/>
                <w:szCs w:val="20"/>
              </w:rPr>
            </w:pPr>
            <w:r w:rsidRPr="00625969">
              <w:rPr>
                <w:sz w:val="20"/>
                <w:szCs w:val="20"/>
              </w:rPr>
              <w:t>ITT pop</w:t>
            </w:r>
          </w:p>
        </w:tc>
        <w:tc>
          <w:tcPr>
            <w:tcW w:w="0" w:type="auto"/>
            <w:tcBorders>
              <w:top w:val="single" w:sz="4" w:space="0" w:color="auto"/>
              <w:left w:val="single" w:sz="4" w:space="0" w:color="auto"/>
              <w:bottom w:val="single" w:sz="4" w:space="0" w:color="auto"/>
              <w:right w:val="single" w:sz="4" w:space="0" w:color="auto"/>
            </w:tcBorders>
          </w:tcPr>
          <w:p w:rsidR="00E07ECC" w:rsidRPr="00625969" w:rsidRDefault="00E07ECC" w:rsidP="000A6651">
            <w:pPr>
              <w:rPr>
                <w:sz w:val="20"/>
                <w:szCs w:val="20"/>
              </w:rPr>
            </w:pPr>
            <w:r w:rsidRPr="00625969">
              <w:rPr>
                <w:sz w:val="20"/>
                <w:szCs w:val="20"/>
              </w:rPr>
              <w:t>Median Time (Days)to 6-Months Seizure Freedom</w:t>
            </w:r>
          </w:p>
        </w:tc>
        <w:tc>
          <w:tcPr>
            <w:tcW w:w="1428" w:type="dxa"/>
            <w:tcBorders>
              <w:top w:val="single" w:sz="4" w:space="0" w:color="auto"/>
              <w:left w:val="single" w:sz="4" w:space="0" w:color="auto"/>
              <w:bottom w:val="single" w:sz="4" w:space="0" w:color="auto"/>
              <w:right w:val="single" w:sz="4" w:space="0" w:color="auto"/>
            </w:tcBorders>
          </w:tcPr>
          <w:p w:rsidR="00E07ECC" w:rsidRPr="00625969" w:rsidRDefault="00E07ECC" w:rsidP="000A6651">
            <w:pPr>
              <w:jc w:val="center"/>
              <w:rPr>
                <w:sz w:val="20"/>
                <w:szCs w:val="20"/>
              </w:rPr>
            </w:pPr>
            <w:r w:rsidRPr="00625969">
              <w:rPr>
                <w:sz w:val="20"/>
                <w:szCs w:val="20"/>
              </w:rPr>
              <w:t>205</w:t>
            </w:r>
          </w:p>
          <w:p w:rsidR="00E07ECC" w:rsidRPr="00625969" w:rsidRDefault="00E07ECC" w:rsidP="000A6651">
            <w:pPr>
              <w:jc w:val="center"/>
              <w:rPr>
                <w:sz w:val="20"/>
                <w:szCs w:val="20"/>
              </w:rPr>
            </w:pPr>
            <w:r w:rsidRPr="00625969">
              <w:rPr>
                <w:sz w:val="20"/>
                <w:szCs w:val="20"/>
              </w:rPr>
              <w:t>195 (N=281)</w:t>
            </w:r>
          </w:p>
        </w:tc>
        <w:tc>
          <w:tcPr>
            <w:tcW w:w="1701" w:type="dxa"/>
            <w:tcBorders>
              <w:top w:val="single" w:sz="4" w:space="0" w:color="auto"/>
              <w:left w:val="single" w:sz="4" w:space="0" w:color="auto"/>
              <w:bottom w:val="single" w:sz="4" w:space="0" w:color="auto"/>
              <w:right w:val="single" w:sz="4" w:space="0" w:color="auto"/>
            </w:tcBorders>
          </w:tcPr>
          <w:p w:rsidR="00E07ECC" w:rsidRPr="00625969" w:rsidRDefault="00E07ECC" w:rsidP="000A6651">
            <w:pPr>
              <w:jc w:val="center"/>
              <w:rPr>
                <w:sz w:val="20"/>
                <w:szCs w:val="20"/>
              </w:rPr>
            </w:pPr>
            <w:r w:rsidRPr="00625969">
              <w:rPr>
                <w:sz w:val="20"/>
                <w:szCs w:val="20"/>
              </w:rPr>
              <w:t>204</w:t>
            </w:r>
          </w:p>
          <w:p w:rsidR="00E07ECC" w:rsidRPr="00625969" w:rsidRDefault="00E07ECC" w:rsidP="000A6651">
            <w:pPr>
              <w:jc w:val="center"/>
              <w:rPr>
                <w:sz w:val="20"/>
                <w:szCs w:val="20"/>
              </w:rPr>
            </w:pPr>
            <w:r w:rsidRPr="00625969">
              <w:rPr>
                <w:sz w:val="20"/>
                <w:szCs w:val="20"/>
              </w:rPr>
              <w:t>224 (N=300)</w:t>
            </w:r>
          </w:p>
        </w:tc>
        <w:tc>
          <w:tcPr>
            <w:tcW w:w="1559" w:type="dxa"/>
            <w:tcBorders>
              <w:top w:val="single" w:sz="4" w:space="0" w:color="auto"/>
              <w:left w:val="single" w:sz="4" w:space="0" w:color="auto"/>
              <w:bottom w:val="single" w:sz="4" w:space="0" w:color="auto"/>
              <w:right w:val="single" w:sz="4" w:space="0" w:color="auto"/>
            </w:tcBorders>
          </w:tcPr>
          <w:p w:rsidR="00E07ECC" w:rsidRPr="00625969" w:rsidRDefault="00E07ECC" w:rsidP="000A6651">
            <w:pPr>
              <w:jc w:val="center"/>
              <w:rPr>
                <w:sz w:val="20"/>
                <w:szCs w:val="20"/>
              </w:rPr>
            </w:pPr>
          </w:p>
        </w:tc>
        <w:tc>
          <w:tcPr>
            <w:tcW w:w="1502" w:type="dxa"/>
            <w:tcBorders>
              <w:top w:val="single" w:sz="4" w:space="0" w:color="auto"/>
              <w:left w:val="single" w:sz="4" w:space="0" w:color="auto"/>
              <w:bottom w:val="single" w:sz="4" w:space="0" w:color="auto"/>
              <w:right w:val="single" w:sz="4" w:space="0" w:color="auto"/>
            </w:tcBorders>
          </w:tcPr>
          <w:p w:rsidR="00E07ECC" w:rsidRPr="00625969" w:rsidRDefault="00E07ECC" w:rsidP="000A6651">
            <w:pPr>
              <w:jc w:val="center"/>
              <w:rPr>
                <w:sz w:val="20"/>
                <w:szCs w:val="20"/>
                <w:vertAlign w:val="superscript"/>
              </w:rPr>
            </w:pPr>
            <w:r w:rsidRPr="00625969">
              <w:rPr>
                <w:sz w:val="20"/>
                <w:szCs w:val="20"/>
              </w:rPr>
              <w:t>0.91</w:t>
            </w:r>
            <w:r w:rsidRPr="00625969">
              <w:rPr>
                <w:sz w:val="20"/>
                <w:szCs w:val="20"/>
                <w:vertAlign w:val="superscript"/>
              </w:rPr>
              <w:t>e</w:t>
            </w:r>
          </w:p>
          <w:p w:rsidR="00E07ECC" w:rsidRPr="00625969" w:rsidRDefault="00E07ECC" w:rsidP="000A6651">
            <w:pPr>
              <w:jc w:val="center"/>
              <w:rPr>
                <w:sz w:val="20"/>
                <w:szCs w:val="20"/>
              </w:rPr>
            </w:pPr>
            <w:r w:rsidRPr="00625969">
              <w:rPr>
                <w:sz w:val="20"/>
                <w:szCs w:val="20"/>
              </w:rPr>
              <w:t>(0.75, 1.11)</w:t>
            </w:r>
          </w:p>
        </w:tc>
      </w:tr>
      <w:tr w:rsidR="00E07ECC" w:rsidRPr="00C456FE" w:rsidTr="000A6651">
        <w:tc>
          <w:tcPr>
            <w:tcW w:w="0" w:type="auto"/>
            <w:tcBorders>
              <w:top w:val="single" w:sz="4" w:space="0" w:color="auto"/>
              <w:left w:val="single" w:sz="4" w:space="0" w:color="auto"/>
              <w:bottom w:val="single" w:sz="4" w:space="0" w:color="auto"/>
              <w:right w:val="single" w:sz="4" w:space="0" w:color="auto"/>
            </w:tcBorders>
          </w:tcPr>
          <w:p w:rsidR="00E07ECC" w:rsidRPr="00625969" w:rsidRDefault="00E07ECC" w:rsidP="000A6651">
            <w:pPr>
              <w:rPr>
                <w:sz w:val="20"/>
                <w:szCs w:val="20"/>
              </w:rPr>
            </w:pPr>
            <w:r w:rsidRPr="00625969">
              <w:rPr>
                <w:sz w:val="20"/>
                <w:szCs w:val="20"/>
              </w:rPr>
              <w:t>PP pop</w:t>
            </w:r>
          </w:p>
        </w:tc>
        <w:tc>
          <w:tcPr>
            <w:tcW w:w="0" w:type="auto"/>
            <w:tcBorders>
              <w:top w:val="single" w:sz="4" w:space="0" w:color="auto"/>
              <w:left w:val="single" w:sz="4" w:space="0" w:color="auto"/>
              <w:bottom w:val="single" w:sz="4" w:space="0" w:color="auto"/>
              <w:right w:val="single" w:sz="4" w:space="0" w:color="auto"/>
            </w:tcBorders>
          </w:tcPr>
          <w:p w:rsidR="00E07ECC" w:rsidRPr="00625969" w:rsidRDefault="00E07ECC" w:rsidP="000A6651">
            <w:pPr>
              <w:rPr>
                <w:sz w:val="20"/>
                <w:szCs w:val="20"/>
              </w:rPr>
            </w:pPr>
            <w:r w:rsidRPr="00625969">
              <w:rPr>
                <w:sz w:val="20"/>
                <w:szCs w:val="20"/>
              </w:rPr>
              <w:t>Median Time (Days)to 12-Months Seizure Freedom</w:t>
            </w:r>
          </w:p>
        </w:tc>
        <w:tc>
          <w:tcPr>
            <w:tcW w:w="1428" w:type="dxa"/>
            <w:tcBorders>
              <w:top w:val="single" w:sz="4" w:space="0" w:color="auto"/>
              <w:left w:val="single" w:sz="4" w:space="0" w:color="auto"/>
              <w:bottom w:val="single" w:sz="4" w:space="0" w:color="auto"/>
              <w:right w:val="single" w:sz="4" w:space="0" w:color="auto"/>
            </w:tcBorders>
          </w:tcPr>
          <w:p w:rsidR="00E07ECC" w:rsidRPr="00625969" w:rsidRDefault="00E07ECC" w:rsidP="000A6651">
            <w:pPr>
              <w:jc w:val="center"/>
              <w:rPr>
                <w:sz w:val="20"/>
                <w:szCs w:val="20"/>
              </w:rPr>
            </w:pPr>
            <w:r w:rsidRPr="00625969">
              <w:rPr>
                <w:sz w:val="20"/>
                <w:szCs w:val="20"/>
              </w:rPr>
              <w:t>381</w:t>
            </w:r>
          </w:p>
          <w:p w:rsidR="00E07ECC" w:rsidRPr="00625969" w:rsidRDefault="00E07ECC" w:rsidP="000A6651">
            <w:pPr>
              <w:jc w:val="center"/>
              <w:rPr>
                <w:sz w:val="20"/>
                <w:szCs w:val="20"/>
              </w:rPr>
            </w:pPr>
            <w:r w:rsidRPr="00625969">
              <w:rPr>
                <w:sz w:val="20"/>
                <w:szCs w:val="20"/>
              </w:rPr>
              <w:t>146 (N=216)</w:t>
            </w:r>
          </w:p>
        </w:tc>
        <w:tc>
          <w:tcPr>
            <w:tcW w:w="1701" w:type="dxa"/>
            <w:tcBorders>
              <w:top w:val="single" w:sz="4" w:space="0" w:color="auto"/>
              <w:left w:val="single" w:sz="4" w:space="0" w:color="auto"/>
              <w:bottom w:val="single" w:sz="4" w:space="0" w:color="auto"/>
              <w:right w:val="single" w:sz="4" w:space="0" w:color="auto"/>
            </w:tcBorders>
          </w:tcPr>
          <w:p w:rsidR="00E07ECC" w:rsidRPr="00625969" w:rsidRDefault="00E07ECC" w:rsidP="000A6651">
            <w:pPr>
              <w:jc w:val="center"/>
              <w:rPr>
                <w:sz w:val="20"/>
                <w:szCs w:val="20"/>
              </w:rPr>
            </w:pPr>
            <w:r w:rsidRPr="00625969">
              <w:rPr>
                <w:sz w:val="20"/>
                <w:szCs w:val="20"/>
              </w:rPr>
              <w:t>381</w:t>
            </w:r>
          </w:p>
          <w:p w:rsidR="00E07ECC" w:rsidRPr="00625969" w:rsidRDefault="00E07ECC" w:rsidP="000A6651">
            <w:pPr>
              <w:jc w:val="center"/>
              <w:rPr>
                <w:sz w:val="20"/>
                <w:szCs w:val="20"/>
              </w:rPr>
            </w:pPr>
            <w:r w:rsidRPr="00625969">
              <w:rPr>
                <w:sz w:val="20"/>
                <w:szCs w:val="20"/>
              </w:rPr>
              <w:t>171 (N=229)</w:t>
            </w:r>
          </w:p>
        </w:tc>
        <w:tc>
          <w:tcPr>
            <w:tcW w:w="1559" w:type="dxa"/>
            <w:tcBorders>
              <w:top w:val="single" w:sz="4" w:space="0" w:color="auto"/>
              <w:left w:val="single" w:sz="4" w:space="0" w:color="auto"/>
              <w:bottom w:val="single" w:sz="4" w:space="0" w:color="auto"/>
              <w:right w:val="single" w:sz="4" w:space="0" w:color="auto"/>
            </w:tcBorders>
          </w:tcPr>
          <w:p w:rsidR="00E07ECC" w:rsidRPr="00625969" w:rsidRDefault="00E07ECC" w:rsidP="000A6651">
            <w:pPr>
              <w:jc w:val="center"/>
              <w:rPr>
                <w:sz w:val="20"/>
                <w:szCs w:val="20"/>
              </w:rPr>
            </w:pPr>
          </w:p>
        </w:tc>
        <w:tc>
          <w:tcPr>
            <w:tcW w:w="1502" w:type="dxa"/>
            <w:tcBorders>
              <w:top w:val="single" w:sz="4" w:space="0" w:color="auto"/>
              <w:left w:val="single" w:sz="4" w:space="0" w:color="auto"/>
              <w:bottom w:val="single" w:sz="4" w:space="0" w:color="auto"/>
              <w:right w:val="single" w:sz="4" w:space="0" w:color="auto"/>
            </w:tcBorders>
          </w:tcPr>
          <w:p w:rsidR="00E07ECC" w:rsidRPr="00625969" w:rsidRDefault="00E07ECC" w:rsidP="000A6651">
            <w:pPr>
              <w:jc w:val="center"/>
              <w:rPr>
                <w:sz w:val="20"/>
                <w:szCs w:val="20"/>
                <w:vertAlign w:val="superscript"/>
              </w:rPr>
            </w:pPr>
            <w:r w:rsidRPr="00625969">
              <w:rPr>
                <w:sz w:val="20"/>
                <w:szCs w:val="20"/>
              </w:rPr>
              <w:t>0.88</w:t>
            </w:r>
            <w:r w:rsidRPr="00625969">
              <w:rPr>
                <w:sz w:val="20"/>
                <w:szCs w:val="20"/>
                <w:vertAlign w:val="superscript"/>
              </w:rPr>
              <w:t>e</w:t>
            </w:r>
          </w:p>
          <w:p w:rsidR="00E07ECC" w:rsidRPr="00625969" w:rsidRDefault="00E07ECC" w:rsidP="000A6651">
            <w:pPr>
              <w:jc w:val="center"/>
              <w:rPr>
                <w:sz w:val="20"/>
                <w:szCs w:val="20"/>
              </w:rPr>
            </w:pPr>
            <w:r w:rsidRPr="00625969">
              <w:rPr>
                <w:sz w:val="20"/>
                <w:szCs w:val="20"/>
              </w:rPr>
              <w:t>(0.70, 1.11)</w:t>
            </w:r>
          </w:p>
        </w:tc>
      </w:tr>
      <w:tr w:rsidR="00E07ECC" w:rsidRPr="00C456FE" w:rsidTr="000A6651">
        <w:tc>
          <w:tcPr>
            <w:tcW w:w="0" w:type="auto"/>
            <w:tcBorders>
              <w:top w:val="single" w:sz="4" w:space="0" w:color="auto"/>
              <w:left w:val="single" w:sz="4" w:space="0" w:color="auto"/>
              <w:bottom w:val="single" w:sz="4" w:space="0" w:color="auto"/>
              <w:right w:val="single" w:sz="4" w:space="0" w:color="auto"/>
            </w:tcBorders>
          </w:tcPr>
          <w:p w:rsidR="00E07ECC" w:rsidRPr="00625969" w:rsidRDefault="00E07ECC" w:rsidP="000A6651">
            <w:pPr>
              <w:rPr>
                <w:sz w:val="20"/>
                <w:szCs w:val="20"/>
              </w:rPr>
            </w:pPr>
            <w:r w:rsidRPr="00625969">
              <w:rPr>
                <w:sz w:val="20"/>
                <w:szCs w:val="20"/>
              </w:rPr>
              <w:t>ITT pop</w:t>
            </w:r>
          </w:p>
        </w:tc>
        <w:tc>
          <w:tcPr>
            <w:tcW w:w="0" w:type="auto"/>
            <w:tcBorders>
              <w:top w:val="single" w:sz="4" w:space="0" w:color="auto"/>
              <w:left w:val="single" w:sz="4" w:space="0" w:color="auto"/>
              <w:bottom w:val="single" w:sz="4" w:space="0" w:color="auto"/>
              <w:right w:val="single" w:sz="4" w:space="0" w:color="auto"/>
            </w:tcBorders>
          </w:tcPr>
          <w:p w:rsidR="00E07ECC" w:rsidRPr="00625969" w:rsidRDefault="00E07ECC" w:rsidP="000A6651">
            <w:pPr>
              <w:rPr>
                <w:sz w:val="20"/>
                <w:szCs w:val="20"/>
              </w:rPr>
            </w:pPr>
            <w:r w:rsidRPr="00625969">
              <w:rPr>
                <w:sz w:val="20"/>
                <w:szCs w:val="20"/>
              </w:rPr>
              <w:t>Median Time (Days)to 12-Months Seizure Freedom</w:t>
            </w:r>
          </w:p>
        </w:tc>
        <w:tc>
          <w:tcPr>
            <w:tcW w:w="1428" w:type="dxa"/>
            <w:tcBorders>
              <w:top w:val="single" w:sz="4" w:space="0" w:color="auto"/>
              <w:left w:val="single" w:sz="4" w:space="0" w:color="auto"/>
              <w:bottom w:val="single" w:sz="4" w:space="0" w:color="auto"/>
              <w:right w:val="single" w:sz="4" w:space="0" w:color="auto"/>
            </w:tcBorders>
          </w:tcPr>
          <w:p w:rsidR="00E07ECC" w:rsidRPr="00625969" w:rsidRDefault="00E07ECC" w:rsidP="000A6651">
            <w:pPr>
              <w:jc w:val="center"/>
              <w:rPr>
                <w:sz w:val="20"/>
                <w:szCs w:val="20"/>
              </w:rPr>
            </w:pPr>
            <w:r w:rsidRPr="00625969">
              <w:rPr>
                <w:sz w:val="20"/>
                <w:szCs w:val="20"/>
              </w:rPr>
              <w:t>382</w:t>
            </w:r>
          </w:p>
          <w:p w:rsidR="00E07ECC" w:rsidRPr="00625969" w:rsidRDefault="00E07ECC" w:rsidP="000A6651">
            <w:pPr>
              <w:jc w:val="center"/>
              <w:rPr>
                <w:sz w:val="20"/>
                <w:szCs w:val="20"/>
              </w:rPr>
            </w:pPr>
            <w:r w:rsidRPr="00625969">
              <w:rPr>
                <w:sz w:val="20"/>
                <w:szCs w:val="20"/>
              </w:rPr>
              <w:t>157 (N=281)</w:t>
            </w:r>
          </w:p>
        </w:tc>
        <w:tc>
          <w:tcPr>
            <w:tcW w:w="1701" w:type="dxa"/>
            <w:tcBorders>
              <w:top w:val="single" w:sz="4" w:space="0" w:color="auto"/>
              <w:left w:val="single" w:sz="4" w:space="0" w:color="auto"/>
              <w:bottom w:val="single" w:sz="4" w:space="0" w:color="auto"/>
              <w:right w:val="single" w:sz="4" w:space="0" w:color="auto"/>
            </w:tcBorders>
          </w:tcPr>
          <w:p w:rsidR="00E07ECC" w:rsidRPr="00625969" w:rsidRDefault="00E07ECC" w:rsidP="000A6651">
            <w:pPr>
              <w:jc w:val="center"/>
              <w:rPr>
                <w:sz w:val="20"/>
                <w:szCs w:val="20"/>
              </w:rPr>
            </w:pPr>
            <w:r w:rsidRPr="00625969">
              <w:rPr>
                <w:sz w:val="20"/>
                <w:szCs w:val="20"/>
              </w:rPr>
              <w:t>381</w:t>
            </w:r>
          </w:p>
          <w:p w:rsidR="00E07ECC" w:rsidRPr="00625969" w:rsidRDefault="00E07ECC" w:rsidP="000A6651">
            <w:pPr>
              <w:jc w:val="center"/>
              <w:rPr>
                <w:sz w:val="20"/>
                <w:szCs w:val="20"/>
              </w:rPr>
            </w:pPr>
            <w:r w:rsidRPr="00625969">
              <w:rPr>
                <w:sz w:val="20"/>
                <w:szCs w:val="20"/>
              </w:rPr>
              <w:t>187 (N=300)</w:t>
            </w:r>
          </w:p>
        </w:tc>
        <w:tc>
          <w:tcPr>
            <w:tcW w:w="1559" w:type="dxa"/>
            <w:tcBorders>
              <w:top w:val="single" w:sz="4" w:space="0" w:color="auto"/>
              <w:left w:val="single" w:sz="4" w:space="0" w:color="auto"/>
              <w:bottom w:val="single" w:sz="4" w:space="0" w:color="auto"/>
              <w:right w:val="single" w:sz="4" w:space="0" w:color="auto"/>
            </w:tcBorders>
          </w:tcPr>
          <w:p w:rsidR="00E07ECC" w:rsidRPr="00625969" w:rsidRDefault="00E07ECC" w:rsidP="000A6651">
            <w:pPr>
              <w:jc w:val="center"/>
              <w:rPr>
                <w:sz w:val="20"/>
                <w:szCs w:val="20"/>
              </w:rPr>
            </w:pPr>
          </w:p>
        </w:tc>
        <w:tc>
          <w:tcPr>
            <w:tcW w:w="1502" w:type="dxa"/>
            <w:tcBorders>
              <w:top w:val="single" w:sz="4" w:space="0" w:color="auto"/>
              <w:left w:val="single" w:sz="4" w:space="0" w:color="auto"/>
              <w:bottom w:val="single" w:sz="4" w:space="0" w:color="auto"/>
              <w:right w:val="single" w:sz="4" w:space="0" w:color="auto"/>
            </w:tcBorders>
          </w:tcPr>
          <w:p w:rsidR="00E07ECC" w:rsidRPr="00625969" w:rsidRDefault="00E07ECC" w:rsidP="000A6651">
            <w:pPr>
              <w:jc w:val="center"/>
              <w:rPr>
                <w:sz w:val="20"/>
                <w:szCs w:val="20"/>
              </w:rPr>
            </w:pPr>
            <w:r w:rsidRPr="00625969">
              <w:rPr>
                <w:sz w:val="20"/>
                <w:szCs w:val="20"/>
              </w:rPr>
              <w:t>0.83</w:t>
            </w:r>
          </w:p>
          <w:p w:rsidR="00E07ECC" w:rsidRPr="00625969" w:rsidRDefault="00E07ECC" w:rsidP="000A6651">
            <w:pPr>
              <w:jc w:val="center"/>
              <w:rPr>
                <w:sz w:val="20"/>
                <w:szCs w:val="20"/>
              </w:rPr>
            </w:pPr>
            <w:r w:rsidRPr="00625969">
              <w:rPr>
                <w:sz w:val="20"/>
                <w:szCs w:val="20"/>
              </w:rPr>
              <w:t>(0.67, 1.04)</w:t>
            </w:r>
          </w:p>
        </w:tc>
      </w:tr>
    </w:tbl>
    <w:p w:rsidR="00E07ECC" w:rsidRPr="00081C6D" w:rsidRDefault="00E07ECC" w:rsidP="00E07ECC">
      <w:pPr>
        <w:rPr>
          <w:sz w:val="18"/>
          <w:szCs w:val="18"/>
        </w:rPr>
      </w:pPr>
      <w:r w:rsidRPr="00081C6D">
        <w:rPr>
          <w:sz w:val="18"/>
          <w:szCs w:val="18"/>
          <w:vertAlign w:val="superscript"/>
        </w:rPr>
        <w:t>e</w:t>
      </w:r>
      <w:r w:rsidRPr="00081C6D">
        <w:rPr>
          <w:sz w:val="18"/>
          <w:szCs w:val="18"/>
        </w:rPr>
        <w:t xml:space="preserve"> Hazard Ratio (Zonisamide: Carbamazepine)</w:t>
      </w:r>
      <w:r w:rsidR="00625969" w:rsidRPr="00081C6D">
        <w:rPr>
          <w:sz w:val="18"/>
          <w:szCs w:val="18"/>
        </w:rPr>
        <w:t xml:space="preserve"> </w:t>
      </w:r>
      <w:r w:rsidRPr="00081C6D">
        <w:rPr>
          <w:sz w:val="18"/>
          <w:szCs w:val="18"/>
          <w:vertAlign w:val="superscript"/>
        </w:rPr>
        <w:t>f</w:t>
      </w:r>
      <w:r w:rsidRPr="00081C6D">
        <w:rPr>
          <w:sz w:val="18"/>
          <w:szCs w:val="18"/>
        </w:rPr>
        <w:t xml:space="preserve"> The calculated median is not reliable due to the last observation being an event, with a small number of events in total.</w:t>
      </w:r>
      <w:r w:rsidR="003C2B8A" w:rsidRPr="00081C6D">
        <w:rPr>
          <w:sz w:val="18"/>
          <w:szCs w:val="18"/>
        </w:rPr>
        <w:t xml:space="preserve"> </w:t>
      </w:r>
      <w:r w:rsidRPr="00081C6D">
        <w:rPr>
          <w:sz w:val="18"/>
          <w:szCs w:val="18"/>
        </w:rPr>
        <w:t xml:space="preserve">NC = Not calculable </w:t>
      </w:r>
      <w:r w:rsidR="00FD4F49">
        <w:rPr>
          <w:sz w:val="18"/>
          <w:szCs w:val="18"/>
        </w:rPr>
        <w:t>due to insufficient events.</w:t>
      </w:r>
    </w:p>
    <w:p w:rsidR="00E07ECC" w:rsidRDefault="00E07ECC" w:rsidP="00E07ECC">
      <w:pPr>
        <w:spacing w:after="60"/>
      </w:pPr>
      <w:r>
        <w:lastRenderedPageBreak/>
        <w:t xml:space="preserve">The sponsor did not declare a </w:t>
      </w:r>
      <w:r w:rsidRPr="00C649FC">
        <w:t xml:space="preserve">non inferiority margin </w:t>
      </w:r>
      <w:r>
        <w:t xml:space="preserve">for secondary variables. The Odds and Hazard ratios CIs are wide although they include 1. The </w:t>
      </w:r>
      <w:r w:rsidRPr="00224149">
        <w:t>Twelve-Month Seizure Freedom</w:t>
      </w:r>
      <w:r>
        <w:t xml:space="preserve"> (PP pop) is within the 12 % margin but it is exceeded in the ITT population.</w:t>
      </w:r>
    </w:p>
    <w:p w:rsidR="00E07ECC" w:rsidRPr="000C1144" w:rsidRDefault="00E07ECC" w:rsidP="00625969">
      <w:pPr>
        <w:pStyle w:val="Heading6"/>
        <w:numPr>
          <w:ilvl w:val="0"/>
          <w:numId w:val="0"/>
        </w:numPr>
      </w:pPr>
      <w:r w:rsidRPr="000C1144">
        <w:t>Aldenkamp–Baker Neuropsychological Assessment Scale</w:t>
      </w:r>
      <w:r>
        <w:t xml:space="preserve"> (see list of abbreviations)</w:t>
      </w:r>
    </w:p>
    <w:p w:rsidR="00E07ECC" w:rsidRDefault="00E07ECC" w:rsidP="00E07ECC">
      <w:pPr>
        <w:spacing w:after="60"/>
      </w:pPr>
      <w:r>
        <w:t>There were no clinical or statistically significant differences in ABNAS scores between the groups for any of the parameters.</w:t>
      </w:r>
    </w:p>
    <w:p w:rsidR="00E07ECC" w:rsidRPr="000C1144" w:rsidRDefault="00E07ECC" w:rsidP="00625969">
      <w:pPr>
        <w:pStyle w:val="Heading6"/>
        <w:numPr>
          <w:ilvl w:val="0"/>
          <w:numId w:val="0"/>
        </w:numPr>
      </w:pPr>
      <w:r w:rsidRPr="000C1144">
        <w:t>Bond–Lader Scale</w:t>
      </w:r>
    </w:p>
    <w:p w:rsidR="00E07ECC" w:rsidRPr="00501369" w:rsidRDefault="00E07ECC" w:rsidP="00E07ECC">
      <w:pPr>
        <w:spacing w:after="60"/>
      </w:pPr>
      <w:r>
        <w:t xml:space="preserve">For the ITT Population for OC and LOCF showed a statistically significant difference between the groups in favour of </w:t>
      </w:r>
      <w:r w:rsidRPr="00501369">
        <w:t xml:space="preserve">carbamazapine giving </w:t>
      </w:r>
      <w:r>
        <w:t>improvement</w:t>
      </w:r>
      <w:r w:rsidRPr="00501369">
        <w:t xml:space="preserve"> for dysphoria with zonisamide having little effect.</w:t>
      </w:r>
    </w:p>
    <w:p w:rsidR="00E07ECC" w:rsidRPr="000C1144" w:rsidRDefault="00E07ECC" w:rsidP="00625969">
      <w:pPr>
        <w:pStyle w:val="Heading6"/>
        <w:numPr>
          <w:ilvl w:val="0"/>
          <w:numId w:val="0"/>
        </w:numPr>
      </w:pPr>
      <w:r w:rsidRPr="000C1144">
        <w:t>Quality of Life in Epilepsy – Problems</w:t>
      </w:r>
    </w:p>
    <w:p w:rsidR="00E07ECC" w:rsidRDefault="00E07ECC" w:rsidP="00625969">
      <w:r w:rsidRPr="000C1144">
        <w:t>There was no statistically significant difference between the groups for overall score.</w:t>
      </w:r>
    </w:p>
    <w:p w:rsidR="00E07ECC" w:rsidRPr="000C1144" w:rsidRDefault="00E07ECC" w:rsidP="00625969">
      <w:pPr>
        <w:pStyle w:val="Heading6"/>
        <w:numPr>
          <w:ilvl w:val="0"/>
          <w:numId w:val="0"/>
        </w:numPr>
      </w:pPr>
      <w:r w:rsidRPr="000C1144">
        <w:t>Short Form 36 Health and Wellbeing questionnaire</w:t>
      </w:r>
    </w:p>
    <w:p w:rsidR="00E07ECC" w:rsidRDefault="00E07ECC" w:rsidP="00625969">
      <w:r>
        <w:t>There was no statistically significant difference between the groups for aggregate physical component score and aggregate mental component score, e</w:t>
      </w:r>
      <w:r w:rsidRPr="000C1144">
        <w:t>xcept for mental health at the FV/ETV (ZNS,</w:t>
      </w:r>
      <w:r>
        <w:t xml:space="preserve"> 0.54</w:t>
      </w:r>
      <w:r w:rsidR="000A6651">
        <w:t xml:space="preserve"> versus </w:t>
      </w:r>
      <w:r>
        <w:t>CBZ, 2.56; P = 0.0328).</w:t>
      </w:r>
    </w:p>
    <w:p w:rsidR="00E07ECC" w:rsidRPr="000C1144" w:rsidRDefault="00E07ECC" w:rsidP="00625969">
      <w:pPr>
        <w:pStyle w:val="Heading6"/>
        <w:numPr>
          <w:ilvl w:val="0"/>
          <w:numId w:val="0"/>
        </w:numPr>
      </w:pPr>
      <w:r w:rsidRPr="000C1144">
        <w:t>European Quality of Life Group 5-Dimension Self-Report Questionnaire</w:t>
      </w:r>
    </w:p>
    <w:p w:rsidR="00E07ECC" w:rsidRPr="00625969" w:rsidRDefault="00E07ECC" w:rsidP="00E07ECC">
      <w:pPr>
        <w:spacing w:after="60"/>
      </w:pPr>
      <w:r>
        <w:t>T</w:t>
      </w:r>
      <w:r w:rsidRPr="00625969">
        <w:t>here were no clinically significant differences in EQ-5D scores between the groups.</w:t>
      </w:r>
    </w:p>
    <w:p w:rsidR="00E07ECC" w:rsidRDefault="00E07ECC" w:rsidP="00FD4F49">
      <w:pPr>
        <w:pStyle w:val="TableTitle"/>
      </w:pPr>
      <w:bookmarkStart w:id="69" w:name="_Toc326646554"/>
      <w:r>
        <w:t xml:space="preserve">Table </w:t>
      </w:r>
      <w:r w:rsidR="00423552">
        <w:fldChar w:fldCharType="begin"/>
      </w:r>
      <w:r w:rsidR="00FC3F50">
        <w:instrText xml:space="preserve"> SEQ Table \* ARABIC </w:instrText>
      </w:r>
      <w:r w:rsidR="00423552">
        <w:fldChar w:fldCharType="separate"/>
      </w:r>
      <w:r w:rsidR="002E4F77">
        <w:rPr>
          <w:noProof/>
        </w:rPr>
        <w:t>9</w:t>
      </w:r>
      <w:r w:rsidR="00423552">
        <w:fldChar w:fldCharType="end"/>
      </w:r>
      <w:r w:rsidR="00625969">
        <w:t xml:space="preserve">. </w:t>
      </w:r>
      <w:r>
        <w:t>Dose at Which 6-Month Seizure Freedom was Attained: Per Protocol Population</w:t>
      </w:r>
      <w:bookmarkEnd w:id="69"/>
    </w:p>
    <w:tbl>
      <w:tblPr>
        <w:tblStyle w:val="TableGrid"/>
        <w:tblW w:w="0" w:type="auto"/>
        <w:tblLook w:val="04A0"/>
      </w:tblPr>
      <w:tblGrid>
        <w:gridCol w:w="3948"/>
        <w:gridCol w:w="1293"/>
        <w:gridCol w:w="1652"/>
      </w:tblGrid>
      <w:tr w:rsidR="00E07ECC" w:rsidRPr="00F37379" w:rsidTr="00FD4F49">
        <w:trPr>
          <w:tblHeader/>
        </w:trPr>
        <w:tc>
          <w:tcPr>
            <w:tcW w:w="0" w:type="auto"/>
            <w:shd w:val="clear" w:color="auto" w:fill="0070C0"/>
          </w:tcPr>
          <w:p w:rsidR="00E07ECC" w:rsidRPr="00625969" w:rsidRDefault="00E07ECC" w:rsidP="000A6651">
            <w:pPr>
              <w:rPr>
                <w:b/>
                <w:color w:val="FFFFFF" w:themeColor="background1"/>
                <w:sz w:val="20"/>
                <w:szCs w:val="20"/>
              </w:rPr>
            </w:pPr>
            <w:proofErr w:type="spellStart"/>
            <w:r w:rsidRPr="00625969">
              <w:rPr>
                <w:b/>
                <w:color w:val="FFFFFF" w:themeColor="background1"/>
                <w:sz w:val="20"/>
                <w:szCs w:val="20"/>
              </w:rPr>
              <w:t>Zonisamide</w:t>
            </w:r>
            <w:proofErr w:type="spellEnd"/>
            <w:r w:rsidRPr="00625969">
              <w:rPr>
                <w:b/>
                <w:color w:val="FFFFFF" w:themeColor="background1"/>
                <w:sz w:val="20"/>
                <w:szCs w:val="20"/>
              </w:rPr>
              <w:t xml:space="preserve"> / </w:t>
            </w:r>
            <w:proofErr w:type="spellStart"/>
            <w:r w:rsidRPr="00625969">
              <w:rPr>
                <w:b/>
                <w:color w:val="FFFFFF" w:themeColor="background1"/>
                <w:sz w:val="20"/>
                <w:szCs w:val="20"/>
              </w:rPr>
              <w:t>Carbamazepine</w:t>
            </w:r>
            <w:proofErr w:type="spellEnd"/>
            <w:r w:rsidRPr="00625969">
              <w:rPr>
                <w:b/>
                <w:color w:val="FFFFFF" w:themeColor="background1"/>
                <w:sz w:val="20"/>
                <w:szCs w:val="20"/>
              </w:rPr>
              <w:t xml:space="preserve"> Dose Level</w:t>
            </w:r>
          </w:p>
        </w:tc>
        <w:tc>
          <w:tcPr>
            <w:tcW w:w="0" w:type="auto"/>
            <w:shd w:val="clear" w:color="auto" w:fill="0070C0"/>
          </w:tcPr>
          <w:p w:rsidR="00E07ECC" w:rsidRPr="00625969" w:rsidRDefault="00E07ECC" w:rsidP="000A6651">
            <w:pPr>
              <w:jc w:val="center"/>
              <w:rPr>
                <w:b/>
                <w:color w:val="FFFFFF" w:themeColor="background1"/>
                <w:sz w:val="20"/>
                <w:szCs w:val="20"/>
              </w:rPr>
            </w:pPr>
            <w:r w:rsidRPr="00625969">
              <w:rPr>
                <w:b/>
                <w:color w:val="FFFFFF" w:themeColor="background1"/>
                <w:sz w:val="20"/>
                <w:szCs w:val="20"/>
              </w:rPr>
              <w:t>Zonisamide</w:t>
            </w:r>
          </w:p>
          <w:p w:rsidR="00E07ECC" w:rsidRPr="00625969" w:rsidRDefault="00E07ECC" w:rsidP="000A6651">
            <w:pPr>
              <w:jc w:val="center"/>
              <w:rPr>
                <w:b/>
                <w:color w:val="FFFFFF" w:themeColor="background1"/>
                <w:sz w:val="20"/>
                <w:szCs w:val="20"/>
              </w:rPr>
            </w:pPr>
            <w:r w:rsidRPr="00625969">
              <w:rPr>
                <w:b/>
                <w:color w:val="FFFFFF" w:themeColor="background1"/>
                <w:sz w:val="20"/>
                <w:szCs w:val="20"/>
              </w:rPr>
              <w:t>(N=223)</w:t>
            </w:r>
          </w:p>
        </w:tc>
        <w:tc>
          <w:tcPr>
            <w:tcW w:w="0" w:type="auto"/>
            <w:shd w:val="clear" w:color="auto" w:fill="0070C0"/>
          </w:tcPr>
          <w:p w:rsidR="00E07ECC" w:rsidRPr="00625969" w:rsidRDefault="00E07ECC" w:rsidP="000A6651">
            <w:pPr>
              <w:jc w:val="center"/>
              <w:rPr>
                <w:b/>
                <w:color w:val="FFFFFF" w:themeColor="background1"/>
                <w:sz w:val="20"/>
                <w:szCs w:val="20"/>
              </w:rPr>
            </w:pPr>
            <w:r w:rsidRPr="00625969">
              <w:rPr>
                <w:b/>
                <w:color w:val="FFFFFF" w:themeColor="background1"/>
                <w:sz w:val="20"/>
                <w:szCs w:val="20"/>
              </w:rPr>
              <w:t>Carbamazepine</w:t>
            </w:r>
          </w:p>
          <w:p w:rsidR="00E07ECC" w:rsidRPr="00625969" w:rsidRDefault="00E07ECC" w:rsidP="000A6651">
            <w:pPr>
              <w:jc w:val="center"/>
              <w:rPr>
                <w:b/>
                <w:color w:val="FFFFFF" w:themeColor="background1"/>
                <w:sz w:val="20"/>
                <w:szCs w:val="20"/>
              </w:rPr>
            </w:pPr>
            <w:r w:rsidRPr="00625969">
              <w:rPr>
                <w:b/>
                <w:color w:val="FFFFFF" w:themeColor="background1"/>
                <w:sz w:val="20"/>
                <w:szCs w:val="20"/>
              </w:rPr>
              <w:t>(N=233)</w:t>
            </w:r>
          </w:p>
        </w:tc>
      </w:tr>
      <w:tr w:rsidR="00E07ECC" w:rsidRPr="00F37379" w:rsidTr="000A6651">
        <w:tc>
          <w:tcPr>
            <w:tcW w:w="0" w:type="auto"/>
          </w:tcPr>
          <w:p w:rsidR="00E07ECC" w:rsidRPr="00F37379" w:rsidRDefault="00E07ECC" w:rsidP="000A6651">
            <w:pPr>
              <w:rPr>
                <w:sz w:val="20"/>
                <w:szCs w:val="20"/>
              </w:rPr>
            </w:pPr>
            <w:r w:rsidRPr="00F37379">
              <w:rPr>
                <w:sz w:val="20"/>
                <w:szCs w:val="20"/>
              </w:rPr>
              <w:t xml:space="preserve">Number Seizure-free </w:t>
            </w:r>
          </w:p>
        </w:tc>
        <w:tc>
          <w:tcPr>
            <w:tcW w:w="0" w:type="auto"/>
          </w:tcPr>
          <w:p w:rsidR="00E07ECC" w:rsidRPr="00F37379" w:rsidRDefault="00E07ECC" w:rsidP="000A6651">
            <w:pPr>
              <w:jc w:val="center"/>
              <w:rPr>
                <w:sz w:val="20"/>
                <w:szCs w:val="20"/>
              </w:rPr>
            </w:pPr>
            <w:r w:rsidRPr="00F37379">
              <w:rPr>
                <w:sz w:val="20"/>
                <w:szCs w:val="20"/>
              </w:rPr>
              <w:t>177</w:t>
            </w:r>
          </w:p>
        </w:tc>
        <w:tc>
          <w:tcPr>
            <w:tcW w:w="0" w:type="auto"/>
          </w:tcPr>
          <w:p w:rsidR="00E07ECC" w:rsidRPr="00F37379" w:rsidRDefault="00E07ECC" w:rsidP="000A6651">
            <w:pPr>
              <w:jc w:val="center"/>
              <w:rPr>
                <w:sz w:val="20"/>
                <w:szCs w:val="20"/>
              </w:rPr>
            </w:pPr>
            <w:r w:rsidRPr="00F37379">
              <w:rPr>
                <w:sz w:val="20"/>
                <w:szCs w:val="20"/>
              </w:rPr>
              <w:t>195</w:t>
            </w:r>
          </w:p>
        </w:tc>
      </w:tr>
      <w:tr w:rsidR="00E07ECC" w:rsidRPr="00F37379" w:rsidTr="000A6651">
        <w:tc>
          <w:tcPr>
            <w:tcW w:w="0" w:type="auto"/>
          </w:tcPr>
          <w:p w:rsidR="00E07ECC" w:rsidRPr="00F37379" w:rsidRDefault="00E07ECC" w:rsidP="000A6651">
            <w:pPr>
              <w:rPr>
                <w:sz w:val="20"/>
                <w:szCs w:val="20"/>
              </w:rPr>
            </w:pPr>
            <w:r w:rsidRPr="00F37379">
              <w:rPr>
                <w:sz w:val="20"/>
                <w:szCs w:val="20"/>
              </w:rPr>
              <w:t xml:space="preserve">200 mg / 400 mg </w:t>
            </w:r>
          </w:p>
        </w:tc>
        <w:tc>
          <w:tcPr>
            <w:tcW w:w="0" w:type="auto"/>
          </w:tcPr>
          <w:p w:rsidR="00E07ECC" w:rsidRPr="00F37379" w:rsidRDefault="00E07ECC" w:rsidP="000A6651">
            <w:pPr>
              <w:jc w:val="center"/>
              <w:rPr>
                <w:sz w:val="20"/>
                <w:szCs w:val="20"/>
              </w:rPr>
            </w:pPr>
            <w:r w:rsidRPr="00F37379">
              <w:rPr>
                <w:sz w:val="20"/>
                <w:szCs w:val="20"/>
              </w:rPr>
              <w:t>3 (1.7)</w:t>
            </w:r>
          </w:p>
        </w:tc>
        <w:tc>
          <w:tcPr>
            <w:tcW w:w="0" w:type="auto"/>
          </w:tcPr>
          <w:p w:rsidR="00E07ECC" w:rsidRPr="00F37379" w:rsidRDefault="00E07ECC" w:rsidP="000A6651">
            <w:pPr>
              <w:jc w:val="center"/>
              <w:rPr>
                <w:sz w:val="20"/>
                <w:szCs w:val="20"/>
              </w:rPr>
            </w:pPr>
            <w:r w:rsidRPr="00F37379">
              <w:rPr>
                <w:sz w:val="20"/>
                <w:szCs w:val="20"/>
              </w:rPr>
              <w:t>2 (1.0)</w:t>
            </w:r>
          </w:p>
        </w:tc>
      </w:tr>
      <w:tr w:rsidR="00E07ECC" w:rsidRPr="00F37379" w:rsidTr="000A6651">
        <w:tc>
          <w:tcPr>
            <w:tcW w:w="0" w:type="auto"/>
          </w:tcPr>
          <w:p w:rsidR="00E07ECC" w:rsidRPr="00F37379" w:rsidRDefault="00E07ECC" w:rsidP="000A6651">
            <w:pPr>
              <w:rPr>
                <w:sz w:val="20"/>
                <w:szCs w:val="20"/>
              </w:rPr>
            </w:pPr>
            <w:r w:rsidRPr="00F37379">
              <w:rPr>
                <w:sz w:val="20"/>
                <w:szCs w:val="20"/>
              </w:rPr>
              <w:t xml:space="preserve">300 mg / 600 mg </w:t>
            </w:r>
          </w:p>
        </w:tc>
        <w:tc>
          <w:tcPr>
            <w:tcW w:w="0" w:type="auto"/>
          </w:tcPr>
          <w:p w:rsidR="00E07ECC" w:rsidRPr="00F37379" w:rsidRDefault="00E07ECC" w:rsidP="000A6651">
            <w:pPr>
              <w:jc w:val="center"/>
              <w:rPr>
                <w:sz w:val="20"/>
                <w:szCs w:val="20"/>
              </w:rPr>
            </w:pPr>
            <w:r w:rsidRPr="00F37379">
              <w:rPr>
                <w:sz w:val="20"/>
                <w:szCs w:val="20"/>
              </w:rPr>
              <w:t>154 (87.0)</w:t>
            </w:r>
          </w:p>
        </w:tc>
        <w:tc>
          <w:tcPr>
            <w:tcW w:w="0" w:type="auto"/>
          </w:tcPr>
          <w:p w:rsidR="00E07ECC" w:rsidRPr="00F37379" w:rsidRDefault="00E07ECC" w:rsidP="000A6651">
            <w:pPr>
              <w:jc w:val="center"/>
              <w:rPr>
                <w:sz w:val="20"/>
                <w:szCs w:val="20"/>
              </w:rPr>
            </w:pPr>
            <w:r w:rsidRPr="00F37379">
              <w:rPr>
                <w:sz w:val="20"/>
                <w:szCs w:val="20"/>
              </w:rPr>
              <w:t>173 (88.7)</w:t>
            </w:r>
          </w:p>
        </w:tc>
      </w:tr>
      <w:tr w:rsidR="00E07ECC" w:rsidRPr="00F37379" w:rsidTr="000A6651">
        <w:tc>
          <w:tcPr>
            <w:tcW w:w="0" w:type="auto"/>
          </w:tcPr>
          <w:p w:rsidR="00E07ECC" w:rsidRPr="00F37379" w:rsidRDefault="00E07ECC" w:rsidP="000A6651">
            <w:pPr>
              <w:rPr>
                <w:sz w:val="20"/>
                <w:szCs w:val="20"/>
              </w:rPr>
            </w:pPr>
            <w:r w:rsidRPr="00F37379">
              <w:rPr>
                <w:sz w:val="20"/>
                <w:szCs w:val="20"/>
              </w:rPr>
              <w:t xml:space="preserve">400 mg / 800 mg </w:t>
            </w:r>
          </w:p>
        </w:tc>
        <w:tc>
          <w:tcPr>
            <w:tcW w:w="0" w:type="auto"/>
          </w:tcPr>
          <w:p w:rsidR="00E07ECC" w:rsidRPr="00F37379" w:rsidRDefault="00E07ECC" w:rsidP="000A6651">
            <w:pPr>
              <w:jc w:val="center"/>
              <w:rPr>
                <w:sz w:val="20"/>
                <w:szCs w:val="20"/>
              </w:rPr>
            </w:pPr>
            <w:r w:rsidRPr="00F37379">
              <w:rPr>
                <w:sz w:val="20"/>
                <w:szCs w:val="20"/>
              </w:rPr>
              <w:t>15 (8.5)</w:t>
            </w:r>
          </w:p>
        </w:tc>
        <w:tc>
          <w:tcPr>
            <w:tcW w:w="0" w:type="auto"/>
          </w:tcPr>
          <w:p w:rsidR="00E07ECC" w:rsidRPr="00F37379" w:rsidRDefault="00E07ECC" w:rsidP="000A6651">
            <w:pPr>
              <w:jc w:val="center"/>
              <w:rPr>
                <w:sz w:val="20"/>
                <w:szCs w:val="20"/>
              </w:rPr>
            </w:pPr>
            <w:r w:rsidRPr="00F37379">
              <w:rPr>
                <w:sz w:val="20"/>
                <w:szCs w:val="20"/>
              </w:rPr>
              <w:t>17 (8.7)</w:t>
            </w:r>
          </w:p>
        </w:tc>
      </w:tr>
      <w:tr w:rsidR="00E07ECC" w:rsidRPr="00F37379" w:rsidTr="000A6651">
        <w:tc>
          <w:tcPr>
            <w:tcW w:w="0" w:type="auto"/>
          </w:tcPr>
          <w:p w:rsidR="00E07ECC" w:rsidRPr="00F37379" w:rsidRDefault="00E07ECC" w:rsidP="000A6651">
            <w:pPr>
              <w:rPr>
                <w:sz w:val="20"/>
                <w:szCs w:val="20"/>
              </w:rPr>
            </w:pPr>
            <w:r w:rsidRPr="00F37379">
              <w:rPr>
                <w:sz w:val="20"/>
                <w:szCs w:val="20"/>
              </w:rPr>
              <w:t xml:space="preserve">500 mg / 1200 mg </w:t>
            </w:r>
          </w:p>
        </w:tc>
        <w:tc>
          <w:tcPr>
            <w:tcW w:w="0" w:type="auto"/>
          </w:tcPr>
          <w:p w:rsidR="00E07ECC" w:rsidRPr="00F37379" w:rsidRDefault="00E07ECC" w:rsidP="000A6651">
            <w:pPr>
              <w:jc w:val="center"/>
              <w:rPr>
                <w:sz w:val="20"/>
                <w:szCs w:val="20"/>
              </w:rPr>
            </w:pPr>
            <w:r w:rsidRPr="00F37379">
              <w:rPr>
                <w:sz w:val="20"/>
                <w:szCs w:val="20"/>
              </w:rPr>
              <w:t>5 (2.8)</w:t>
            </w:r>
          </w:p>
        </w:tc>
        <w:tc>
          <w:tcPr>
            <w:tcW w:w="0" w:type="auto"/>
          </w:tcPr>
          <w:p w:rsidR="00E07ECC" w:rsidRPr="00F37379" w:rsidRDefault="00E07ECC" w:rsidP="000A6651">
            <w:pPr>
              <w:jc w:val="center"/>
              <w:rPr>
                <w:sz w:val="20"/>
                <w:szCs w:val="20"/>
              </w:rPr>
            </w:pPr>
            <w:r w:rsidRPr="00F37379">
              <w:rPr>
                <w:sz w:val="20"/>
                <w:szCs w:val="20"/>
              </w:rPr>
              <w:t>3 (1.5)</w:t>
            </w:r>
          </w:p>
        </w:tc>
      </w:tr>
    </w:tbl>
    <w:p w:rsidR="00E07ECC" w:rsidRPr="00081C6D" w:rsidRDefault="00E07ECC" w:rsidP="00E07ECC">
      <w:pPr>
        <w:rPr>
          <w:sz w:val="18"/>
          <w:szCs w:val="18"/>
        </w:rPr>
      </w:pPr>
      <w:r w:rsidRPr="00081C6D">
        <w:rPr>
          <w:sz w:val="18"/>
          <w:szCs w:val="18"/>
        </w:rPr>
        <w:t>Percentages are calculated from the number of subjects in each treatment group who achieved 6-month seizure freedom.</w:t>
      </w:r>
    </w:p>
    <w:p w:rsidR="00E07ECC" w:rsidRPr="000F066F" w:rsidRDefault="00E07ECC" w:rsidP="00625969">
      <w:pPr>
        <w:pStyle w:val="Heading5"/>
      </w:pPr>
      <w:bookmarkStart w:id="70" w:name="_Toc290846276"/>
      <w:bookmarkStart w:id="71" w:name="_Toc290888813"/>
      <w:bookmarkStart w:id="72" w:name="_Toc326646514"/>
      <w:r w:rsidRPr="000F066F">
        <w:t xml:space="preserve">Study </w:t>
      </w:r>
      <w:bookmarkEnd w:id="70"/>
      <w:bookmarkEnd w:id="71"/>
      <w:r w:rsidRPr="000F066F">
        <w:t>AN46046-304</w:t>
      </w:r>
      <w:bookmarkEnd w:id="72"/>
    </w:p>
    <w:p w:rsidR="00E07ECC" w:rsidRPr="003C0A48" w:rsidRDefault="00E07ECC" w:rsidP="00625969">
      <w:pPr>
        <w:pStyle w:val="Heading6"/>
      </w:pPr>
      <w:r w:rsidRPr="003C0A48">
        <w:t>Study design, objectives, locations and dates</w:t>
      </w:r>
    </w:p>
    <w:p w:rsidR="00E07ECC" w:rsidRDefault="00640C21" w:rsidP="00625969">
      <w:r>
        <w:t>A double-blind, randomis</w:t>
      </w:r>
      <w:r w:rsidR="00E07ECC">
        <w:t>ed multicenter study to evaluate 3 dose levels of zonisamide (25, 100, and 30</w:t>
      </w:r>
      <w:r w:rsidR="000A6651">
        <w:t>0 mg</w:t>
      </w:r>
      <w:r w:rsidR="00E07ECC">
        <w:t>/day) as monotherapy in adult subjects with newly diagnosed epilepsy and complex partial seizures.</w:t>
      </w:r>
    </w:p>
    <w:p w:rsidR="00E07ECC" w:rsidRDefault="00E07ECC" w:rsidP="00625969">
      <w:r w:rsidRPr="000B7236">
        <w:t>The study consisted of a screening visit (Day 1), a double-blind titration and treatment</w:t>
      </w:r>
      <w:r>
        <w:t xml:space="preserve"> </w:t>
      </w:r>
      <w:r w:rsidRPr="000B7236">
        <w:t>phase (up to 40 weeks), and a blinded conversion phase (2 weeks). Clinic visits occurred</w:t>
      </w:r>
      <w:r>
        <w:t xml:space="preserve"> </w:t>
      </w:r>
      <w:r w:rsidRPr="000B7236">
        <w:t>weekly for the first 5 weeks, and again at Weeks 8, 12, 24, 40, and 42.</w:t>
      </w:r>
    </w:p>
    <w:p w:rsidR="00E07ECC" w:rsidRDefault="00E07ECC" w:rsidP="00625969">
      <w:r>
        <w:lastRenderedPageBreak/>
        <w:t xml:space="preserve">The </w:t>
      </w:r>
      <w:r w:rsidRPr="00B416EA">
        <w:rPr>
          <w:b/>
        </w:rPr>
        <w:t>primary objective</w:t>
      </w:r>
      <w:r>
        <w:t xml:space="preserve"> was to characterize the dose-response behaviour of zonisamide monotherapy efficacy in adult patients with newly diagnosed epilepsy</w:t>
      </w:r>
      <w:r>
        <w:rPr>
          <w:rStyle w:val="FootnoteReference"/>
        </w:rPr>
        <w:footnoteReference w:id="8"/>
      </w:r>
      <w:r>
        <w:t xml:space="preserve"> with respect to the time to achieve a predefined efficacy exit criterion.</w:t>
      </w:r>
    </w:p>
    <w:p w:rsidR="00E07ECC" w:rsidRPr="00EB543C" w:rsidRDefault="00E07ECC" w:rsidP="00625969">
      <w:r w:rsidRPr="00EB543C">
        <w:t xml:space="preserve">The </w:t>
      </w:r>
      <w:r w:rsidRPr="00B416EA">
        <w:rPr>
          <w:b/>
        </w:rPr>
        <w:t xml:space="preserve">secondary objectives </w:t>
      </w:r>
      <w:r w:rsidRPr="00EB543C">
        <w:t>include</w:t>
      </w:r>
      <w:r>
        <w:t>d</w:t>
      </w:r>
      <w:r w:rsidRPr="00EB543C">
        <w:t>:</w:t>
      </w:r>
    </w:p>
    <w:p w:rsidR="00E07ECC" w:rsidRPr="00EB543C" w:rsidRDefault="00E07ECC" w:rsidP="00625969">
      <w:pPr>
        <w:pStyle w:val="ListBullet"/>
      </w:pPr>
      <w:r w:rsidRPr="00EB543C">
        <w:t>To evaluate the proportion of patients who are seizure-free for at least 6</w:t>
      </w:r>
      <w:r>
        <w:t xml:space="preserve"> </w:t>
      </w:r>
      <w:r w:rsidRPr="00EB543C">
        <w:t>months</w:t>
      </w:r>
    </w:p>
    <w:p w:rsidR="00E07ECC" w:rsidRDefault="00E07ECC" w:rsidP="00625969">
      <w:pPr>
        <w:pStyle w:val="ListBullet"/>
      </w:pPr>
      <w:r w:rsidRPr="00EB543C">
        <w:t>To evaluate the proportion of patients in each treatment group remaining on</w:t>
      </w:r>
      <w:r>
        <w:t xml:space="preserve"> tre</w:t>
      </w:r>
      <w:r w:rsidRPr="00EB543C">
        <w:t>atment for the duration of the study</w:t>
      </w:r>
      <w:r>
        <w:t>.</w:t>
      </w:r>
    </w:p>
    <w:p w:rsidR="00E07ECC" w:rsidRDefault="00E07ECC" w:rsidP="00625969">
      <w:r>
        <w:t xml:space="preserve"> From </w:t>
      </w:r>
      <w:r w:rsidRPr="00B416EA">
        <w:t xml:space="preserve">20 February 2002 </w:t>
      </w:r>
      <w:r>
        <w:t xml:space="preserve">to </w:t>
      </w:r>
      <w:r w:rsidRPr="00B416EA">
        <w:t>20 October 2004</w:t>
      </w:r>
      <w:r>
        <w:t xml:space="preserve"> the study was conducted in 25 US centres and 8 European (4 Ukraine, 2 Estonia, and 2 Latvia). Most centres had &lt; 10 patients, except 1 US centre (11 patients) and 2 Ukraine centres (15 &amp; 34).</w:t>
      </w:r>
    </w:p>
    <w:p w:rsidR="00E07ECC" w:rsidRDefault="00E07ECC" w:rsidP="00625969">
      <w:pPr>
        <w:pStyle w:val="Heading6"/>
      </w:pPr>
      <w:r w:rsidRPr="004B259C">
        <w:t>Inclusion</w:t>
      </w:r>
      <w:r w:rsidRPr="00B6453A">
        <w:t xml:space="preserve"> </w:t>
      </w:r>
      <w:r w:rsidRPr="004B259C">
        <w:t>criteria</w:t>
      </w:r>
    </w:p>
    <w:p w:rsidR="00E07ECC" w:rsidRDefault="00E07ECC" w:rsidP="00625969">
      <w:pPr>
        <w:pStyle w:val="ListBullet"/>
      </w:pPr>
      <w:r>
        <w:t>Newly diagnosed epilepsy and complex partial seizures (with or without secondary generalization).</w:t>
      </w:r>
      <w:r w:rsidR="003C2B8A">
        <w:t xml:space="preserve"> </w:t>
      </w:r>
    </w:p>
    <w:p w:rsidR="00E07ECC" w:rsidRDefault="00E07ECC" w:rsidP="00625969">
      <w:pPr>
        <w:pStyle w:val="ListBullet"/>
      </w:pPr>
      <w:r>
        <w:t>Subject had during the year prior to screening:</w:t>
      </w:r>
    </w:p>
    <w:p w:rsidR="00E07ECC" w:rsidRDefault="00E07ECC" w:rsidP="00625969">
      <w:pPr>
        <w:pStyle w:val="ListBullet2"/>
      </w:pPr>
      <w:r>
        <w:t xml:space="preserve">≥ 2 well-documented, unprovoked, clinically evaluated and classified complex partial seizures, or </w:t>
      </w:r>
    </w:p>
    <w:p w:rsidR="00E07ECC" w:rsidRDefault="00E07ECC" w:rsidP="00625969">
      <w:pPr>
        <w:pStyle w:val="ListBullet2"/>
      </w:pPr>
      <w:r>
        <w:t>1 well-documented, unprovoked, clinically evaluated and classified complex partial seizure and an abnormal EEG consistent with the diagnosis of epilepsy.</w:t>
      </w:r>
    </w:p>
    <w:p w:rsidR="00E07ECC" w:rsidRDefault="00E07ECC" w:rsidP="00625969">
      <w:pPr>
        <w:pStyle w:val="ListBullet"/>
      </w:pPr>
      <w:r>
        <w:t>Subject received less than 2 weeks of AED therapy prior to screening, and that medication was discontinued at study entry.</w:t>
      </w:r>
      <w:r w:rsidRPr="00565ADB">
        <w:t xml:space="preserve"> </w:t>
      </w:r>
    </w:p>
    <w:p w:rsidR="00E07ECC" w:rsidRDefault="00E07ECC" w:rsidP="00625969">
      <w:pPr>
        <w:pStyle w:val="ListBullet"/>
      </w:pPr>
      <w:r>
        <w:t xml:space="preserve">Subject’s EEG changes were consistent with the diagnosis of epilepsy: </w:t>
      </w:r>
    </w:p>
    <w:p w:rsidR="00E07ECC" w:rsidRDefault="00E07ECC" w:rsidP="00625969">
      <w:pPr>
        <w:pStyle w:val="ListBullet2"/>
      </w:pPr>
      <w:r>
        <w:t xml:space="preserve">For subjects with 2 well-documented, unprovoked complex partial seizures within 1 year prior to enrollment, the EEG results could be normal at the time of testing but, in the opinion of the investigator, the subject had epilepsy. </w:t>
      </w:r>
    </w:p>
    <w:p w:rsidR="00E07ECC" w:rsidRDefault="00E07ECC" w:rsidP="00625969">
      <w:pPr>
        <w:pStyle w:val="ListBullet2"/>
      </w:pPr>
      <w:r>
        <w:t>For subjects with 1 well-documented, unprovoked complex partial seizure within 1 year prior to enrollment, the EEG was abnormal at the time of testing consistent with the diagnosis of epilepsy.</w:t>
      </w:r>
    </w:p>
    <w:p w:rsidR="00E07ECC" w:rsidRPr="004B259C" w:rsidRDefault="00E07ECC" w:rsidP="00625969">
      <w:pPr>
        <w:pStyle w:val="Heading6"/>
      </w:pPr>
      <w:r w:rsidRPr="004B259C">
        <w:t>Exclusion criteria</w:t>
      </w:r>
    </w:p>
    <w:p w:rsidR="00E07ECC" w:rsidRDefault="00E07ECC" w:rsidP="00625969">
      <w:pPr>
        <w:pStyle w:val="ListBullet"/>
      </w:pPr>
      <w:r>
        <w:t>A history of status epilepticus.</w:t>
      </w:r>
    </w:p>
    <w:p w:rsidR="00E07ECC" w:rsidRDefault="00E07ECC" w:rsidP="00625969">
      <w:pPr>
        <w:pStyle w:val="ListBullet"/>
      </w:pPr>
      <w:r>
        <w:t>Simple partial seizures only.</w:t>
      </w:r>
    </w:p>
    <w:p w:rsidR="00E07ECC" w:rsidRDefault="00E07ECC" w:rsidP="00625969">
      <w:pPr>
        <w:pStyle w:val="ListBullet"/>
      </w:pPr>
      <w:r>
        <w:t>A history of non</w:t>
      </w:r>
      <w:r w:rsidR="003C2B8A">
        <w:t>-</w:t>
      </w:r>
      <w:r>
        <w:t>epileptic seizures (e.g., metabolic or pseudo seizures).</w:t>
      </w:r>
    </w:p>
    <w:p w:rsidR="00E07ECC" w:rsidRDefault="00E07ECC" w:rsidP="00625969">
      <w:pPr>
        <w:pStyle w:val="ListBullet"/>
      </w:pPr>
      <w:r>
        <w:t>Progressive encephalopathy or findings consistent with progressive central nervous system disease or lesions (e.g., infection, demyelination, tumour).</w:t>
      </w:r>
    </w:p>
    <w:p w:rsidR="00E07ECC" w:rsidRDefault="00E07ECC" w:rsidP="00625969">
      <w:pPr>
        <w:pStyle w:val="ListBullet"/>
      </w:pPr>
      <w:r>
        <w:t>A history of acute intermittent porphyria, glucose-6-phosphate dehydrogenase deficiency, or haemolytic anaemia.</w:t>
      </w:r>
    </w:p>
    <w:p w:rsidR="00E07ECC" w:rsidRDefault="00E07ECC" w:rsidP="00625969">
      <w:pPr>
        <w:pStyle w:val="ListBullet"/>
      </w:pPr>
      <w:r>
        <w:t>A psychiatric illness or mood disorder requiring treatment in the previous 6 months, or a history of suicide attempt or psychosis.</w:t>
      </w:r>
    </w:p>
    <w:p w:rsidR="00E07ECC" w:rsidRDefault="00E07ECC" w:rsidP="00625969">
      <w:pPr>
        <w:pStyle w:val="ListBullet"/>
      </w:pPr>
      <w:r>
        <w:t>Subject used benzodiazepines (however, intermittent use as a rescue AED or hypnotic was allowed during the study).</w:t>
      </w:r>
    </w:p>
    <w:p w:rsidR="00E07ECC" w:rsidRPr="004B259C" w:rsidRDefault="00E07ECC" w:rsidP="00625969">
      <w:pPr>
        <w:pStyle w:val="Heading6"/>
      </w:pPr>
      <w:r w:rsidRPr="004B259C">
        <w:lastRenderedPageBreak/>
        <w:t>Study treatments</w:t>
      </w:r>
    </w:p>
    <w:p w:rsidR="00E07ECC" w:rsidRDefault="00E07ECC" w:rsidP="00625969">
      <w:r>
        <w:t xml:space="preserve">Titration began with 25 mg/day (for the 25-mg/day group) or 50 mg/day (for the 100- and 300-mg/day groups). The dose was increased weekly by 50 mg for subjects in the 100-mg/day and 300-mg/day treatment groups. </w:t>
      </w:r>
    </w:p>
    <w:p w:rsidR="00E07ECC" w:rsidRDefault="00E07ECC" w:rsidP="00625969">
      <w:r w:rsidRPr="000B7236">
        <w:t>The once daily zonisamide d</w:t>
      </w:r>
      <w:r>
        <w:t>oses selected</w:t>
      </w:r>
      <w:r w:rsidRPr="000B7236">
        <w:t xml:space="preserve"> were based on previous clinical</w:t>
      </w:r>
      <w:r>
        <w:t xml:space="preserve"> </w:t>
      </w:r>
      <w:r w:rsidRPr="000B7236">
        <w:t>experience, and were expected to produce measurable zonisamide levels and exposure at</w:t>
      </w:r>
      <w:r>
        <w:t xml:space="preserve"> </w:t>
      </w:r>
      <w:r w:rsidRPr="000B7236">
        <w:t>steady state</w:t>
      </w:r>
      <w:r>
        <w:t>.</w:t>
      </w:r>
    </w:p>
    <w:p w:rsidR="00E07ECC" w:rsidRPr="004B259C" w:rsidRDefault="00E07ECC" w:rsidP="00625969">
      <w:pPr>
        <w:pStyle w:val="Heading6"/>
      </w:pPr>
      <w:r w:rsidRPr="004B259C">
        <w:t>Efficacy variables and outcomes</w:t>
      </w:r>
    </w:p>
    <w:p w:rsidR="00E07ECC" w:rsidRDefault="00E07ECC" w:rsidP="00625969">
      <w:r w:rsidRPr="00EB543C">
        <w:t>The primary endpoin</w:t>
      </w:r>
      <w:r>
        <w:t>t (reaching the exit criteria) wa</w:t>
      </w:r>
      <w:r w:rsidRPr="00EB543C">
        <w:t>s defined as the time to the</w:t>
      </w:r>
      <w:r>
        <w:t xml:space="preserve"> </w:t>
      </w:r>
      <w:r w:rsidRPr="00EB543C">
        <w:t>occurrence of either of these events after taking the first dose of the study drug:</w:t>
      </w:r>
    </w:p>
    <w:p w:rsidR="00E07ECC" w:rsidRDefault="00E07ECC" w:rsidP="00625969">
      <w:pPr>
        <w:pStyle w:val="ListBullet"/>
      </w:pPr>
      <w:r w:rsidRPr="00EB543C">
        <w:t>2 complex partial seizures</w:t>
      </w:r>
    </w:p>
    <w:p w:rsidR="00E07ECC" w:rsidRPr="00EB543C" w:rsidRDefault="00E07ECC" w:rsidP="00625969">
      <w:pPr>
        <w:pStyle w:val="ListBullet"/>
      </w:pPr>
      <w:r w:rsidRPr="00EB543C">
        <w:t>generalized tonic-clonic seizure</w:t>
      </w:r>
      <w:r>
        <w:t>.</w:t>
      </w:r>
    </w:p>
    <w:p w:rsidR="00E07ECC" w:rsidRPr="00EB543C" w:rsidRDefault="00E07ECC" w:rsidP="00E07ECC">
      <w:pPr>
        <w:autoSpaceDE w:val="0"/>
        <w:autoSpaceDN w:val="0"/>
        <w:adjustRightInd w:val="0"/>
        <w:spacing w:before="60"/>
      </w:pPr>
      <w:r>
        <w:t>The secondary study endpoints wer</w:t>
      </w:r>
      <w:r w:rsidRPr="00EB543C">
        <w:t>e:</w:t>
      </w:r>
    </w:p>
    <w:p w:rsidR="00E07ECC" w:rsidRPr="00EB543C" w:rsidRDefault="00E07ECC" w:rsidP="00625969">
      <w:pPr>
        <w:pStyle w:val="ListBullet"/>
      </w:pPr>
      <w:r w:rsidRPr="00EB543C">
        <w:t>Proportion of patients seizure-free for at least 6 months</w:t>
      </w:r>
    </w:p>
    <w:p w:rsidR="00E07ECC" w:rsidRDefault="00E07ECC" w:rsidP="00625969">
      <w:pPr>
        <w:pStyle w:val="ListBullet"/>
      </w:pPr>
      <w:r w:rsidRPr="00EB543C">
        <w:t>Proportion of patients in each treatment group remaining on treatment for the</w:t>
      </w:r>
      <w:r>
        <w:t xml:space="preserve"> </w:t>
      </w:r>
      <w:r w:rsidRPr="00EB543C">
        <w:t>duration of the study</w:t>
      </w:r>
      <w:r>
        <w:t>.</w:t>
      </w:r>
    </w:p>
    <w:p w:rsidR="00E07ECC" w:rsidRPr="004B259C" w:rsidRDefault="00E07ECC" w:rsidP="00625969">
      <w:pPr>
        <w:pStyle w:val="Heading6"/>
      </w:pPr>
      <w:r w:rsidRPr="004B259C">
        <w:t>Randomisation and blinding methods</w:t>
      </w:r>
    </w:p>
    <w:p w:rsidR="00E07ECC" w:rsidRDefault="00E07ECC" w:rsidP="00625969">
      <w:r w:rsidRPr="004D3B32">
        <w:t>Subjects who met study entry criteria were randomized in a 1:1:1 ratio to one of: 25, 100, or 300 mg/day of zonisamide.</w:t>
      </w:r>
      <w:r>
        <w:t xml:space="preserve"> </w:t>
      </w:r>
    </w:p>
    <w:p w:rsidR="00E07ECC" w:rsidRDefault="00E07ECC" w:rsidP="00625969">
      <w:r>
        <w:t>Subjects in all 3 treatment groups received the same number of capsules of each size (active or placebo) at each study week.</w:t>
      </w:r>
    </w:p>
    <w:p w:rsidR="00E07ECC" w:rsidRDefault="00E07ECC" w:rsidP="00625969">
      <w:r>
        <w:t>To maintain the study treatment blind, all subjects entered a 2-week blinded conversion phase at the end of the 40-week study period. This conversion phase allowed for the dose to be increased in the 25-mg/day treatment group to 100 mg/day, maintained in the 100-mg/day group, and decreased in the 300-mg/day group to 100 mg/day.</w:t>
      </w:r>
    </w:p>
    <w:p w:rsidR="00E07ECC" w:rsidRDefault="00E07ECC" w:rsidP="00625969">
      <w:pPr>
        <w:pStyle w:val="Heading6"/>
      </w:pPr>
      <w:r w:rsidRPr="00EB7B55">
        <w:t>Analysis populations</w:t>
      </w:r>
    </w:p>
    <w:p w:rsidR="00E07ECC" w:rsidRDefault="00E07ECC" w:rsidP="00625969">
      <w:r>
        <w:t>Safety Population – All randomized subjects who received at least 1 dose of study medication during the 40-week treatment phase.</w:t>
      </w:r>
    </w:p>
    <w:p w:rsidR="00E07ECC" w:rsidRDefault="00E07ECC" w:rsidP="00625969">
      <w:r>
        <w:t>Evaluable Population – All subjects in the safety population who met all eligibility criteria for entry into the study (referred to in the Statistical Analysis Plan as Intent-to-Treat).</w:t>
      </w:r>
    </w:p>
    <w:p w:rsidR="00E07ECC" w:rsidRPr="004B259C" w:rsidDel="0081373E" w:rsidRDefault="00E07ECC" w:rsidP="00625969">
      <w:pPr>
        <w:pStyle w:val="Heading6"/>
      </w:pPr>
      <w:r w:rsidRPr="004B259C" w:rsidDel="0081373E">
        <w:t>Sample size</w:t>
      </w:r>
    </w:p>
    <w:p w:rsidR="00E07ECC" w:rsidDel="0081373E" w:rsidRDefault="00E07ECC" w:rsidP="00625969">
      <w:r w:rsidRPr="00D403EC">
        <w:t>The primary efficacy analysis was to test the significance of the linear component of the</w:t>
      </w:r>
      <w:r>
        <w:t xml:space="preserve"> </w:t>
      </w:r>
      <w:r w:rsidRPr="00D403EC">
        <w:t>relationship between time to attain the predefined exit criterion and dosage. Under the</w:t>
      </w:r>
      <w:r>
        <w:t xml:space="preserve"> </w:t>
      </w:r>
      <w:r w:rsidRPr="00D403EC">
        <w:t>assumption that the 3 groups were equally spaced, the 1-degree-of-freedom linear</w:t>
      </w:r>
      <w:r>
        <w:t xml:space="preserve"> </w:t>
      </w:r>
      <w:r w:rsidRPr="00D403EC">
        <w:t>component of the 2-degree-of-freedom test of equality of the 3 dosages would compare</w:t>
      </w:r>
      <w:r>
        <w:t xml:space="preserve"> </w:t>
      </w:r>
      <w:r w:rsidRPr="00D403EC">
        <w:t>the 300 and 25 mg/day dosages. Thus, the required sample size was estimated using the</w:t>
      </w:r>
      <w:r>
        <w:t xml:space="preserve"> </w:t>
      </w:r>
      <w:r w:rsidRPr="00D403EC">
        <w:t>method of Freedman for comparing 2 time-to-event distrib</w:t>
      </w:r>
      <w:r>
        <w:t xml:space="preserve">utions using the log-rank test. </w:t>
      </w:r>
      <w:r w:rsidRPr="00D403EC">
        <w:t>Given that there were 3 treatment groups instead of 2, this approach is conservative.</w:t>
      </w:r>
      <w:r>
        <w:t xml:space="preserve"> </w:t>
      </w:r>
      <w:r w:rsidRPr="00D403EC">
        <w:t>Based on a 2-sided log-rank test at the 5% level of significance and at 90% power, and</w:t>
      </w:r>
      <w:r>
        <w:t xml:space="preserve"> </w:t>
      </w:r>
      <w:r w:rsidRPr="00D403EC">
        <w:t>assuming that the estimated proportions remaining in the study at 40 weeks were 20%</w:t>
      </w:r>
      <w:r>
        <w:t xml:space="preserve"> </w:t>
      </w:r>
      <w:r w:rsidRPr="00D403EC">
        <w:t>(25 mg/day) and 60% (300 mg/day), and that there was a 40% dropout rate, the sample</w:t>
      </w:r>
      <w:r>
        <w:t xml:space="preserve"> </w:t>
      </w:r>
      <w:r w:rsidRPr="00D403EC">
        <w:t>size required per group was 55 subjects (a total of 165 subjects).</w:t>
      </w:r>
    </w:p>
    <w:p w:rsidR="00E07ECC" w:rsidRPr="004B259C" w:rsidRDefault="00E07ECC" w:rsidP="00625969">
      <w:pPr>
        <w:pStyle w:val="Heading6"/>
      </w:pPr>
      <w:r w:rsidRPr="004B259C">
        <w:t>Statistical methods</w:t>
      </w:r>
    </w:p>
    <w:p w:rsidR="00E07ECC" w:rsidRDefault="00E07ECC" w:rsidP="00625969">
      <w:r>
        <w:t>The hypothesis was that as the zonisamide dosage level is increased, the time to reach the exit criteria will also increase.</w:t>
      </w:r>
      <w:r w:rsidRPr="00EB543C">
        <w:t xml:space="preserve"> The primary analysis test</w:t>
      </w:r>
      <w:r>
        <w:t>s</w:t>
      </w:r>
      <w:r w:rsidRPr="00EB543C">
        <w:t xml:space="preserve"> the hypothesis that the one</w:t>
      </w:r>
      <w:r>
        <w:t xml:space="preserve"> </w:t>
      </w:r>
      <w:r w:rsidRPr="00EB543C">
        <w:t xml:space="preserve">degree of freedom linear component is equal to zero. </w:t>
      </w:r>
    </w:p>
    <w:p w:rsidR="00E07ECC" w:rsidRDefault="00E07ECC" w:rsidP="00625969">
      <w:pPr>
        <w:pStyle w:val="Heading6"/>
      </w:pPr>
      <w:r>
        <w:lastRenderedPageBreak/>
        <w:t>Primary Efficacy Analysis</w:t>
      </w:r>
    </w:p>
    <w:p w:rsidR="00E07ECC" w:rsidRDefault="00E07ECC" w:rsidP="00625969">
      <w:r>
        <w:t>The time to reach 2 complex partial seizures or 1 generalized tonic-clonic seizure was compared among the 3 dose levels, and the dose-response relationship was defined. The significance of the linear component of the relationship between time to reaching the predefined exit criterion and dosage levels was tested by fitting a Cox proportional hazards regression model. The dependent variable was time to reaching the predefined exit criterion, and the independent variable was treatment group. The 2 degrees of freedom for the treatment group effect were parameterized as the linear and the quadratic component (under the assumption that the 3 dosage levels were equally spaced). The 1-degree-of-freedom test of the linear component was tested at the 5% level of significance using a 2-sided test. In addition, the significance of the nonlinear component of the relationship between the time to exit and dosage was tested.</w:t>
      </w:r>
    </w:p>
    <w:p w:rsidR="00E07ECC" w:rsidRDefault="00E07ECC" w:rsidP="00625969">
      <w:r>
        <w:t xml:space="preserve">A plot of the cumulative proportion of subjects reaching the predefined exit criterion was created using Kaplan-Meier estimates for each group. </w:t>
      </w:r>
    </w:p>
    <w:p w:rsidR="00E07ECC" w:rsidRDefault="00E07ECC" w:rsidP="00625969">
      <w:r>
        <w:t>A sensitivity analysis was conducted to censor observations at the time of the last dose of study medication during the treatment phase to evaluate whether the results of the primary efficacy analysis were affected by the method of censoring observations. If a subject withdrew or was lost to follow-up without meeting the exit criterion, the observation was censored at the date that the last dose of study medication was taken during the treatment phase. If the subject completed the study without meeting the exit criterion, that subject was censored on the date that the last dose of study medication was taken during the treatment phase.</w:t>
      </w:r>
    </w:p>
    <w:p w:rsidR="00E07ECC" w:rsidRPr="00681D1E" w:rsidRDefault="00E07ECC" w:rsidP="00625969">
      <w:pPr>
        <w:pStyle w:val="Heading6"/>
      </w:pPr>
      <w:r w:rsidRPr="00681D1E">
        <w:t>Secondary Efficacy Analyses</w:t>
      </w:r>
    </w:p>
    <w:p w:rsidR="00E07ECC" w:rsidRDefault="00E07ECC" w:rsidP="00625969">
      <w:r>
        <w:t>The Proportion of Subjects Seizure-Free for at Least 6 Months (</w:t>
      </w:r>
      <w:r w:rsidR="000A6651">
        <w:t>that is,</w:t>
      </w:r>
      <w:r>
        <w:t xml:space="preserve"> through Day 184) was compared among groups using Pearson’s chi-square test. The Cochran-Mantel-Haentzel 1-degree-of-freedom chi-square test was used to assess the linear trend in these proportions across the 3 dose groups, under the assumption that the groups were equally spaced. </w:t>
      </w:r>
    </w:p>
    <w:p w:rsidR="00E07ECC" w:rsidRDefault="00E07ECC" w:rsidP="00625969">
      <w:r>
        <w:t xml:space="preserve">The Proportion of Subjects Remaining on Treatment for the Duration of the Study through the Week 40 visit was compared among groups using Pearson’s chi-square test. The Cochran-Mantel-Haentzel 1-degree-of-freedom chi-square test was used to assess the linear trend in these proportions across the 3 dose groups, under the assumption that the groups were equally spaced. </w:t>
      </w:r>
    </w:p>
    <w:p w:rsidR="00E07ECC" w:rsidRDefault="00E07ECC" w:rsidP="00625969">
      <w:pPr>
        <w:pStyle w:val="Heading6"/>
      </w:pPr>
      <w:r w:rsidRPr="004B259C">
        <w:lastRenderedPageBreak/>
        <w:t>Participant flow</w:t>
      </w:r>
    </w:p>
    <w:p w:rsidR="00E07ECC" w:rsidRDefault="00E07ECC" w:rsidP="00625969">
      <w:pPr>
        <w:pStyle w:val="FigureTitle"/>
        <w:keepNext/>
      </w:pPr>
      <w:bookmarkStart w:id="73" w:name="_Toc326646585"/>
      <w:r>
        <w:t xml:space="preserve">Figure </w:t>
      </w:r>
      <w:r w:rsidR="00423552">
        <w:fldChar w:fldCharType="begin"/>
      </w:r>
      <w:r>
        <w:instrText xml:space="preserve"> SEQ Figure \* ARABIC </w:instrText>
      </w:r>
      <w:r w:rsidR="00423552">
        <w:fldChar w:fldCharType="separate"/>
      </w:r>
      <w:r w:rsidR="002E4F77">
        <w:rPr>
          <w:noProof/>
        </w:rPr>
        <w:t>4</w:t>
      </w:r>
      <w:r w:rsidR="00423552">
        <w:fldChar w:fldCharType="end"/>
      </w:r>
      <w:r w:rsidR="00625969">
        <w:t>.</w:t>
      </w:r>
      <w:r w:rsidRPr="00820BBB">
        <w:t xml:space="preserve"> </w:t>
      </w:r>
      <w:r w:rsidRPr="00057A50">
        <w:t>Subject Disposition (All Randomized Subjects)</w:t>
      </w:r>
      <w:bookmarkEnd w:id="73"/>
    </w:p>
    <w:p w:rsidR="003C2B8A" w:rsidRDefault="00E07ECC" w:rsidP="00625969">
      <w:pPr>
        <w:keepNext/>
      </w:pPr>
      <w:r>
        <w:rPr>
          <w:noProof/>
          <w:lang w:eastAsia="en-AU"/>
        </w:rPr>
        <w:drawing>
          <wp:inline distT="0" distB="0" distL="0" distR="0">
            <wp:extent cx="5909310" cy="4182745"/>
            <wp:effectExtent l="19050" t="0" r="0" b="0"/>
            <wp:docPr id="14" name="Picture 14" descr="Figure 4. Subject Disposition (All Randomiz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t="1318"/>
                    <a:stretch>
                      <a:fillRect/>
                    </a:stretch>
                  </pic:blipFill>
                  <pic:spPr bwMode="auto">
                    <a:xfrm>
                      <a:off x="0" y="0"/>
                      <a:ext cx="5909310" cy="4182745"/>
                    </a:xfrm>
                    <a:prstGeom prst="rect">
                      <a:avLst/>
                    </a:prstGeom>
                    <a:noFill/>
                    <a:ln w="9525">
                      <a:noFill/>
                      <a:miter lim="800000"/>
                      <a:headEnd/>
                      <a:tailEnd/>
                    </a:ln>
                  </pic:spPr>
                </pic:pic>
              </a:graphicData>
            </a:graphic>
          </wp:inline>
        </w:drawing>
      </w:r>
    </w:p>
    <w:p w:rsidR="00E07ECC" w:rsidRDefault="00E07ECC" w:rsidP="00FD4F49">
      <w:pPr>
        <w:pStyle w:val="TableTitle"/>
        <w:spacing w:before="360"/>
      </w:pPr>
      <w:bookmarkStart w:id="74" w:name="_Toc326646555"/>
      <w:r>
        <w:t xml:space="preserve">Table </w:t>
      </w:r>
      <w:r w:rsidR="00423552">
        <w:fldChar w:fldCharType="begin"/>
      </w:r>
      <w:r w:rsidR="00FC3F50">
        <w:instrText xml:space="preserve"> SEQ Table \* ARABIC </w:instrText>
      </w:r>
      <w:r w:rsidR="00423552">
        <w:fldChar w:fldCharType="separate"/>
      </w:r>
      <w:r w:rsidR="002E4F77">
        <w:rPr>
          <w:noProof/>
        </w:rPr>
        <w:t>10</w:t>
      </w:r>
      <w:r w:rsidR="00423552">
        <w:fldChar w:fldCharType="end"/>
      </w:r>
      <w:r w:rsidR="00625969">
        <w:t>.</w:t>
      </w:r>
      <w:r>
        <w:t xml:space="preserve"> </w:t>
      </w:r>
      <w:r w:rsidRPr="00963AB6">
        <w:t>Subject Disposition (All Randomized Subjects)</w:t>
      </w:r>
      <w:bookmarkEnd w:id="74"/>
    </w:p>
    <w:p w:rsidR="00E07ECC" w:rsidRDefault="00E07ECC" w:rsidP="003C2B8A">
      <w:pPr>
        <w:keepNext/>
      </w:pPr>
      <w:r>
        <w:rPr>
          <w:noProof/>
          <w:u w:val="single"/>
          <w:lang w:eastAsia="en-AU"/>
        </w:rPr>
        <w:drawing>
          <wp:inline distT="0" distB="0" distL="0" distR="0">
            <wp:extent cx="5868670" cy="3023235"/>
            <wp:effectExtent l="19050" t="0" r="0" b="0"/>
            <wp:docPr id="15" name="Picture 15" descr="Table 10. Subject Disposition (All Randomiz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l="943"/>
                    <a:stretch>
                      <a:fillRect/>
                    </a:stretch>
                  </pic:blipFill>
                  <pic:spPr bwMode="auto">
                    <a:xfrm>
                      <a:off x="0" y="0"/>
                      <a:ext cx="5868670" cy="3023235"/>
                    </a:xfrm>
                    <a:prstGeom prst="rect">
                      <a:avLst/>
                    </a:prstGeom>
                    <a:noFill/>
                    <a:ln w="9525">
                      <a:noFill/>
                      <a:miter lim="800000"/>
                      <a:headEnd/>
                      <a:tailEnd/>
                    </a:ln>
                  </pic:spPr>
                </pic:pic>
              </a:graphicData>
            </a:graphic>
          </wp:inline>
        </w:drawing>
      </w:r>
    </w:p>
    <w:p w:rsidR="00E07ECC" w:rsidRPr="001A2E35" w:rsidRDefault="00E07ECC" w:rsidP="00E07ECC">
      <w:pPr>
        <w:rPr>
          <w:sz w:val="18"/>
          <w:szCs w:val="18"/>
        </w:rPr>
      </w:pPr>
      <w:r w:rsidRPr="001A2E35">
        <w:rPr>
          <w:sz w:val="18"/>
          <w:szCs w:val="18"/>
          <w:vertAlign w:val="superscript"/>
        </w:rPr>
        <w:t>a</w:t>
      </w:r>
      <w:r w:rsidRPr="001A2E35">
        <w:rPr>
          <w:sz w:val="18"/>
          <w:szCs w:val="18"/>
        </w:rPr>
        <w:t xml:space="preserve"> Denominators are based on the number of randomized subjects within each category.</w:t>
      </w:r>
    </w:p>
    <w:p w:rsidR="00E07ECC" w:rsidRDefault="00E07ECC" w:rsidP="00E07ECC"/>
    <w:p w:rsidR="00E07ECC" w:rsidRDefault="00E07ECC" w:rsidP="00625969">
      <w:pPr>
        <w:pStyle w:val="Heading6"/>
      </w:pPr>
      <w:r>
        <w:lastRenderedPageBreak/>
        <w:t>Major protocol violations/deviations</w:t>
      </w:r>
    </w:p>
    <w:p w:rsidR="00E07ECC" w:rsidRDefault="00E07ECC" w:rsidP="00625969">
      <w:r>
        <w:t>Included failed eligibility criteria (7 subjects), subject not withdrawn when exit criterion was met (9 subjects), subject taking prohibited medications (31 subjects), and visit outside protocol windows (50 subjects).</w:t>
      </w:r>
    </w:p>
    <w:p w:rsidR="00E07ECC" w:rsidRDefault="00E07ECC" w:rsidP="00625969">
      <w:r>
        <w:t>A total of 10 subjects were withdrawn from the study due to protocol deviations: pregnancy (2); noncompliance (3); use of prohibited medication (2); reason not specified or unknown (3).</w:t>
      </w:r>
    </w:p>
    <w:p w:rsidR="00E07ECC" w:rsidRDefault="00E07ECC" w:rsidP="00625969">
      <w:r w:rsidRPr="00963AB6">
        <w:t>Seven subjects took a prohibited AED during treatment with zonisamide.</w:t>
      </w:r>
      <w:r>
        <w:t xml:space="preserve"> Eleven subjects took a prohibited AED with the stop day recorded as Day 1 (first day of treatment with zonisamide).</w:t>
      </w:r>
    </w:p>
    <w:p w:rsidR="00E07ECC" w:rsidRDefault="00E07ECC" w:rsidP="00625969">
      <w:pPr>
        <w:pStyle w:val="Heading6"/>
      </w:pPr>
      <w:r w:rsidRPr="004B259C">
        <w:t>Baseline data</w:t>
      </w:r>
    </w:p>
    <w:p w:rsidR="00E07ECC" w:rsidRPr="00C561AD" w:rsidRDefault="00E07ECC" w:rsidP="00FD4F49">
      <w:pPr>
        <w:pStyle w:val="TableTitle"/>
      </w:pPr>
      <w:bookmarkStart w:id="75" w:name="_Toc326646556"/>
      <w:r>
        <w:t xml:space="preserve">Table </w:t>
      </w:r>
      <w:r w:rsidR="00423552">
        <w:fldChar w:fldCharType="begin"/>
      </w:r>
      <w:r w:rsidR="00FC3F50">
        <w:instrText xml:space="preserve"> SEQ Table \* ARABIC </w:instrText>
      </w:r>
      <w:r w:rsidR="00423552">
        <w:fldChar w:fldCharType="separate"/>
      </w:r>
      <w:r w:rsidR="002E4F77">
        <w:rPr>
          <w:noProof/>
        </w:rPr>
        <w:t>11</w:t>
      </w:r>
      <w:r w:rsidR="00423552">
        <w:fldChar w:fldCharType="end"/>
      </w:r>
      <w:r w:rsidR="00625969">
        <w:t>.</w:t>
      </w:r>
      <w:r>
        <w:t xml:space="preserve"> Subject Epilepsy Etiology and History (Safety Population)</w:t>
      </w:r>
      <w:bookmarkEnd w:id="75"/>
    </w:p>
    <w:p w:rsidR="00E07ECC" w:rsidRDefault="00E07ECC" w:rsidP="001A2E35">
      <w:pPr>
        <w:keepNext/>
      </w:pPr>
      <w:r>
        <w:rPr>
          <w:noProof/>
          <w:u w:val="single"/>
          <w:lang w:eastAsia="en-AU"/>
        </w:rPr>
        <w:drawing>
          <wp:inline distT="0" distB="0" distL="0" distR="0">
            <wp:extent cx="5179060" cy="4810760"/>
            <wp:effectExtent l="19050" t="0" r="2540" b="0"/>
            <wp:docPr id="16" name="Picture 16" descr="Table 11. Subject Epilepsy Etiology and Histor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l="676"/>
                    <a:stretch>
                      <a:fillRect/>
                    </a:stretch>
                  </pic:blipFill>
                  <pic:spPr bwMode="auto">
                    <a:xfrm>
                      <a:off x="0" y="0"/>
                      <a:ext cx="5179060" cy="4810760"/>
                    </a:xfrm>
                    <a:prstGeom prst="rect">
                      <a:avLst/>
                    </a:prstGeom>
                    <a:noFill/>
                    <a:ln w="9525">
                      <a:noFill/>
                      <a:miter lim="800000"/>
                      <a:headEnd/>
                      <a:tailEnd/>
                    </a:ln>
                  </pic:spPr>
                </pic:pic>
              </a:graphicData>
            </a:graphic>
          </wp:inline>
        </w:drawing>
      </w:r>
    </w:p>
    <w:p w:rsidR="00E07ECC" w:rsidRPr="001A2E35" w:rsidRDefault="00E07ECC" w:rsidP="001A2E35">
      <w:pPr>
        <w:keepNext/>
        <w:autoSpaceDE w:val="0"/>
        <w:autoSpaceDN w:val="0"/>
        <w:adjustRightInd w:val="0"/>
        <w:rPr>
          <w:sz w:val="18"/>
          <w:szCs w:val="18"/>
        </w:rPr>
      </w:pPr>
      <w:r w:rsidRPr="001A2E35">
        <w:rPr>
          <w:sz w:val="18"/>
          <w:szCs w:val="18"/>
          <w:vertAlign w:val="superscript"/>
        </w:rPr>
        <w:t>a</w:t>
      </w:r>
      <w:r w:rsidRPr="001A2E35">
        <w:rPr>
          <w:sz w:val="18"/>
          <w:szCs w:val="18"/>
        </w:rPr>
        <w:t xml:space="preserve"> Subjects may be included in more than 1 category.</w:t>
      </w:r>
      <w:r w:rsidRPr="001A2E35">
        <w:rPr>
          <w:sz w:val="18"/>
          <w:szCs w:val="18"/>
        </w:rPr>
        <w:tab/>
        <w:t>CP = complex partial; GTC = generalized tonic-clonic; SD = standard deviation; SP = simple partial.</w:t>
      </w:r>
    </w:p>
    <w:p w:rsidR="00E07ECC" w:rsidRDefault="00E07ECC" w:rsidP="00E07ECC">
      <w:pPr>
        <w:autoSpaceDE w:val="0"/>
        <w:autoSpaceDN w:val="0"/>
        <w:adjustRightInd w:val="0"/>
      </w:pPr>
      <w:r>
        <w:t xml:space="preserve">Among the concomitant medications taken: </w:t>
      </w:r>
      <w:r w:rsidRPr="00821C01">
        <w:t>2 (3.6</w:t>
      </w:r>
      <w:r>
        <w:t>%</w:t>
      </w:r>
      <w:r w:rsidRPr="00821C01">
        <w:t xml:space="preserve">) </w:t>
      </w:r>
      <w:r>
        <w:t xml:space="preserve">of the 25 mg/day and </w:t>
      </w:r>
      <w:r w:rsidRPr="00821C01">
        <w:t>3 (5.1</w:t>
      </w:r>
      <w:r>
        <w:t>%</w:t>
      </w:r>
      <w:r w:rsidRPr="00821C01">
        <w:t xml:space="preserve">) </w:t>
      </w:r>
      <w:r>
        <w:t xml:space="preserve">on 300 mg/day were also on </w:t>
      </w:r>
      <w:r w:rsidRPr="00821C01">
        <w:t>Diazepam</w:t>
      </w:r>
      <w:r>
        <w:t xml:space="preserve">; </w:t>
      </w:r>
      <w:r w:rsidRPr="00821C01">
        <w:t>4 (7.1</w:t>
      </w:r>
      <w:r>
        <w:t>%</w:t>
      </w:r>
      <w:r w:rsidRPr="00821C01">
        <w:t xml:space="preserve">) </w:t>
      </w:r>
      <w:r>
        <w:t xml:space="preserve">of the 25 mg/day group, </w:t>
      </w:r>
      <w:r w:rsidRPr="00821C01">
        <w:t>3 (5.8</w:t>
      </w:r>
      <w:r>
        <w:t>%</w:t>
      </w:r>
      <w:r w:rsidRPr="00821C01">
        <w:t>)</w:t>
      </w:r>
      <w:r>
        <w:t xml:space="preserve"> on 100 mg/day, and</w:t>
      </w:r>
      <w:r w:rsidRPr="00821C01">
        <w:t xml:space="preserve"> 2 (3.4</w:t>
      </w:r>
      <w:r>
        <w:t>%</w:t>
      </w:r>
      <w:r w:rsidRPr="00821C01">
        <w:t>)</w:t>
      </w:r>
      <w:r>
        <w:t xml:space="preserve"> on 300 mg/day were also taking </w:t>
      </w:r>
      <w:r w:rsidRPr="00821C01">
        <w:t>Carbamazepine</w:t>
      </w:r>
      <w:r>
        <w:t>.</w:t>
      </w:r>
    </w:p>
    <w:p w:rsidR="00E07ECC" w:rsidRDefault="00E07ECC" w:rsidP="00FD4F49">
      <w:pPr>
        <w:pStyle w:val="TableTitle"/>
      </w:pPr>
      <w:bookmarkStart w:id="76" w:name="_Toc326646557"/>
      <w:r>
        <w:lastRenderedPageBreak/>
        <w:t xml:space="preserve">Table </w:t>
      </w:r>
      <w:r w:rsidR="00423552">
        <w:fldChar w:fldCharType="begin"/>
      </w:r>
      <w:r w:rsidR="00FC3F50">
        <w:instrText xml:space="preserve"> SEQ Table \* ARABIC </w:instrText>
      </w:r>
      <w:r w:rsidR="00423552">
        <w:fldChar w:fldCharType="separate"/>
      </w:r>
      <w:r w:rsidR="002E4F77">
        <w:rPr>
          <w:noProof/>
        </w:rPr>
        <w:t>12</w:t>
      </w:r>
      <w:r w:rsidR="00423552">
        <w:fldChar w:fldCharType="end"/>
      </w:r>
      <w:r w:rsidR="00625969">
        <w:t>.</w:t>
      </w:r>
      <w:r>
        <w:t xml:space="preserve"> Subject Demographic and Baseline Characteristics (Safety Population)</w:t>
      </w:r>
      <w:bookmarkEnd w:id="76"/>
    </w:p>
    <w:p w:rsidR="00E07ECC" w:rsidRDefault="00E07ECC" w:rsidP="00625969">
      <w:pPr>
        <w:keepNext/>
        <w:autoSpaceDE w:val="0"/>
        <w:autoSpaceDN w:val="0"/>
        <w:adjustRightInd w:val="0"/>
      </w:pPr>
      <w:r>
        <w:rPr>
          <w:noProof/>
          <w:lang w:eastAsia="en-AU"/>
        </w:rPr>
        <w:drawing>
          <wp:inline distT="0" distB="0" distL="0" distR="0">
            <wp:extent cx="5042535" cy="1187450"/>
            <wp:effectExtent l="19050" t="0" r="5715" b="0"/>
            <wp:docPr id="17" name="Picture 17" descr="Table 12. Subject Demographic and Baseline Characteristic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l="932" b="78659"/>
                    <a:stretch>
                      <a:fillRect/>
                    </a:stretch>
                  </pic:blipFill>
                  <pic:spPr bwMode="auto">
                    <a:xfrm>
                      <a:off x="0" y="0"/>
                      <a:ext cx="5042535" cy="1187450"/>
                    </a:xfrm>
                    <a:prstGeom prst="rect">
                      <a:avLst/>
                    </a:prstGeom>
                    <a:noFill/>
                    <a:ln w="9525">
                      <a:noFill/>
                      <a:miter lim="800000"/>
                      <a:headEnd/>
                      <a:tailEnd/>
                    </a:ln>
                  </pic:spPr>
                </pic:pic>
              </a:graphicData>
            </a:graphic>
          </wp:inline>
        </w:drawing>
      </w:r>
    </w:p>
    <w:p w:rsidR="00E07ECC" w:rsidRDefault="00E07ECC" w:rsidP="00625969">
      <w:pPr>
        <w:keepNext/>
        <w:autoSpaceDE w:val="0"/>
        <w:autoSpaceDN w:val="0"/>
        <w:adjustRightInd w:val="0"/>
      </w:pPr>
      <w:r>
        <w:rPr>
          <w:noProof/>
          <w:lang w:eastAsia="en-AU"/>
        </w:rPr>
        <w:drawing>
          <wp:inline distT="0" distB="0" distL="0" distR="0">
            <wp:extent cx="5042535" cy="1105535"/>
            <wp:effectExtent l="19050" t="0" r="5715" b="0"/>
            <wp:docPr id="18" name="Picture 18" descr="Table 12 continued. Subject Demographic and Baseline Characteristic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srcRect l="932" t="44051" b="37213"/>
                    <a:stretch>
                      <a:fillRect/>
                    </a:stretch>
                  </pic:blipFill>
                  <pic:spPr bwMode="auto">
                    <a:xfrm>
                      <a:off x="0" y="0"/>
                      <a:ext cx="5042535" cy="1105535"/>
                    </a:xfrm>
                    <a:prstGeom prst="rect">
                      <a:avLst/>
                    </a:prstGeom>
                    <a:noFill/>
                    <a:ln w="9525">
                      <a:noFill/>
                      <a:miter lim="800000"/>
                      <a:headEnd/>
                      <a:tailEnd/>
                    </a:ln>
                  </pic:spPr>
                </pic:pic>
              </a:graphicData>
            </a:graphic>
          </wp:inline>
        </w:drawing>
      </w:r>
    </w:p>
    <w:p w:rsidR="00E07ECC" w:rsidRDefault="00E07ECC" w:rsidP="00625969">
      <w:pPr>
        <w:keepNext/>
        <w:autoSpaceDE w:val="0"/>
        <w:autoSpaceDN w:val="0"/>
        <w:adjustRightInd w:val="0"/>
      </w:pPr>
      <w:r>
        <w:rPr>
          <w:noProof/>
          <w:u w:val="single"/>
          <w:lang w:eastAsia="en-AU"/>
        </w:rPr>
        <w:drawing>
          <wp:inline distT="0" distB="0" distL="0" distR="0">
            <wp:extent cx="5042535" cy="1057910"/>
            <wp:effectExtent l="19050" t="0" r="5715" b="0"/>
            <wp:docPr id="19" name="Picture 19" descr="Table 12 continued. Subject Demographic and Baseline Characteristic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l="932" t="82030" r="2144"/>
                    <a:stretch>
                      <a:fillRect/>
                    </a:stretch>
                  </pic:blipFill>
                  <pic:spPr bwMode="auto">
                    <a:xfrm>
                      <a:off x="0" y="0"/>
                      <a:ext cx="5042535" cy="1057910"/>
                    </a:xfrm>
                    <a:prstGeom prst="rect">
                      <a:avLst/>
                    </a:prstGeom>
                    <a:noFill/>
                    <a:ln w="9525">
                      <a:noFill/>
                      <a:miter lim="800000"/>
                      <a:headEnd/>
                      <a:tailEnd/>
                    </a:ln>
                  </pic:spPr>
                </pic:pic>
              </a:graphicData>
            </a:graphic>
          </wp:inline>
        </w:drawing>
      </w:r>
    </w:p>
    <w:p w:rsidR="00E07ECC" w:rsidRPr="004B259C" w:rsidRDefault="00E07ECC" w:rsidP="00081C6D">
      <w:pPr>
        <w:pStyle w:val="Heading6"/>
        <w:spacing w:before="240"/>
      </w:pPr>
      <w:r w:rsidRPr="004B259C">
        <w:t>Results for the primary efficacy outcome</w:t>
      </w:r>
    </w:p>
    <w:p w:rsidR="00E07ECC" w:rsidRDefault="00E07ECC" w:rsidP="00FD4F49">
      <w:pPr>
        <w:pStyle w:val="TableTitle"/>
      </w:pPr>
      <w:bookmarkStart w:id="77" w:name="_Toc326646558"/>
      <w:r>
        <w:t xml:space="preserve">Table </w:t>
      </w:r>
      <w:r w:rsidR="00423552">
        <w:fldChar w:fldCharType="begin"/>
      </w:r>
      <w:r w:rsidR="00FC3F50">
        <w:instrText xml:space="preserve"> SEQ Table \* ARABIC </w:instrText>
      </w:r>
      <w:r w:rsidR="00423552">
        <w:fldChar w:fldCharType="separate"/>
      </w:r>
      <w:r w:rsidR="002E4F77">
        <w:rPr>
          <w:noProof/>
        </w:rPr>
        <w:t>13</w:t>
      </w:r>
      <w:r w:rsidR="00423552">
        <w:fldChar w:fldCharType="end"/>
      </w:r>
      <w:r w:rsidR="001A2E35">
        <w:t>.</w:t>
      </w:r>
      <w:r>
        <w:t xml:space="preserve"> Time to Predefined Exit Criterion (2 Complex Partial Seizures or 1 Generalized Tonic-Clonic Seizure) (Safety Population)</w:t>
      </w:r>
      <w:bookmarkEnd w:id="77"/>
    </w:p>
    <w:p w:rsidR="00E07ECC" w:rsidRDefault="00E07ECC" w:rsidP="00E07ECC">
      <w:r>
        <w:rPr>
          <w:noProof/>
          <w:lang w:eastAsia="en-AU"/>
        </w:rPr>
        <w:drawing>
          <wp:inline distT="0" distB="0" distL="0" distR="0">
            <wp:extent cx="5608955" cy="3322955"/>
            <wp:effectExtent l="19050" t="0" r="0" b="0"/>
            <wp:docPr id="20" name="Picture 20" descr="Table 13. Time to Predefined Exit Criterion (2 Complex Partial Seizures or 1 Generalized Tonic-Clonic Seizur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l="804" t="1590"/>
                    <a:stretch>
                      <a:fillRect/>
                    </a:stretch>
                  </pic:blipFill>
                  <pic:spPr bwMode="auto">
                    <a:xfrm>
                      <a:off x="0" y="0"/>
                      <a:ext cx="5608955" cy="3322955"/>
                    </a:xfrm>
                    <a:prstGeom prst="rect">
                      <a:avLst/>
                    </a:prstGeom>
                    <a:noFill/>
                    <a:ln w="9525">
                      <a:noFill/>
                      <a:miter lim="800000"/>
                      <a:headEnd/>
                      <a:tailEnd/>
                    </a:ln>
                  </pic:spPr>
                </pic:pic>
              </a:graphicData>
            </a:graphic>
          </wp:inline>
        </w:drawing>
      </w:r>
    </w:p>
    <w:p w:rsidR="00E07ECC" w:rsidRPr="001A2E35" w:rsidRDefault="00E07ECC" w:rsidP="00E07ECC">
      <w:pPr>
        <w:rPr>
          <w:sz w:val="18"/>
          <w:szCs w:val="18"/>
        </w:rPr>
      </w:pPr>
      <w:r w:rsidRPr="001A2E35">
        <w:rPr>
          <w:sz w:val="18"/>
          <w:szCs w:val="18"/>
        </w:rPr>
        <w:t xml:space="preserve">NE = not estimable. </w:t>
      </w:r>
      <w:r w:rsidRPr="001A2E35">
        <w:rPr>
          <w:sz w:val="18"/>
          <w:szCs w:val="18"/>
        </w:rPr>
        <w:tab/>
      </w:r>
      <w:r w:rsidRPr="001A2E35">
        <w:rPr>
          <w:sz w:val="18"/>
          <w:szCs w:val="18"/>
          <w:vertAlign w:val="superscript"/>
        </w:rPr>
        <w:t>a</w:t>
      </w:r>
      <w:r w:rsidRPr="001A2E35">
        <w:rPr>
          <w:sz w:val="18"/>
          <w:szCs w:val="18"/>
        </w:rPr>
        <w:t xml:space="preserve"> Results are based on the Kaplan-Meier method.</w:t>
      </w:r>
    </w:p>
    <w:p w:rsidR="00E07ECC" w:rsidRPr="001A2E35" w:rsidRDefault="00E07ECC" w:rsidP="00E07ECC">
      <w:pPr>
        <w:rPr>
          <w:sz w:val="18"/>
          <w:szCs w:val="18"/>
        </w:rPr>
      </w:pPr>
      <w:r w:rsidRPr="001A2E35">
        <w:rPr>
          <w:sz w:val="18"/>
          <w:szCs w:val="18"/>
          <w:vertAlign w:val="superscript"/>
        </w:rPr>
        <w:t>b</w:t>
      </w:r>
      <w:r w:rsidRPr="001A2E35">
        <w:rPr>
          <w:sz w:val="18"/>
          <w:szCs w:val="18"/>
        </w:rPr>
        <w:t xml:space="preserve"> The risk ratio, 95% CI for risk ratio, and p-value are based on Cox proportional hazards regression model under the assumption that the dosing groups were equally spaced.</w:t>
      </w:r>
    </w:p>
    <w:p w:rsidR="00E07ECC" w:rsidRDefault="00E07ECC" w:rsidP="00FD4F49">
      <w:pPr>
        <w:pStyle w:val="TableTitle"/>
      </w:pPr>
      <w:bookmarkStart w:id="78" w:name="_Toc326646559"/>
      <w:r>
        <w:lastRenderedPageBreak/>
        <w:t xml:space="preserve">Table </w:t>
      </w:r>
      <w:r w:rsidR="00423552">
        <w:fldChar w:fldCharType="begin"/>
      </w:r>
      <w:r w:rsidR="00FC3F50">
        <w:instrText xml:space="preserve"> SEQ Table \* ARABIC </w:instrText>
      </w:r>
      <w:r w:rsidR="00423552">
        <w:fldChar w:fldCharType="separate"/>
      </w:r>
      <w:r w:rsidR="002E4F77">
        <w:rPr>
          <w:noProof/>
        </w:rPr>
        <w:t>14</w:t>
      </w:r>
      <w:r w:rsidR="00423552">
        <w:fldChar w:fldCharType="end"/>
      </w:r>
      <w:r w:rsidR="001A2E35">
        <w:t>.</w:t>
      </w:r>
      <w:r>
        <w:t xml:space="preserve"> Time to Predefined Exit Criterion (2 Complex Partial Seizures or 1 Generalized Tonic-Clonic Seizure) Evaluable Population</w:t>
      </w:r>
      <w:bookmarkEnd w:id="78"/>
    </w:p>
    <w:p w:rsidR="00E07ECC" w:rsidRDefault="00E07ECC" w:rsidP="004510A5">
      <w:pPr>
        <w:keepNext/>
      </w:pPr>
      <w:r>
        <w:rPr>
          <w:noProof/>
          <w:lang w:eastAsia="en-AU"/>
        </w:rPr>
        <w:drawing>
          <wp:inline distT="0" distB="0" distL="0" distR="0">
            <wp:extent cx="2886075" cy="2435126"/>
            <wp:effectExtent l="19050" t="0" r="9525" b="0"/>
            <wp:docPr id="21" name="Picture 21" descr="Table 14. Time to Predefined Exit Criterion (2 Complex Partial Seizures or 1 Generalized Tonic-Clonic Seizure) Evaluabl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srcRect t="15953" r="64561"/>
                    <a:stretch>
                      <a:fillRect/>
                    </a:stretch>
                  </pic:blipFill>
                  <pic:spPr bwMode="auto">
                    <a:xfrm>
                      <a:off x="0" y="0"/>
                      <a:ext cx="2886075" cy="2435126"/>
                    </a:xfrm>
                    <a:prstGeom prst="rect">
                      <a:avLst/>
                    </a:prstGeom>
                    <a:noFill/>
                    <a:ln w="9525">
                      <a:noFill/>
                      <a:miter lim="800000"/>
                      <a:headEnd/>
                      <a:tailEnd/>
                    </a:ln>
                  </pic:spPr>
                </pic:pic>
              </a:graphicData>
            </a:graphic>
          </wp:inline>
        </w:drawing>
      </w:r>
      <w:r>
        <w:rPr>
          <w:noProof/>
          <w:lang w:eastAsia="en-AU"/>
        </w:rPr>
        <w:drawing>
          <wp:inline distT="0" distB="0" distL="0" distR="0">
            <wp:extent cx="3819955" cy="2705100"/>
            <wp:effectExtent l="19050" t="0" r="9095" b="0"/>
            <wp:docPr id="22" name="Picture 22" descr="Table 14 continued. Time to Predefined Exit Criterion (2 Complex Partial Seizures or 1 Generalized Tonic-Clonic Seizure) Evaluabl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l="50337"/>
                    <a:stretch>
                      <a:fillRect/>
                    </a:stretch>
                  </pic:blipFill>
                  <pic:spPr bwMode="auto">
                    <a:xfrm>
                      <a:off x="0" y="0"/>
                      <a:ext cx="3822928" cy="2707205"/>
                    </a:xfrm>
                    <a:prstGeom prst="rect">
                      <a:avLst/>
                    </a:prstGeom>
                    <a:noFill/>
                    <a:ln w="9525">
                      <a:noFill/>
                      <a:miter lim="800000"/>
                      <a:headEnd/>
                      <a:tailEnd/>
                    </a:ln>
                  </pic:spPr>
                </pic:pic>
              </a:graphicData>
            </a:graphic>
          </wp:inline>
        </w:drawing>
      </w:r>
    </w:p>
    <w:p w:rsidR="00E07ECC" w:rsidRPr="001A2E35" w:rsidRDefault="00E07ECC" w:rsidP="004510A5">
      <w:pPr>
        <w:keepNext/>
        <w:rPr>
          <w:sz w:val="18"/>
          <w:szCs w:val="18"/>
        </w:rPr>
      </w:pPr>
      <w:r w:rsidRPr="001A2E35">
        <w:rPr>
          <w:sz w:val="18"/>
          <w:szCs w:val="18"/>
        </w:rPr>
        <w:t>NE = Not Estimable.</w:t>
      </w:r>
      <w:r w:rsidR="004510A5" w:rsidRPr="001A2E35">
        <w:rPr>
          <w:sz w:val="18"/>
          <w:szCs w:val="18"/>
        </w:rPr>
        <w:t xml:space="preserve"> </w:t>
      </w:r>
      <w:r w:rsidRPr="001A2E35">
        <w:rPr>
          <w:sz w:val="18"/>
          <w:szCs w:val="18"/>
        </w:rPr>
        <w:t>[1] Results are based on the Kaplan-Meier method.</w:t>
      </w:r>
      <w:r w:rsidR="004510A5" w:rsidRPr="001A2E35">
        <w:rPr>
          <w:sz w:val="18"/>
          <w:szCs w:val="18"/>
        </w:rPr>
        <w:t xml:space="preserve"> </w:t>
      </w:r>
      <w:r w:rsidRPr="001A2E35">
        <w:rPr>
          <w:sz w:val="18"/>
          <w:szCs w:val="18"/>
        </w:rPr>
        <w:t>[2] The risk ratio, 95% CI for risk ratio, and p-value are based on Cox Proportional Hazards Regression Hazard Model under the assumption the dosing groups are equally spaced.</w:t>
      </w:r>
    </w:p>
    <w:p w:rsidR="00E07ECC" w:rsidRDefault="00E07ECC" w:rsidP="00E07ECC"/>
    <w:p w:rsidR="00E07ECC" w:rsidRDefault="00E07ECC" w:rsidP="00E07ECC">
      <w:pPr>
        <w:sectPr w:rsidR="00E07ECC" w:rsidSect="000A6651">
          <w:endnotePr>
            <w:numFmt w:val="decimal"/>
          </w:endnotePr>
          <w:pgSz w:w="11906" w:h="16838" w:code="9"/>
          <w:pgMar w:top="1134" w:right="1134" w:bottom="1134" w:left="1440" w:header="737" w:footer="737" w:gutter="0"/>
          <w:cols w:space="720"/>
          <w:docGrid w:linePitch="299"/>
        </w:sectPr>
      </w:pPr>
    </w:p>
    <w:p w:rsidR="00E07ECC" w:rsidRDefault="00E07ECC" w:rsidP="004510A5">
      <w:pPr>
        <w:pStyle w:val="FigureTitle"/>
      </w:pPr>
      <w:bookmarkStart w:id="79" w:name="_Toc326646586"/>
      <w:r>
        <w:lastRenderedPageBreak/>
        <w:t xml:space="preserve">Figure </w:t>
      </w:r>
      <w:r w:rsidR="00423552">
        <w:fldChar w:fldCharType="begin"/>
      </w:r>
      <w:r w:rsidR="00FC3F50">
        <w:instrText xml:space="preserve"> SEQ Figure \* ARABIC </w:instrText>
      </w:r>
      <w:r w:rsidR="00423552">
        <w:fldChar w:fldCharType="separate"/>
      </w:r>
      <w:r w:rsidR="002E4F77">
        <w:rPr>
          <w:noProof/>
        </w:rPr>
        <w:t>5</w:t>
      </w:r>
      <w:r w:rsidR="00423552">
        <w:fldChar w:fldCharType="end"/>
      </w:r>
      <w:r w:rsidR="004510A5">
        <w:t>.</w:t>
      </w:r>
      <w:r>
        <w:t xml:space="preserve"> Analysis of Time to Predefined Exit Criterion (Safety Population) Survival Plot</w:t>
      </w:r>
      <w:bookmarkEnd w:id="79"/>
    </w:p>
    <w:p w:rsidR="00E07ECC" w:rsidRDefault="00E07ECC" w:rsidP="00E07ECC">
      <w:pPr>
        <w:rPr>
          <w:noProof/>
        </w:rPr>
      </w:pPr>
      <w:r>
        <w:rPr>
          <w:noProof/>
          <w:lang w:eastAsia="en-AU"/>
        </w:rPr>
        <w:drawing>
          <wp:inline distT="0" distB="0" distL="0" distR="0">
            <wp:extent cx="7299665" cy="3657600"/>
            <wp:effectExtent l="19050" t="0" r="0" b="0"/>
            <wp:docPr id="23" name="Picture 23" descr="Figure 5. Analysis of Time to Predefined Exit Criterion (Safety Population) Survival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srcRect l="9331" t="26273" r="9560"/>
                    <a:stretch>
                      <a:fillRect/>
                    </a:stretch>
                  </pic:blipFill>
                  <pic:spPr bwMode="auto">
                    <a:xfrm>
                      <a:off x="0" y="0"/>
                      <a:ext cx="7306718" cy="3661134"/>
                    </a:xfrm>
                    <a:prstGeom prst="rect">
                      <a:avLst/>
                    </a:prstGeom>
                    <a:noFill/>
                    <a:ln w="9525">
                      <a:noFill/>
                      <a:miter lim="800000"/>
                      <a:headEnd/>
                      <a:tailEnd/>
                    </a:ln>
                  </pic:spPr>
                </pic:pic>
              </a:graphicData>
            </a:graphic>
          </wp:inline>
        </w:drawing>
      </w:r>
      <w:r>
        <w:rPr>
          <w:noProof/>
        </w:rPr>
        <w:br w:type="column"/>
      </w:r>
    </w:p>
    <w:p w:rsidR="00E07ECC" w:rsidRDefault="00E07ECC" w:rsidP="00E07ECC">
      <w:pPr>
        <w:rPr>
          <w:noProof/>
        </w:rPr>
      </w:pPr>
    </w:p>
    <w:p w:rsidR="00E07ECC" w:rsidRDefault="00E07ECC" w:rsidP="00E07ECC">
      <w:pPr>
        <w:rPr>
          <w:noProof/>
        </w:rPr>
      </w:pPr>
    </w:p>
    <w:p w:rsidR="00E07ECC" w:rsidRDefault="00E07ECC" w:rsidP="00E07ECC">
      <w:pPr>
        <w:rPr>
          <w:noProof/>
        </w:rPr>
      </w:pPr>
    </w:p>
    <w:p w:rsidR="00E07ECC" w:rsidRDefault="00E07ECC" w:rsidP="00E07ECC">
      <w:pPr>
        <w:rPr>
          <w:noProof/>
        </w:rPr>
      </w:pPr>
    </w:p>
    <w:p w:rsidR="00E07ECC" w:rsidRDefault="00E07ECC" w:rsidP="00E07ECC">
      <w:pPr>
        <w:rPr>
          <w:noProof/>
        </w:rPr>
      </w:pPr>
    </w:p>
    <w:p w:rsidR="00E07ECC" w:rsidRDefault="00E07ECC" w:rsidP="00E07ECC">
      <w:pPr>
        <w:rPr>
          <w:noProof/>
        </w:rPr>
      </w:pPr>
    </w:p>
    <w:p w:rsidR="00E07ECC" w:rsidRDefault="00E07ECC" w:rsidP="00E07ECC">
      <w:pPr>
        <w:rPr>
          <w:noProof/>
        </w:rPr>
      </w:pPr>
    </w:p>
    <w:p w:rsidR="00E07ECC" w:rsidRDefault="00E07ECC" w:rsidP="00E07ECC">
      <w:pPr>
        <w:rPr>
          <w:noProof/>
        </w:rPr>
      </w:pPr>
    </w:p>
    <w:p w:rsidR="00E07ECC" w:rsidRDefault="004510A5" w:rsidP="00E07ECC">
      <w:pPr>
        <w:rPr>
          <w:noProof/>
        </w:rPr>
      </w:pPr>
      <w:r>
        <w:rPr>
          <w:noProof/>
          <w:lang w:eastAsia="en-AU"/>
        </w:rPr>
        <w:drawing>
          <wp:inline distT="0" distB="0" distL="0" distR="0">
            <wp:extent cx="2163445" cy="313690"/>
            <wp:effectExtent l="19050" t="0" r="8255" b="0"/>
            <wp:docPr id="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srcRect/>
                    <a:stretch>
                      <a:fillRect/>
                    </a:stretch>
                  </pic:blipFill>
                  <pic:spPr bwMode="auto">
                    <a:xfrm>
                      <a:off x="0" y="0"/>
                      <a:ext cx="2163445" cy="313690"/>
                    </a:xfrm>
                    <a:prstGeom prst="rect">
                      <a:avLst/>
                    </a:prstGeom>
                    <a:noFill/>
                    <a:ln w="9525">
                      <a:noFill/>
                      <a:miter lim="800000"/>
                      <a:headEnd/>
                      <a:tailEnd/>
                    </a:ln>
                  </pic:spPr>
                </pic:pic>
              </a:graphicData>
            </a:graphic>
          </wp:inline>
        </w:drawing>
      </w:r>
    </w:p>
    <w:p w:rsidR="00E07ECC" w:rsidRDefault="004510A5" w:rsidP="00E07ECC">
      <w:pPr>
        <w:rPr>
          <w:noProof/>
        </w:rPr>
      </w:pPr>
      <w:r>
        <w:rPr>
          <w:noProof/>
          <w:lang w:eastAsia="en-AU"/>
        </w:rPr>
        <w:drawing>
          <wp:inline distT="0" distB="0" distL="0" distR="0">
            <wp:extent cx="2163445" cy="293370"/>
            <wp:effectExtent l="19050" t="0" r="8255" b="0"/>
            <wp:docPr id="5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srcRect/>
                    <a:stretch>
                      <a:fillRect/>
                    </a:stretch>
                  </pic:blipFill>
                  <pic:spPr bwMode="auto">
                    <a:xfrm>
                      <a:off x="0" y="0"/>
                      <a:ext cx="2163445" cy="293370"/>
                    </a:xfrm>
                    <a:prstGeom prst="rect">
                      <a:avLst/>
                    </a:prstGeom>
                    <a:noFill/>
                    <a:ln w="9525">
                      <a:noFill/>
                      <a:miter lim="800000"/>
                      <a:headEnd/>
                      <a:tailEnd/>
                    </a:ln>
                  </pic:spPr>
                </pic:pic>
              </a:graphicData>
            </a:graphic>
          </wp:inline>
        </w:drawing>
      </w:r>
    </w:p>
    <w:p w:rsidR="00E07ECC" w:rsidRDefault="004510A5" w:rsidP="00E07ECC">
      <w:r>
        <w:rPr>
          <w:noProof/>
          <w:lang w:eastAsia="en-AU"/>
        </w:rPr>
        <w:drawing>
          <wp:inline distT="0" distB="0" distL="0" distR="0">
            <wp:extent cx="2163445" cy="293370"/>
            <wp:effectExtent l="19050" t="0" r="8255" b="0"/>
            <wp:docPr id="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a:stretch>
                      <a:fillRect/>
                    </a:stretch>
                  </pic:blipFill>
                  <pic:spPr bwMode="auto">
                    <a:xfrm>
                      <a:off x="0" y="0"/>
                      <a:ext cx="2163445" cy="293370"/>
                    </a:xfrm>
                    <a:prstGeom prst="rect">
                      <a:avLst/>
                    </a:prstGeom>
                    <a:noFill/>
                    <a:ln w="9525">
                      <a:noFill/>
                      <a:miter lim="800000"/>
                      <a:headEnd/>
                      <a:tailEnd/>
                    </a:ln>
                  </pic:spPr>
                </pic:pic>
              </a:graphicData>
            </a:graphic>
          </wp:inline>
        </w:drawing>
      </w:r>
    </w:p>
    <w:p w:rsidR="00E07ECC" w:rsidRDefault="00E07ECC" w:rsidP="00E07ECC"/>
    <w:p w:rsidR="00E07ECC" w:rsidRDefault="00E07ECC" w:rsidP="00E07ECC">
      <w:pPr>
        <w:sectPr w:rsidR="00E07ECC" w:rsidSect="000A6651">
          <w:footnotePr>
            <w:numFmt w:val="lowerLetter"/>
          </w:footnotePr>
          <w:endnotePr>
            <w:numFmt w:val="decimal"/>
          </w:endnotePr>
          <w:pgSz w:w="16838" w:h="11906" w:orient="landscape" w:code="9"/>
          <w:pgMar w:top="1440" w:right="1134" w:bottom="1134" w:left="1134" w:header="737" w:footer="737" w:gutter="0"/>
          <w:cols w:num="2" w:space="0" w:equalWidth="0">
            <w:col w:w="10206" w:space="0"/>
            <w:col w:w="4364"/>
          </w:cols>
          <w:docGrid w:linePitch="299"/>
        </w:sectPr>
      </w:pPr>
    </w:p>
    <w:p w:rsidR="00E07ECC" w:rsidRPr="00C52E83" w:rsidRDefault="00E07ECC" w:rsidP="00FD4F49">
      <w:pPr>
        <w:pStyle w:val="TableTitle"/>
      </w:pPr>
      <w:bookmarkStart w:id="80" w:name="_Toc326646560"/>
      <w:r>
        <w:lastRenderedPageBreak/>
        <w:t xml:space="preserve">Table </w:t>
      </w:r>
      <w:r w:rsidR="00423552">
        <w:fldChar w:fldCharType="begin"/>
      </w:r>
      <w:r w:rsidR="00FC3F50">
        <w:instrText xml:space="preserve"> SEQ Table \* ARABIC </w:instrText>
      </w:r>
      <w:r w:rsidR="00423552">
        <w:fldChar w:fldCharType="separate"/>
      </w:r>
      <w:r w:rsidR="002E4F77">
        <w:rPr>
          <w:noProof/>
        </w:rPr>
        <w:t>15</w:t>
      </w:r>
      <w:r w:rsidR="00423552">
        <w:fldChar w:fldCharType="end"/>
      </w:r>
      <w:r w:rsidR="004510A5">
        <w:t>.</w:t>
      </w:r>
      <w:r>
        <w:t xml:space="preserve"> </w:t>
      </w:r>
      <w:r w:rsidRPr="00C52E83">
        <w:t>Secondary Variables: Proportion of Subjects Seizure-Free for ≥ 6 Months and Proportion of Subjects Remaining on Treatment for the Duration of the Study (Safety Population)</w:t>
      </w:r>
      <w:bookmarkEnd w:id="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567"/>
        <w:gridCol w:w="1984"/>
        <w:gridCol w:w="1276"/>
        <w:gridCol w:w="1417"/>
        <w:gridCol w:w="567"/>
        <w:gridCol w:w="1985"/>
        <w:gridCol w:w="1417"/>
        <w:gridCol w:w="567"/>
        <w:gridCol w:w="1843"/>
        <w:gridCol w:w="851"/>
      </w:tblGrid>
      <w:tr w:rsidR="00E07ECC" w:rsidRPr="00554FBE" w:rsidTr="004510A5">
        <w:tc>
          <w:tcPr>
            <w:tcW w:w="1668" w:type="dxa"/>
            <w:vMerge w:val="restart"/>
            <w:shd w:val="clear" w:color="auto" w:fill="0070C0"/>
            <w:vAlign w:val="center"/>
          </w:tcPr>
          <w:p w:rsidR="00E07ECC" w:rsidRPr="004510A5" w:rsidRDefault="00E07ECC" w:rsidP="004510A5">
            <w:pPr>
              <w:keepNext/>
              <w:rPr>
                <w:b/>
                <w:color w:val="FFFFFF" w:themeColor="background1"/>
                <w:sz w:val="20"/>
                <w:szCs w:val="20"/>
              </w:rPr>
            </w:pPr>
            <w:r w:rsidRPr="004510A5">
              <w:rPr>
                <w:b/>
                <w:color w:val="FFFFFF" w:themeColor="background1"/>
                <w:sz w:val="20"/>
                <w:szCs w:val="20"/>
              </w:rPr>
              <w:t xml:space="preserve">Variable </w:t>
            </w:r>
          </w:p>
        </w:tc>
        <w:tc>
          <w:tcPr>
            <w:tcW w:w="5244" w:type="dxa"/>
            <w:gridSpan w:val="4"/>
            <w:shd w:val="clear" w:color="auto" w:fill="0070C0"/>
          </w:tcPr>
          <w:p w:rsidR="00E07ECC" w:rsidRPr="004510A5" w:rsidRDefault="00E07ECC" w:rsidP="004510A5">
            <w:pPr>
              <w:keepNext/>
              <w:rPr>
                <w:b/>
                <w:color w:val="FFFFFF" w:themeColor="background1"/>
                <w:sz w:val="20"/>
                <w:szCs w:val="20"/>
              </w:rPr>
            </w:pPr>
            <w:r w:rsidRPr="004510A5">
              <w:rPr>
                <w:b/>
                <w:color w:val="FFFFFF" w:themeColor="background1"/>
                <w:sz w:val="20"/>
                <w:szCs w:val="20"/>
              </w:rPr>
              <w:t>25 mg/day</w:t>
            </w:r>
          </w:p>
          <w:p w:rsidR="00E07ECC" w:rsidRPr="004510A5" w:rsidRDefault="00E07ECC" w:rsidP="004510A5">
            <w:pPr>
              <w:keepNext/>
              <w:rPr>
                <w:b/>
                <w:color w:val="FFFFFF" w:themeColor="background1"/>
                <w:sz w:val="20"/>
                <w:szCs w:val="20"/>
              </w:rPr>
            </w:pPr>
            <w:r w:rsidRPr="004510A5">
              <w:rPr>
                <w:b/>
                <w:color w:val="FFFFFF" w:themeColor="background1"/>
                <w:sz w:val="20"/>
                <w:szCs w:val="20"/>
              </w:rPr>
              <w:t>(N=56)</w:t>
            </w:r>
          </w:p>
        </w:tc>
        <w:tc>
          <w:tcPr>
            <w:tcW w:w="3969" w:type="dxa"/>
            <w:gridSpan w:val="3"/>
            <w:shd w:val="clear" w:color="auto" w:fill="0070C0"/>
          </w:tcPr>
          <w:p w:rsidR="00E07ECC" w:rsidRPr="004510A5" w:rsidRDefault="00E07ECC" w:rsidP="004510A5">
            <w:pPr>
              <w:keepNext/>
              <w:rPr>
                <w:b/>
                <w:color w:val="FFFFFF" w:themeColor="background1"/>
                <w:sz w:val="20"/>
                <w:szCs w:val="20"/>
              </w:rPr>
            </w:pPr>
            <w:r w:rsidRPr="004510A5">
              <w:rPr>
                <w:b/>
                <w:color w:val="FFFFFF" w:themeColor="background1"/>
                <w:sz w:val="20"/>
                <w:szCs w:val="20"/>
              </w:rPr>
              <w:t>100 mg/day</w:t>
            </w:r>
          </w:p>
          <w:p w:rsidR="00E07ECC" w:rsidRPr="004510A5" w:rsidRDefault="00E07ECC" w:rsidP="004510A5">
            <w:pPr>
              <w:keepNext/>
              <w:rPr>
                <w:b/>
                <w:color w:val="FFFFFF" w:themeColor="background1"/>
                <w:sz w:val="20"/>
                <w:szCs w:val="20"/>
              </w:rPr>
            </w:pPr>
            <w:r w:rsidRPr="004510A5">
              <w:rPr>
                <w:b/>
                <w:color w:val="FFFFFF" w:themeColor="background1"/>
                <w:sz w:val="20"/>
                <w:szCs w:val="20"/>
              </w:rPr>
              <w:t>(N=52)</w:t>
            </w:r>
          </w:p>
        </w:tc>
        <w:tc>
          <w:tcPr>
            <w:tcW w:w="2410" w:type="dxa"/>
            <w:gridSpan w:val="2"/>
            <w:shd w:val="clear" w:color="auto" w:fill="0070C0"/>
          </w:tcPr>
          <w:p w:rsidR="00E07ECC" w:rsidRPr="004510A5" w:rsidRDefault="00E07ECC" w:rsidP="004510A5">
            <w:pPr>
              <w:keepNext/>
              <w:rPr>
                <w:b/>
                <w:color w:val="FFFFFF" w:themeColor="background1"/>
                <w:sz w:val="20"/>
                <w:szCs w:val="20"/>
              </w:rPr>
            </w:pPr>
            <w:r w:rsidRPr="004510A5">
              <w:rPr>
                <w:b/>
                <w:color w:val="FFFFFF" w:themeColor="background1"/>
                <w:sz w:val="20"/>
                <w:szCs w:val="20"/>
              </w:rPr>
              <w:t>300 mg/day</w:t>
            </w:r>
          </w:p>
          <w:p w:rsidR="00E07ECC" w:rsidRPr="004510A5" w:rsidRDefault="00E07ECC" w:rsidP="004510A5">
            <w:pPr>
              <w:keepNext/>
              <w:rPr>
                <w:b/>
                <w:color w:val="FFFFFF" w:themeColor="background1"/>
                <w:sz w:val="20"/>
                <w:szCs w:val="20"/>
              </w:rPr>
            </w:pPr>
            <w:r w:rsidRPr="004510A5">
              <w:rPr>
                <w:b/>
                <w:color w:val="FFFFFF" w:themeColor="background1"/>
                <w:sz w:val="20"/>
                <w:szCs w:val="20"/>
              </w:rPr>
              <w:t>(N=59)</w:t>
            </w:r>
          </w:p>
        </w:tc>
        <w:tc>
          <w:tcPr>
            <w:tcW w:w="851" w:type="dxa"/>
            <w:vMerge w:val="restart"/>
            <w:shd w:val="clear" w:color="auto" w:fill="0070C0"/>
            <w:vAlign w:val="center"/>
          </w:tcPr>
          <w:p w:rsidR="00E07ECC" w:rsidRPr="004510A5" w:rsidRDefault="00E07ECC" w:rsidP="004510A5">
            <w:pPr>
              <w:keepNext/>
              <w:rPr>
                <w:b/>
                <w:color w:val="FFFFFF" w:themeColor="background1"/>
                <w:sz w:val="20"/>
                <w:szCs w:val="20"/>
              </w:rPr>
            </w:pPr>
            <w:r w:rsidRPr="004510A5">
              <w:rPr>
                <w:b/>
                <w:color w:val="FFFFFF" w:themeColor="background1"/>
                <w:sz w:val="20"/>
                <w:szCs w:val="20"/>
              </w:rPr>
              <w:t>p-value</w:t>
            </w:r>
            <w:r w:rsidRPr="004510A5">
              <w:rPr>
                <w:b/>
                <w:color w:val="FFFFFF" w:themeColor="background1"/>
                <w:sz w:val="20"/>
                <w:szCs w:val="20"/>
                <w:vertAlign w:val="superscript"/>
              </w:rPr>
              <w:t>a</w:t>
            </w:r>
          </w:p>
        </w:tc>
      </w:tr>
      <w:tr w:rsidR="00E07ECC" w:rsidRPr="00554FBE" w:rsidTr="004510A5">
        <w:tc>
          <w:tcPr>
            <w:tcW w:w="1668" w:type="dxa"/>
            <w:vMerge/>
            <w:shd w:val="clear" w:color="auto" w:fill="0070C0"/>
          </w:tcPr>
          <w:p w:rsidR="00E07ECC" w:rsidRPr="004510A5" w:rsidRDefault="00E07ECC" w:rsidP="004510A5">
            <w:pPr>
              <w:keepNext/>
              <w:rPr>
                <w:b/>
                <w:color w:val="FFFFFF" w:themeColor="background1"/>
                <w:sz w:val="20"/>
                <w:szCs w:val="20"/>
              </w:rPr>
            </w:pPr>
          </w:p>
        </w:tc>
        <w:tc>
          <w:tcPr>
            <w:tcW w:w="567" w:type="dxa"/>
            <w:shd w:val="clear" w:color="auto" w:fill="0070C0"/>
          </w:tcPr>
          <w:p w:rsidR="00E07ECC" w:rsidRPr="004510A5" w:rsidRDefault="00E07ECC" w:rsidP="004510A5">
            <w:pPr>
              <w:keepNext/>
              <w:rPr>
                <w:b/>
                <w:color w:val="FFFFFF" w:themeColor="background1"/>
                <w:sz w:val="20"/>
                <w:szCs w:val="20"/>
              </w:rPr>
            </w:pPr>
            <w:r w:rsidRPr="004510A5">
              <w:rPr>
                <w:b/>
                <w:color w:val="FFFFFF" w:themeColor="background1"/>
                <w:sz w:val="20"/>
                <w:szCs w:val="20"/>
              </w:rPr>
              <w:t>No.</w:t>
            </w:r>
          </w:p>
          <w:p w:rsidR="00E07ECC" w:rsidRPr="004510A5" w:rsidRDefault="00E07ECC" w:rsidP="004510A5">
            <w:pPr>
              <w:keepNext/>
              <w:rPr>
                <w:b/>
                <w:color w:val="FFFFFF" w:themeColor="background1"/>
                <w:sz w:val="20"/>
                <w:szCs w:val="20"/>
              </w:rPr>
            </w:pPr>
            <w:r w:rsidRPr="004510A5">
              <w:rPr>
                <w:b/>
                <w:color w:val="FFFFFF" w:themeColor="background1"/>
                <w:sz w:val="20"/>
                <w:szCs w:val="20"/>
              </w:rPr>
              <w:t>n</w:t>
            </w:r>
          </w:p>
        </w:tc>
        <w:tc>
          <w:tcPr>
            <w:tcW w:w="1984" w:type="dxa"/>
            <w:shd w:val="clear" w:color="auto" w:fill="0070C0"/>
          </w:tcPr>
          <w:p w:rsidR="00E07ECC" w:rsidRPr="004510A5" w:rsidRDefault="00E07ECC" w:rsidP="004510A5">
            <w:pPr>
              <w:keepNext/>
              <w:rPr>
                <w:b/>
                <w:color w:val="FFFFFF" w:themeColor="background1"/>
                <w:sz w:val="20"/>
                <w:szCs w:val="20"/>
              </w:rPr>
            </w:pPr>
            <w:r w:rsidRPr="004510A5">
              <w:rPr>
                <w:b/>
                <w:color w:val="FFFFFF" w:themeColor="background1"/>
                <w:sz w:val="20"/>
                <w:szCs w:val="20"/>
              </w:rPr>
              <w:t>%</w:t>
            </w:r>
          </w:p>
          <w:p w:rsidR="00E07ECC" w:rsidRPr="004510A5" w:rsidRDefault="00E07ECC" w:rsidP="004510A5">
            <w:pPr>
              <w:keepNext/>
              <w:rPr>
                <w:b/>
                <w:color w:val="FFFFFF" w:themeColor="background1"/>
                <w:sz w:val="20"/>
                <w:szCs w:val="20"/>
              </w:rPr>
            </w:pPr>
            <w:r w:rsidRPr="004510A5">
              <w:rPr>
                <w:b/>
                <w:color w:val="FFFFFF" w:themeColor="background1"/>
                <w:sz w:val="20"/>
                <w:szCs w:val="20"/>
              </w:rPr>
              <w:t>(95%CI)</w:t>
            </w:r>
          </w:p>
        </w:tc>
        <w:tc>
          <w:tcPr>
            <w:tcW w:w="1276" w:type="dxa"/>
            <w:shd w:val="clear" w:color="auto" w:fill="0070C0"/>
          </w:tcPr>
          <w:p w:rsidR="00E07ECC" w:rsidRPr="004510A5" w:rsidRDefault="00E07ECC" w:rsidP="004510A5">
            <w:pPr>
              <w:keepNext/>
              <w:rPr>
                <w:b/>
                <w:color w:val="FFFFFF" w:themeColor="background1"/>
                <w:sz w:val="20"/>
                <w:szCs w:val="20"/>
              </w:rPr>
            </w:pPr>
            <w:r w:rsidRPr="004510A5">
              <w:rPr>
                <w:b/>
                <w:color w:val="FFFFFF" w:themeColor="background1"/>
                <w:sz w:val="20"/>
                <w:szCs w:val="20"/>
              </w:rPr>
              <w:t>vs. 30</w:t>
            </w:r>
            <w:r w:rsidR="000A6651" w:rsidRPr="004510A5">
              <w:rPr>
                <w:b/>
                <w:color w:val="FFFFFF" w:themeColor="background1"/>
                <w:sz w:val="20"/>
                <w:szCs w:val="20"/>
              </w:rPr>
              <w:t>0 mg</w:t>
            </w:r>
            <w:r w:rsidRPr="004510A5">
              <w:rPr>
                <w:b/>
                <w:color w:val="FFFFFF" w:themeColor="background1"/>
                <w:sz w:val="20"/>
                <w:szCs w:val="20"/>
              </w:rPr>
              <w:t>/day</w:t>
            </w:r>
            <w:r w:rsidRPr="004510A5">
              <w:rPr>
                <w:b/>
                <w:color w:val="FFFFFF" w:themeColor="background1"/>
                <w:sz w:val="20"/>
                <w:szCs w:val="20"/>
                <w:vertAlign w:val="superscript"/>
              </w:rPr>
              <w:t>b</w:t>
            </w:r>
          </w:p>
        </w:tc>
        <w:tc>
          <w:tcPr>
            <w:tcW w:w="1417" w:type="dxa"/>
            <w:shd w:val="clear" w:color="auto" w:fill="0070C0"/>
          </w:tcPr>
          <w:p w:rsidR="00E07ECC" w:rsidRPr="004510A5" w:rsidRDefault="00E07ECC" w:rsidP="004510A5">
            <w:pPr>
              <w:keepNext/>
              <w:rPr>
                <w:b/>
                <w:color w:val="FFFFFF" w:themeColor="background1"/>
                <w:sz w:val="20"/>
                <w:szCs w:val="20"/>
              </w:rPr>
            </w:pPr>
            <w:r w:rsidRPr="004510A5">
              <w:rPr>
                <w:b/>
                <w:color w:val="FFFFFF" w:themeColor="background1"/>
                <w:sz w:val="20"/>
                <w:szCs w:val="20"/>
              </w:rPr>
              <w:t>vs. 10</w:t>
            </w:r>
            <w:r w:rsidR="000A6651" w:rsidRPr="004510A5">
              <w:rPr>
                <w:b/>
                <w:color w:val="FFFFFF" w:themeColor="background1"/>
                <w:sz w:val="20"/>
                <w:szCs w:val="20"/>
              </w:rPr>
              <w:t>0 mg</w:t>
            </w:r>
            <w:r w:rsidRPr="004510A5">
              <w:rPr>
                <w:b/>
                <w:color w:val="FFFFFF" w:themeColor="background1"/>
                <w:sz w:val="20"/>
                <w:szCs w:val="20"/>
              </w:rPr>
              <w:t>/day</w:t>
            </w:r>
            <w:r w:rsidRPr="004510A5">
              <w:rPr>
                <w:b/>
                <w:color w:val="FFFFFF" w:themeColor="background1"/>
                <w:sz w:val="20"/>
                <w:szCs w:val="20"/>
                <w:vertAlign w:val="superscript"/>
              </w:rPr>
              <w:t>b</w:t>
            </w:r>
          </w:p>
        </w:tc>
        <w:tc>
          <w:tcPr>
            <w:tcW w:w="567" w:type="dxa"/>
            <w:shd w:val="clear" w:color="auto" w:fill="0070C0"/>
          </w:tcPr>
          <w:p w:rsidR="00E07ECC" w:rsidRPr="004510A5" w:rsidRDefault="00E07ECC" w:rsidP="004510A5">
            <w:pPr>
              <w:keepNext/>
              <w:rPr>
                <w:b/>
                <w:color w:val="FFFFFF" w:themeColor="background1"/>
                <w:sz w:val="20"/>
                <w:szCs w:val="20"/>
              </w:rPr>
            </w:pPr>
            <w:r w:rsidRPr="004510A5">
              <w:rPr>
                <w:b/>
                <w:color w:val="FFFFFF" w:themeColor="background1"/>
                <w:sz w:val="20"/>
                <w:szCs w:val="20"/>
              </w:rPr>
              <w:t>No.</w:t>
            </w:r>
          </w:p>
          <w:p w:rsidR="00E07ECC" w:rsidRPr="004510A5" w:rsidRDefault="00E07ECC" w:rsidP="004510A5">
            <w:pPr>
              <w:keepNext/>
              <w:rPr>
                <w:b/>
                <w:color w:val="FFFFFF" w:themeColor="background1"/>
                <w:sz w:val="20"/>
                <w:szCs w:val="20"/>
              </w:rPr>
            </w:pPr>
            <w:r w:rsidRPr="004510A5">
              <w:rPr>
                <w:b/>
                <w:color w:val="FFFFFF" w:themeColor="background1"/>
                <w:sz w:val="20"/>
                <w:szCs w:val="20"/>
              </w:rPr>
              <w:t>n</w:t>
            </w:r>
          </w:p>
        </w:tc>
        <w:tc>
          <w:tcPr>
            <w:tcW w:w="1985" w:type="dxa"/>
            <w:shd w:val="clear" w:color="auto" w:fill="0070C0"/>
          </w:tcPr>
          <w:p w:rsidR="00E07ECC" w:rsidRPr="004510A5" w:rsidRDefault="00E07ECC" w:rsidP="004510A5">
            <w:pPr>
              <w:keepNext/>
              <w:rPr>
                <w:b/>
                <w:color w:val="FFFFFF" w:themeColor="background1"/>
                <w:sz w:val="20"/>
                <w:szCs w:val="20"/>
              </w:rPr>
            </w:pPr>
            <w:r w:rsidRPr="004510A5">
              <w:rPr>
                <w:b/>
                <w:color w:val="FFFFFF" w:themeColor="background1"/>
                <w:sz w:val="20"/>
                <w:szCs w:val="20"/>
              </w:rPr>
              <w:t>%</w:t>
            </w:r>
          </w:p>
          <w:p w:rsidR="00E07ECC" w:rsidRPr="004510A5" w:rsidRDefault="00E07ECC" w:rsidP="004510A5">
            <w:pPr>
              <w:keepNext/>
              <w:rPr>
                <w:b/>
                <w:color w:val="FFFFFF" w:themeColor="background1"/>
                <w:sz w:val="20"/>
                <w:szCs w:val="20"/>
              </w:rPr>
            </w:pPr>
            <w:r w:rsidRPr="004510A5">
              <w:rPr>
                <w:b/>
                <w:color w:val="FFFFFF" w:themeColor="background1"/>
                <w:sz w:val="20"/>
                <w:szCs w:val="20"/>
              </w:rPr>
              <w:t>(95%CI)</w:t>
            </w:r>
          </w:p>
        </w:tc>
        <w:tc>
          <w:tcPr>
            <w:tcW w:w="1417" w:type="dxa"/>
            <w:shd w:val="clear" w:color="auto" w:fill="0070C0"/>
          </w:tcPr>
          <w:p w:rsidR="00E07ECC" w:rsidRPr="004510A5" w:rsidRDefault="00E07ECC" w:rsidP="004510A5">
            <w:pPr>
              <w:keepNext/>
              <w:rPr>
                <w:b/>
                <w:color w:val="FFFFFF" w:themeColor="background1"/>
                <w:sz w:val="20"/>
                <w:szCs w:val="20"/>
              </w:rPr>
            </w:pPr>
            <w:r w:rsidRPr="004510A5">
              <w:rPr>
                <w:b/>
                <w:color w:val="FFFFFF" w:themeColor="background1"/>
                <w:sz w:val="20"/>
                <w:szCs w:val="20"/>
              </w:rPr>
              <w:t>vs. 30</w:t>
            </w:r>
            <w:r w:rsidR="000A6651" w:rsidRPr="004510A5">
              <w:rPr>
                <w:b/>
                <w:color w:val="FFFFFF" w:themeColor="background1"/>
                <w:sz w:val="20"/>
                <w:szCs w:val="20"/>
              </w:rPr>
              <w:t>0 mg</w:t>
            </w:r>
            <w:r w:rsidRPr="004510A5">
              <w:rPr>
                <w:b/>
                <w:color w:val="FFFFFF" w:themeColor="background1"/>
                <w:sz w:val="20"/>
                <w:szCs w:val="20"/>
              </w:rPr>
              <w:t>/day</w:t>
            </w:r>
            <w:r w:rsidRPr="004510A5">
              <w:rPr>
                <w:b/>
                <w:color w:val="FFFFFF" w:themeColor="background1"/>
                <w:sz w:val="20"/>
                <w:szCs w:val="20"/>
                <w:vertAlign w:val="superscript"/>
              </w:rPr>
              <w:t>b</w:t>
            </w:r>
          </w:p>
        </w:tc>
        <w:tc>
          <w:tcPr>
            <w:tcW w:w="567" w:type="dxa"/>
            <w:shd w:val="clear" w:color="auto" w:fill="0070C0"/>
          </w:tcPr>
          <w:p w:rsidR="00E07ECC" w:rsidRPr="004510A5" w:rsidRDefault="00E07ECC" w:rsidP="004510A5">
            <w:pPr>
              <w:keepNext/>
              <w:rPr>
                <w:b/>
                <w:color w:val="FFFFFF" w:themeColor="background1"/>
                <w:sz w:val="20"/>
                <w:szCs w:val="20"/>
              </w:rPr>
            </w:pPr>
            <w:r w:rsidRPr="004510A5">
              <w:rPr>
                <w:b/>
                <w:color w:val="FFFFFF" w:themeColor="background1"/>
                <w:sz w:val="20"/>
                <w:szCs w:val="20"/>
              </w:rPr>
              <w:t>No.</w:t>
            </w:r>
          </w:p>
          <w:p w:rsidR="00E07ECC" w:rsidRPr="004510A5" w:rsidRDefault="00E07ECC" w:rsidP="004510A5">
            <w:pPr>
              <w:keepNext/>
              <w:rPr>
                <w:b/>
                <w:color w:val="FFFFFF" w:themeColor="background1"/>
                <w:sz w:val="20"/>
                <w:szCs w:val="20"/>
              </w:rPr>
            </w:pPr>
            <w:r w:rsidRPr="004510A5">
              <w:rPr>
                <w:b/>
                <w:color w:val="FFFFFF" w:themeColor="background1"/>
                <w:sz w:val="20"/>
                <w:szCs w:val="20"/>
              </w:rPr>
              <w:t>n</w:t>
            </w:r>
          </w:p>
        </w:tc>
        <w:tc>
          <w:tcPr>
            <w:tcW w:w="1843" w:type="dxa"/>
            <w:shd w:val="clear" w:color="auto" w:fill="0070C0"/>
          </w:tcPr>
          <w:p w:rsidR="00E07ECC" w:rsidRPr="004510A5" w:rsidRDefault="00E07ECC" w:rsidP="004510A5">
            <w:pPr>
              <w:keepNext/>
              <w:rPr>
                <w:b/>
                <w:color w:val="FFFFFF" w:themeColor="background1"/>
                <w:sz w:val="20"/>
                <w:szCs w:val="20"/>
              </w:rPr>
            </w:pPr>
            <w:r w:rsidRPr="004510A5">
              <w:rPr>
                <w:b/>
                <w:color w:val="FFFFFF" w:themeColor="background1"/>
                <w:sz w:val="20"/>
                <w:szCs w:val="20"/>
              </w:rPr>
              <w:t>%</w:t>
            </w:r>
          </w:p>
          <w:p w:rsidR="00E07ECC" w:rsidRPr="004510A5" w:rsidRDefault="00E07ECC" w:rsidP="004510A5">
            <w:pPr>
              <w:keepNext/>
              <w:rPr>
                <w:b/>
                <w:color w:val="FFFFFF" w:themeColor="background1"/>
                <w:sz w:val="20"/>
                <w:szCs w:val="20"/>
              </w:rPr>
            </w:pPr>
            <w:r w:rsidRPr="004510A5">
              <w:rPr>
                <w:b/>
                <w:color w:val="FFFFFF" w:themeColor="background1"/>
                <w:sz w:val="20"/>
                <w:szCs w:val="20"/>
              </w:rPr>
              <w:t>(95%CI)</w:t>
            </w:r>
          </w:p>
        </w:tc>
        <w:tc>
          <w:tcPr>
            <w:tcW w:w="851" w:type="dxa"/>
            <w:vMerge/>
            <w:shd w:val="clear" w:color="auto" w:fill="0070C0"/>
          </w:tcPr>
          <w:p w:rsidR="00E07ECC" w:rsidRPr="00554FBE" w:rsidRDefault="00E07ECC" w:rsidP="004510A5">
            <w:pPr>
              <w:keepNext/>
              <w:rPr>
                <w:sz w:val="20"/>
                <w:szCs w:val="20"/>
              </w:rPr>
            </w:pPr>
          </w:p>
        </w:tc>
      </w:tr>
      <w:tr w:rsidR="00E07ECC" w:rsidRPr="00554FBE" w:rsidTr="000A6651">
        <w:tc>
          <w:tcPr>
            <w:tcW w:w="1668" w:type="dxa"/>
          </w:tcPr>
          <w:p w:rsidR="00E07ECC" w:rsidRPr="00554FBE" w:rsidRDefault="00E07ECC" w:rsidP="004510A5">
            <w:pPr>
              <w:keepNext/>
              <w:rPr>
                <w:sz w:val="20"/>
                <w:szCs w:val="20"/>
              </w:rPr>
            </w:pPr>
            <w:r w:rsidRPr="00554FBE">
              <w:rPr>
                <w:sz w:val="20"/>
                <w:szCs w:val="20"/>
              </w:rPr>
              <w:t>Seizure-Free for ≥ 6 Months</w:t>
            </w:r>
          </w:p>
        </w:tc>
        <w:tc>
          <w:tcPr>
            <w:tcW w:w="567" w:type="dxa"/>
          </w:tcPr>
          <w:p w:rsidR="00E07ECC" w:rsidRPr="00554FBE" w:rsidRDefault="00E07ECC" w:rsidP="004510A5">
            <w:pPr>
              <w:keepNext/>
              <w:rPr>
                <w:sz w:val="20"/>
                <w:szCs w:val="20"/>
              </w:rPr>
            </w:pPr>
            <w:r w:rsidRPr="00554FBE">
              <w:rPr>
                <w:sz w:val="20"/>
                <w:szCs w:val="20"/>
              </w:rPr>
              <w:t>19</w:t>
            </w:r>
          </w:p>
        </w:tc>
        <w:tc>
          <w:tcPr>
            <w:tcW w:w="1984" w:type="dxa"/>
          </w:tcPr>
          <w:p w:rsidR="00E07ECC" w:rsidRPr="00554FBE" w:rsidRDefault="00E07ECC" w:rsidP="004510A5">
            <w:pPr>
              <w:keepNext/>
              <w:rPr>
                <w:sz w:val="20"/>
                <w:szCs w:val="20"/>
              </w:rPr>
            </w:pPr>
            <w:r w:rsidRPr="00554FBE">
              <w:rPr>
                <w:sz w:val="20"/>
                <w:szCs w:val="20"/>
              </w:rPr>
              <w:t>33.9 (21.81, 47.81)</w:t>
            </w:r>
          </w:p>
        </w:tc>
        <w:tc>
          <w:tcPr>
            <w:tcW w:w="1276" w:type="dxa"/>
          </w:tcPr>
          <w:p w:rsidR="00E07ECC" w:rsidRPr="00554FBE" w:rsidRDefault="00E07ECC" w:rsidP="004510A5">
            <w:pPr>
              <w:keepNext/>
              <w:rPr>
                <w:sz w:val="20"/>
                <w:szCs w:val="20"/>
              </w:rPr>
            </w:pPr>
            <w:r w:rsidRPr="00554FBE">
              <w:rPr>
                <w:sz w:val="20"/>
                <w:szCs w:val="20"/>
              </w:rPr>
              <w:t>0.067</w:t>
            </w:r>
          </w:p>
        </w:tc>
        <w:tc>
          <w:tcPr>
            <w:tcW w:w="1417" w:type="dxa"/>
          </w:tcPr>
          <w:p w:rsidR="00E07ECC" w:rsidRPr="00554FBE" w:rsidRDefault="00E07ECC" w:rsidP="004510A5">
            <w:pPr>
              <w:keepNext/>
              <w:rPr>
                <w:sz w:val="20"/>
                <w:szCs w:val="20"/>
              </w:rPr>
            </w:pPr>
            <w:r w:rsidRPr="00554FBE">
              <w:rPr>
                <w:sz w:val="20"/>
                <w:szCs w:val="20"/>
              </w:rPr>
              <w:t>0.032</w:t>
            </w:r>
          </w:p>
        </w:tc>
        <w:tc>
          <w:tcPr>
            <w:tcW w:w="567" w:type="dxa"/>
          </w:tcPr>
          <w:p w:rsidR="00E07ECC" w:rsidRPr="00554FBE" w:rsidRDefault="00E07ECC" w:rsidP="004510A5">
            <w:pPr>
              <w:keepNext/>
              <w:rPr>
                <w:sz w:val="20"/>
                <w:szCs w:val="20"/>
              </w:rPr>
            </w:pPr>
            <w:r w:rsidRPr="00554FBE">
              <w:rPr>
                <w:sz w:val="20"/>
                <w:szCs w:val="20"/>
              </w:rPr>
              <w:t>16</w:t>
            </w:r>
          </w:p>
        </w:tc>
        <w:tc>
          <w:tcPr>
            <w:tcW w:w="1985" w:type="dxa"/>
          </w:tcPr>
          <w:p w:rsidR="00E07ECC" w:rsidRPr="00554FBE" w:rsidRDefault="00E07ECC" w:rsidP="004510A5">
            <w:pPr>
              <w:keepNext/>
              <w:rPr>
                <w:sz w:val="20"/>
                <w:szCs w:val="20"/>
              </w:rPr>
            </w:pPr>
            <w:r w:rsidRPr="00554FBE">
              <w:rPr>
                <w:sz w:val="20"/>
                <w:szCs w:val="20"/>
              </w:rPr>
              <w:t>30.8 (18.72, 45.10)</w:t>
            </w:r>
          </w:p>
        </w:tc>
        <w:tc>
          <w:tcPr>
            <w:tcW w:w="1417" w:type="dxa"/>
          </w:tcPr>
          <w:p w:rsidR="00E07ECC" w:rsidRPr="00554FBE" w:rsidRDefault="00E07ECC" w:rsidP="004510A5">
            <w:pPr>
              <w:keepNext/>
              <w:rPr>
                <w:sz w:val="20"/>
                <w:szCs w:val="20"/>
              </w:rPr>
            </w:pPr>
            <w:r w:rsidRPr="00554FBE">
              <w:rPr>
                <w:sz w:val="20"/>
                <w:szCs w:val="20"/>
              </w:rPr>
              <w:t>0.726</w:t>
            </w:r>
          </w:p>
        </w:tc>
        <w:tc>
          <w:tcPr>
            <w:tcW w:w="567" w:type="dxa"/>
          </w:tcPr>
          <w:p w:rsidR="00E07ECC" w:rsidRPr="00554FBE" w:rsidRDefault="00E07ECC" w:rsidP="004510A5">
            <w:pPr>
              <w:keepNext/>
              <w:rPr>
                <w:sz w:val="20"/>
                <w:szCs w:val="20"/>
              </w:rPr>
            </w:pPr>
            <w:r w:rsidRPr="00554FBE">
              <w:rPr>
                <w:sz w:val="20"/>
                <w:szCs w:val="20"/>
              </w:rPr>
              <w:t>30</w:t>
            </w:r>
          </w:p>
        </w:tc>
        <w:tc>
          <w:tcPr>
            <w:tcW w:w="1843" w:type="dxa"/>
          </w:tcPr>
          <w:p w:rsidR="00E07ECC" w:rsidRPr="00554FBE" w:rsidRDefault="00E07ECC" w:rsidP="004510A5">
            <w:pPr>
              <w:keepNext/>
              <w:rPr>
                <w:sz w:val="20"/>
                <w:szCs w:val="20"/>
              </w:rPr>
            </w:pPr>
            <w:r w:rsidRPr="00554FBE">
              <w:rPr>
                <w:sz w:val="20"/>
                <w:szCs w:val="20"/>
              </w:rPr>
              <w:t>50.8 (37.5, 64.11)</w:t>
            </w:r>
          </w:p>
        </w:tc>
        <w:tc>
          <w:tcPr>
            <w:tcW w:w="851" w:type="dxa"/>
          </w:tcPr>
          <w:p w:rsidR="00E07ECC" w:rsidRPr="00554FBE" w:rsidRDefault="00E07ECC" w:rsidP="004510A5">
            <w:pPr>
              <w:keepNext/>
              <w:rPr>
                <w:sz w:val="20"/>
                <w:szCs w:val="20"/>
              </w:rPr>
            </w:pPr>
            <w:r w:rsidRPr="00554FBE">
              <w:rPr>
                <w:sz w:val="20"/>
                <w:szCs w:val="20"/>
              </w:rPr>
              <w:t>0.061</w:t>
            </w:r>
          </w:p>
        </w:tc>
      </w:tr>
      <w:tr w:rsidR="00E07ECC" w:rsidRPr="00554FBE" w:rsidTr="000A6651">
        <w:tc>
          <w:tcPr>
            <w:tcW w:w="1668" w:type="dxa"/>
          </w:tcPr>
          <w:p w:rsidR="00E07ECC" w:rsidRPr="00554FBE" w:rsidRDefault="00E07ECC" w:rsidP="004510A5">
            <w:pPr>
              <w:keepNext/>
              <w:rPr>
                <w:sz w:val="20"/>
                <w:szCs w:val="20"/>
              </w:rPr>
            </w:pPr>
            <w:r w:rsidRPr="00554FBE">
              <w:rPr>
                <w:sz w:val="20"/>
                <w:szCs w:val="20"/>
              </w:rPr>
              <w:t>Remaining on Treatment</w:t>
            </w:r>
          </w:p>
        </w:tc>
        <w:tc>
          <w:tcPr>
            <w:tcW w:w="567" w:type="dxa"/>
          </w:tcPr>
          <w:p w:rsidR="00E07ECC" w:rsidRPr="00554FBE" w:rsidRDefault="00E07ECC" w:rsidP="004510A5">
            <w:pPr>
              <w:keepNext/>
              <w:rPr>
                <w:sz w:val="20"/>
                <w:szCs w:val="20"/>
              </w:rPr>
            </w:pPr>
            <w:r w:rsidRPr="00554FBE">
              <w:rPr>
                <w:sz w:val="20"/>
                <w:szCs w:val="20"/>
              </w:rPr>
              <w:t>23</w:t>
            </w:r>
          </w:p>
        </w:tc>
        <w:tc>
          <w:tcPr>
            <w:tcW w:w="1984" w:type="dxa"/>
          </w:tcPr>
          <w:p w:rsidR="00E07ECC" w:rsidRPr="00554FBE" w:rsidRDefault="00E07ECC" w:rsidP="004510A5">
            <w:pPr>
              <w:keepNext/>
              <w:rPr>
                <w:sz w:val="20"/>
                <w:szCs w:val="20"/>
              </w:rPr>
            </w:pPr>
            <w:r w:rsidRPr="00554FBE">
              <w:rPr>
                <w:sz w:val="20"/>
                <w:szCs w:val="20"/>
              </w:rPr>
              <w:t>41.1 (28.10, 55.02)</w:t>
            </w:r>
          </w:p>
        </w:tc>
        <w:tc>
          <w:tcPr>
            <w:tcW w:w="1276" w:type="dxa"/>
          </w:tcPr>
          <w:p w:rsidR="00E07ECC" w:rsidRPr="00554FBE" w:rsidRDefault="00E07ECC" w:rsidP="004510A5">
            <w:pPr>
              <w:keepNext/>
              <w:rPr>
                <w:sz w:val="20"/>
                <w:szCs w:val="20"/>
              </w:rPr>
            </w:pPr>
            <w:r w:rsidRPr="00554FBE">
              <w:rPr>
                <w:sz w:val="20"/>
                <w:szCs w:val="20"/>
              </w:rPr>
              <w:t>0.966</w:t>
            </w:r>
          </w:p>
        </w:tc>
        <w:tc>
          <w:tcPr>
            <w:tcW w:w="1417" w:type="dxa"/>
          </w:tcPr>
          <w:p w:rsidR="00E07ECC" w:rsidRPr="00554FBE" w:rsidRDefault="00E07ECC" w:rsidP="004510A5">
            <w:pPr>
              <w:keepNext/>
              <w:rPr>
                <w:sz w:val="20"/>
                <w:szCs w:val="20"/>
              </w:rPr>
            </w:pPr>
            <w:r w:rsidRPr="00554FBE">
              <w:rPr>
                <w:sz w:val="20"/>
                <w:szCs w:val="20"/>
              </w:rPr>
              <w:t>0.975</w:t>
            </w:r>
          </w:p>
        </w:tc>
        <w:tc>
          <w:tcPr>
            <w:tcW w:w="567" w:type="dxa"/>
          </w:tcPr>
          <w:p w:rsidR="00E07ECC" w:rsidRPr="00554FBE" w:rsidRDefault="00E07ECC" w:rsidP="004510A5">
            <w:pPr>
              <w:keepNext/>
              <w:rPr>
                <w:sz w:val="20"/>
                <w:szCs w:val="20"/>
              </w:rPr>
            </w:pPr>
            <w:r w:rsidRPr="00554FBE">
              <w:rPr>
                <w:sz w:val="20"/>
                <w:szCs w:val="20"/>
              </w:rPr>
              <w:t>21</w:t>
            </w:r>
          </w:p>
        </w:tc>
        <w:tc>
          <w:tcPr>
            <w:tcW w:w="1985" w:type="dxa"/>
          </w:tcPr>
          <w:p w:rsidR="00E07ECC" w:rsidRPr="00554FBE" w:rsidRDefault="00E07ECC" w:rsidP="004510A5">
            <w:pPr>
              <w:keepNext/>
              <w:rPr>
                <w:sz w:val="20"/>
                <w:szCs w:val="20"/>
              </w:rPr>
            </w:pPr>
            <w:r w:rsidRPr="00554FBE">
              <w:rPr>
                <w:sz w:val="20"/>
                <w:szCs w:val="20"/>
              </w:rPr>
              <w:t>40.4 (27.01, 54.90)</w:t>
            </w:r>
          </w:p>
        </w:tc>
        <w:tc>
          <w:tcPr>
            <w:tcW w:w="1417" w:type="dxa"/>
          </w:tcPr>
          <w:p w:rsidR="00E07ECC" w:rsidRPr="00554FBE" w:rsidRDefault="00E07ECC" w:rsidP="004510A5">
            <w:pPr>
              <w:keepNext/>
              <w:rPr>
                <w:sz w:val="20"/>
                <w:szCs w:val="20"/>
              </w:rPr>
            </w:pPr>
            <w:r w:rsidRPr="00554FBE">
              <w:rPr>
                <w:sz w:val="20"/>
                <w:szCs w:val="20"/>
              </w:rPr>
              <w:t>0.942</w:t>
            </w:r>
          </w:p>
        </w:tc>
        <w:tc>
          <w:tcPr>
            <w:tcW w:w="567" w:type="dxa"/>
          </w:tcPr>
          <w:p w:rsidR="00E07ECC" w:rsidRPr="00554FBE" w:rsidRDefault="00E07ECC" w:rsidP="004510A5">
            <w:pPr>
              <w:keepNext/>
              <w:rPr>
                <w:sz w:val="20"/>
                <w:szCs w:val="20"/>
              </w:rPr>
            </w:pPr>
            <w:r w:rsidRPr="00554FBE">
              <w:rPr>
                <w:sz w:val="20"/>
                <w:szCs w:val="20"/>
              </w:rPr>
              <w:t>24</w:t>
            </w:r>
          </w:p>
        </w:tc>
        <w:tc>
          <w:tcPr>
            <w:tcW w:w="1843" w:type="dxa"/>
          </w:tcPr>
          <w:p w:rsidR="00E07ECC" w:rsidRPr="00554FBE" w:rsidRDefault="00E07ECC" w:rsidP="004510A5">
            <w:pPr>
              <w:keepNext/>
              <w:rPr>
                <w:sz w:val="20"/>
                <w:szCs w:val="20"/>
              </w:rPr>
            </w:pPr>
            <w:r w:rsidRPr="00554FBE">
              <w:rPr>
                <w:sz w:val="20"/>
                <w:szCs w:val="20"/>
              </w:rPr>
              <w:t>40.7 (28.07, 54.25)</w:t>
            </w:r>
          </w:p>
        </w:tc>
        <w:tc>
          <w:tcPr>
            <w:tcW w:w="851" w:type="dxa"/>
          </w:tcPr>
          <w:p w:rsidR="00E07ECC" w:rsidRPr="00554FBE" w:rsidRDefault="00E07ECC" w:rsidP="004510A5">
            <w:pPr>
              <w:keepNext/>
              <w:rPr>
                <w:sz w:val="20"/>
                <w:szCs w:val="20"/>
              </w:rPr>
            </w:pPr>
            <w:r w:rsidRPr="00554FBE">
              <w:rPr>
                <w:sz w:val="20"/>
                <w:szCs w:val="20"/>
              </w:rPr>
              <w:t>0.967</w:t>
            </w:r>
          </w:p>
        </w:tc>
      </w:tr>
    </w:tbl>
    <w:p w:rsidR="00E07ECC" w:rsidRPr="00081C6D" w:rsidRDefault="00E07ECC" w:rsidP="004510A5">
      <w:pPr>
        <w:keepNext/>
        <w:rPr>
          <w:sz w:val="18"/>
          <w:szCs w:val="18"/>
        </w:rPr>
      </w:pPr>
      <w:r w:rsidRPr="00081C6D">
        <w:rPr>
          <w:sz w:val="18"/>
          <w:szCs w:val="18"/>
          <w:vertAlign w:val="superscript"/>
        </w:rPr>
        <w:t>a</w:t>
      </w:r>
      <w:r w:rsidRPr="00081C6D">
        <w:rPr>
          <w:sz w:val="18"/>
          <w:szCs w:val="18"/>
        </w:rPr>
        <w:t xml:space="preserve"> The p-value for trend is based on the Cochran-Mantel-Haenszel statistic under the assumption that the dosing groups were equally spaced.</w:t>
      </w:r>
    </w:p>
    <w:p w:rsidR="00E07ECC" w:rsidRPr="00554FBE" w:rsidRDefault="00E07ECC" w:rsidP="004510A5">
      <w:pPr>
        <w:keepNext/>
        <w:rPr>
          <w:sz w:val="16"/>
        </w:rPr>
      </w:pPr>
      <w:r w:rsidRPr="00081C6D">
        <w:rPr>
          <w:sz w:val="18"/>
          <w:szCs w:val="18"/>
          <w:vertAlign w:val="superscript"/>
        </w:rPr>
        <w:t>b</w:t>
      </w:r>
      <w:r w:rsidRPr="00081C6D">
        <w:rPr>
          <w:sz w:val="18"/>
          <w:szCs w:val="18"/>
        </w:rPr>
        <w:t xml:space="preserve"> The p-value for treatment comparisons is based on the Pearson’s Chi square statistic </w:t>
      </w:r>
      <w:r w:rsidRPr="00081C6D">
        <w:rPr>
          <w:sz w:val="18"/>
          <w:szCs w:val="18"/>
        </w:rPr>
        <w:tab/>
      </w:r>
      <w:r w:rsidRPr="00554FBE">
        <w:rPr>
          <w:sz w:val="16"/>
        </w:rPr>
        <w:tab/>
      </w:r>
      <w:r w:rsidRPr="00554FBE">
        <w:rPr>
          <w:sz w:val="16"/>
        </w:rPr>
        <w:tab/>
      </w:r>
      <w:r w:rsidRPr="00554FBE">
        <w:rPr>
          <w:sz w:val="16"/>
        </w:rPr>
        <w:tab/>
      </w:r>
    </w:p>
    <w:p w:rsidR="00E07ECC" w:rsidRDefault="00E07ECC" w:rsidP="00E07ECC"/>
    <w:p w:rsidR="00E07ECC" w:rsidRDefault="00E07ECC" w:rsidP="00E07ECC">
      <w:pPr>
        <w:sectPr w:rsidR="00E07ECC" w:rsidSect="000A6651">
          <w:footnotePr>
            <w:numFmt w:val="lowerLetter"/>
          </w:footnotePr>
          <w:endnotePr>
            <w:numFmt w:val="decimal"/>
          </w:endnotePr>
          <w:type w:val="continuous"/>
          <w:pgSz w:w="16838" w:h="11906" w:orient="landscape" w:code="9"/>
          <w:pgMar w:top="1440" w:right="1134" w:bottom="1134" w:left="1134" w:header="737" w:footer="737" w:gutter="0"/>
          <w:cols w:space="720"/>
          <w:docGrid w:linePitch="299"/>
        </w:sectPr>
      </w:pPr>
    </w:p>
    <w:p w:rsidR="00E07ECC" w:rsidRDefault="00E07ECC" w:rsidP="004510A5">
      <w:pPr>
        <w:pStyle w:val="Heading4"/>
      </w:pPr>
      <w:bookmarkStart w:id="81" w:name="_Toc326646515"/>
      <w:r>
        <w:lastRenderedPageBreak/>
        <w:t>Other efficacy studies</w:t>
      </w:r>
      <w:bookmarkEnd w:id="81"/>
    </w:p>
    <w:p w:rsidR="00E07ECC" w:rsidRPr="008F0B5F" w:rsidRDefault="00E07ECC" w:rsidP="004510A5">
      <w:pPr>
        <w:pStyle w:val="Heading5"/>
      </w:pPr>
      <w:bookmarkStart w:id="82" w:name="_Toc326646516"/>
      <w:r w:rsidRPr="006007BD">
        <w:t>Study ELN46046-355</w:t>
      </w:r>
      <w:bookmarkEnd w:id="82"/>
    </w:p>
    <w:p w:rsidR="00E07ECC" w:rsidRPr="003C0A48" w:rsidRDefault="00E07ECC" w:rsidP="004510A5">
      <w:pPr>
        <w:pStyle w:val="Heading6"/>
      </w:pPr>
      <w:r w:rsidRPr="003C0A48">
        <w:t>Study design, objectives, locations and dates</w:t>
      </w:r>
    </w:p>
    <w:p w:rsidR="00E07ECC" w:rsidRDefault="00E07ECC" w:rsidP="004510A5">
      <w:r>
        <w:t>This was an open-label, non-randomized extension of study AN46046-304 for up to an additional 24 months.</w:t>
      </w:r>
    </w:p>
    <w:p w:rsidR="00E07ECC" w:rsidRDefault="00E07ECC" w:rsidP="004510A5">
      <w:r>
        <w:t xml:space="preserve">The </w:t>
      </w:r>
      <w:r w:rsidRPr="003E3AE3">
        <w:rPr>
          <w:b/>
        </w:rPr>
        <w:t>primary objective</w:t>
      </w:r>
      <w:r>
        <w:t xml:space="preserve"> of the study was to assess the long-term safety of zonisamide monotherapy in adult patients with newly diagnosed epilepsy, by examining the incidence and severity of treatment-emergent AEs.</w:t>
      </w:r>
    </w:p>
    <w:p w:rsidR="00E07ECC" w:rsidRDefault="00E07ECC" w:rsidP="004510A5">
      <w:r>
        <w:t>The s</w:t>
      </w:r>
      <w:r w:rsidRPr="003E3AE3">
        <w:rPr>
          <w:b/>
        </w:rPr>
        <w:t>econdary objective</w:t>
      </w:r>
      <w:r>
        <w:t xml:space="preserve"> was to measure efficacy according to treatment duration from baseline in AN46046-304 to study exit from ELN46046-355 due to one of the pre-defined exit criteria</w:t>
      </w:r>
      <w:r>
        <w:rPr>
          <w:rStyle w:val="FootnoteReference"/>
        </w:rPr>
        <w:footnoteReference w:id="9"/>
      </w:r>
      <w:r>
        <w:t>:</w:t>
      </w:r>
      <w:r w:rsidRPr="00F90596">
        <w:t xml:space="preserve"> </w:t>
      </w:r>
    </w:p>
    <w:p w:rsidR="00E07ECC" w:rsidRDefault="00E07ECC" w:rsidP="004510A5">
      <w:pPr>
        <w:pStyle w:val="ListBullet"/>
      </w:pPr>
      <w:r>
        <w:t>2 complex partial seizures</w:t>
      </w:r>
    </w:p>
    <w:p w:rsidR="00E07ECC" w:rsidRDefault="00E07ECC" w:rsidP="00E07ECC">
      <w:pPr>
        <w:autoSpaceDE w:val="0"/>
        <w:autoSpaceDN w:val="0"/>
        <w:adjustRightInd w:val="0"/>
        <w:spacing w:after="60"/>
      </w:pPr>
      <w:r>
        <w:t>or</w:t>
      </w:r>
    </w:p>
    <w:p w:rsidR="00E07ECC" w:rsidRDefault="00E07ECC" w:rsidP="004510A5">
      <w:pPr>
        <w:pStyle w:val="ListBullet"/>
      </w:pPr>
      <w:r>
        <w:t>1 generalized tonic-clonic seizure.</w:t>
      </w:r>
    </w:p>
    <w:p w:rsidR="00E07ECC" w:rsidRDefault="00E07ECC" w:rsidP="00E07ECC">
      <w:pPr>
        <w:autoSpaceDE w:val="0"/>
        <w:autoSpaceDN w:val="0"/>
        <w:adjustRightInd w:val="0"/>
        <w:spacing w:after="60"/>
      </w:pPr>
      <w:r w:rsidRPr="00F90596">
        <w:t>The study database was locked on 25 August 2005</w:t>
      </w:r>
      <w:r>
        <w:t>.</w:t>
      </w:r>
    </w:p>
    <w:p w:rsidR="00E07ECC" w:rsidRDefault="00E07ECC" w:rsidP="004510A5">
      <w:pPr>
        <w:pStyle w:val="Heading6"/>
      </w:pPr>
      <w:r w:rsidRPr="004B259C">
        <w:t xml:space="preserve">Inclusion criteria </w:t>
      </w:r>
    </w:p>
    <w:p w:rsidR="00E07ECC" w:rsidRPr="004B259C" w:rsidRDefault="00E07ECC" w:rsidP="00E07ECC">
      <w:pPr>
        <w:autoSpaceDE w:val="0"/>
        <w:autoSpaceDN w:val="0"/>
        <w:adjustRightInd w:val="0"/>
        <w:spacing w:after="60"/>
      </w:pPr>
      <w:r>
        <w:t>The patient had to have been correctly included in the AN46046-304 study and completed 42 weeks of study treatment.</w:t>
      </w:r>
    </w:p>
    <w:p w:rsidR="00E07ECC" w:rsidRDefault="00E07ECC" w:rsidP="004510A5">
      <w:pPr>
        <w:pStyle w:val="Heading6"/>
      </w:pPr>
      <w:r>
        <w:t>E</w:t>
      </w:r>
      <w:r w:rsidRPr="004B259C">
        <w:t>xclusion criteria</w:t>
      </w:r>
    </w:p>
    <w:p w:rsidR="00E07ECC" w:rsidRDefault="00E07ECC" w:rsidP="004510A5">
      <w:pPr>
        <w:pStyle w:val="ListBullet"/>
      </w:pPr>
      <w:r>
        <w:t>Previous early withdrawal from trial AN46046-304</w:t>
      </w:r>
    </w:p>
    <w:p w:rsidR="00E07ECC" w:rsidRPr="00F90596" w:rsidRDefault="00E07ECC" w:rsidP="004510A5">
      <w:pPr>
        <w:pStyle w:val="ListBullet"/>
      </w:pPr>
      <w:r>
        <w:t>Experience of a generalized seizure or more than one complex partial seizure during AN46046-304.</w:t>
      </w:r>
    </w:p>
    <w:p w:rsidR="00E07ECC" w:rsidRPr="004B259C" w:rsidRDefault="00E07ECC" w:rsidP="004510A5">
      <w:pPr>
        <w:pStyle w:val="Heading6"/>
      </w:pPr>
      <w:r w:rsidRPr="004B259C">
        <w:t>Study treatments</w:t>
      </w:r>
    </w:p>
    <w:p w:rsidR="00E07ECC" w:rsidRDefault="00E07ECC" w:rsidP="004510A5">
      <w:r>
        <w:t>Patients commenced treatment with 10</w:t>
      </w:r>
      <w:r w:rsidR="000A6651">
        <w:t>0 mg</w:t>
      </w:r>
      <w:r>
        <w:t xml:space="preserve"> zonisamide capsules. Patients who experienced a partial seizure during the Titration Period attended an additional visit to begin upward titration of their zonisamide dose to 30</w:t>
      </w:r>
      <w:r w:rsidR="000A6651">
        <w:t>0 mg</w:t>
      </w:r>
      <w:r>
        <w:t>. During the Maintenance Period no dose increases were permitted. Patients continued at their Visit 4</w:t>
      </w:r>
      <w:r>
        <w:rPr>
          <w:rStyle w:val="FootnoteReference"/>
        </w:rPr>
        <w:footnoteReference w:id="10"/>
      </w:r>
      <w:r>
        <w:t xml:space="preserve"> level dose until study withdrawal. Patients then fell into two dose groups, those with a daily dose of 10</w:t>
      </w:r>
      <w:r w:rsidR="000A6651">
        <w:t>0 mg</w:t>
      </w:r>
      <w:r>
        <w:t xml:space="preserve"> from Visit 5 (Week 13) onward and those with a daily dosage of 30</w:t>
      </w:r>
      <w:r w:rsidR="000A6651">
        <w:t>0 mg</w:t>
      </w:r>
      <w:r>
        <w:t xml:space="preserve"> from Visit 5 onward. During the Withdrawal Period patients on 10</w:t>
      </w:r>
      <w:r w:rsidR="000A6651">
        <w:t>0 mg</w:t>
      </w:r>
      <w:r>
        <w:t xml:space="preserve"> continued to take zonisamide 10</w:t>
      </w:r>
      <w:r w:rsidR="000A6651">
        <w:t>0 mg</w:t>
      </w:r>
      <w:r>
        <w:t xml:space="preserve"> capsules for one week. At the same time another AED could be introduced, as deemed appropriate by the Investigator. Patients on 30</w:t>
      </w:r>
      <w:r w:rsidR="000A6651">
        <w:t>0 mg</w:t>
      </w:r>
      <w:r>
        <w:t xml:space="preserve"> took 20</w:t>
      </w:r>
      <w:r w:rsidR="000A6651">
        <w:t>0 mg</w:t>
      </w:r>
      <w:r>
        <w:t xml:space="preserve"> zonisamide for one week, followed by 10</w:t>
      </w:r>
      <w:r w:rsidR="000A6651">
        <w:t>0 mg</w:t>
      </w:r>
      <w:r>
        <w:t xml:space="preserve"> zonisamide for one week. At the same time another AED could be introduced, as deemed appropriate by the Investigator. The maximum dose for this study was 30</w:t>
      </w:r>
      <w:r w:rsidR="000A6651">
        <w:t>0 mg</w:t>
      </w:r>
      <w:r>
        <w:t xml:space="preserve"> o.d. If more than 30</w:t>
      </w:r>
      <w:r w:rsidR="000A6651">
        <w:t>0 mg</w:t>
      </w:r>
      <w:r>
        <w:t xml:space="preserve"> o.d. was prescribed, it was to be considered a protocol deviation. </w:t>
      </w:r>
    </w:p>
    <w:p w:rsidR="00E07ECC" w:rsidRPr="004B259C" w:rsidRDefault="00E07ECC" w:rsidP="004510A5">
      <w:pPr>
        <w:pStyle w:val="Heading6"/>
      </w:pPr>
      <w:r w:rsidRPr="004B259C">
        <w:t>Efficacy variables and outcomes</w:t>
      </w:r>
    </w:p>
    <w:p w:rsidR="00E07ECC" w:rsidRDefault="00E07ECC" w:rsidP="00E07ECC">
      <w:pPr>
        <w:spacing w:after="60"/>
      </w:pPr>
      <w:r>
        <w:t xml:space="preserve">The primary efficacy variable was the time to study exit from the start of the AN46046-304. </w:t>
      </w:r>
    </w:p>
    <w:p w:rsidR="00E07ECC" w:rsidRDefault="00E07ECC" w:rsidP="004510A5">
      <w:r>
        <w:lastRenderedPageBreak/>
        <w:t>Secondary Efficacy Variables included: The proportion of patients that remained seizure-free for at least six months, were seizure free for the duration of the AN-46046-355 study and were seizure free for the duration of treatment in both studies was also evaluated.</w:t>
      </w:r>
    </w:p>
    <w:p w:rsidR="00E07ECC" w:rsidRDefault="00E07ECC" w:rsidP="004510A5">
      <w:pPr>
        <w:pStyle w:val="Heading6"/>
      </w:pPr>
      <w:r>
        <w:t>Analysis populations</w:t>
      </w:r>
    </w:p>
    <w:p w:rsidR="00E07ECC" w:rsidRDefault="00E07ECC" w:rsidP="004510A5">
      <w:r>
        <w:t>Pre-Treatment Baseline: Day 1 of the AN46046-304 study was the screening visit for that study. Data collected at this time point represents the subject’s pre-treatment state before the receipt of any drug and serves as their baseline.</w:t>
      </w:r>
    </w:p>
    <w:p w:rsidR="00E07ECC" w:rsidDel="0081373E" w:rsidRDefault="00E07ECC" w:rsidP="004510A5">
      <w:r>
        <w:t>355 Baseline: The 42nd week clinic visit for the AN46046-304 study, the last visit, of that study, coincides with Visit 1 of the extension study ELN46046-355, the first visit or screening visit of that study. This time point was used as a point from which changes since the start of the ELN46046-355 study were measured.</w:t>
      </w:r>
    </w:p>
    <w:p w:rsidR="00E07ECC" w:rsidRPr="004B259C" w:rsidRDefault="00E07ECC" w:rsidP="004510A5">
      <w:pPr>
        <w:pStyle w:val="Heading6"/>
      </w:pPr>
      <w:r w:rsidRPr="004B259C">
        <w:t>Statistical methods</w:t>
      </w:r>
    </w:p>
    <w:p w:rsidR="00E07ECC" w:rsidRDefault="00E07ECC" w:rsidP="004510A5">
      <w:r>
        <w:t>For time-to-event analyses, Kaplan-Meier estimates of the 25th, 50th (and 95%CIs), and 75th percentiles and plots of the cumulative proportions of patients with the event were used.</w:t>
      </w:r>
    </w:p>
    <w:p w:rsidR="00E07ECC" w:rsidRPr="004B259C" w:rsidRDefault="00E07ECC" w:rsidP="004510A5">
      <w:pPr>
        <w:pStyle w:val="Heading6"/>
      </w:pPr>
      <w:r w:rsidRPr="004B259C">
        <w:t>Participant flow</w:t>
      </w:r>
    </w:p>
    <w:p w:rsidR="00E07ECC" w:rsidRDefault="00E07ECC" w:rsidP="00FD4F49">
      <w:pPr>
        <w:pStyle w:val="TableTitle"/>
      </w:pPr>
      <w:bookmarkStart w:id="83" w:name="_Toc326646561"/>
      <w:r>
        <w:t xml:space="preserve">Table </w:t>
      </w:r>
      <w:r w:rsidR="00423552">
        <w:fldChar w:fldCharType="begin"/>
      </w:r>
      <w:r w:rsidR="00FC3F50">
        <w:instrText xml:space="preserve"> SEQ Table \* ARABIC </w:instrText>
      </w:r>
      <w:r w:rsidR="00423552">
        <w:fldChar w:fldCharType="separate"/>
      </w:r>
      <w:r w:rsidR="002E4F77">
        <w:rPr>
          <w:noProof/>
        </w:rPr>
        <w:t>16</w:t>
      </w:r>
      <w:r w:rsidR="00423552">
        <w:fldChar w:fldCharType="end"/>
      </w:r>
      <w:r w:rsidR="004510A5">
        <w:t>.</w:t>
      </w:r>
      <w:r>
        <w:t xml:space="preserve"> </w:t>
      </w:r>
      <w:r w:rsidRPr="00F90596">
        <w:t>Reaso</w:t>
      </w:r>
      <w:r>
        <w:t>ns for Withdrawal from the Study</w:t>
      </w:r>
      <w:bookmarkEnd w:id="83"/>
    </w:p>
    <w:p w:rsidR="00E07ECC" w:rsidRDefault="00E07ECC" w:rsidP="00E07ECC">
      <w:r>
        <w:rPr>
          <w:noProof/>
          <w:lang w:eastAsia="en-AU"/>
        </w:rPr>
        <w:drawing>
          <wp:inline distT="0" distB="0" distL="0" distR="0">
            <wp:extent cx="3883133" cy="1104900"/>
            <wp:effectExtent l="19050" t="0" r="3067" b="0"/>
            <wp:docPr id="27" name="Picture 27" descr="Table 16. Reasons for Withdrawal from th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srcRect l="2734" t="6439" r="2158" b="4535"/>
                    <a:stretch>
                      <a:fillRect/>
                    </a:stretch>
                  </pic:blipFill>
                  <pic:spPr bwMode="auto">
                    <a:xfrm>
                      <a:off x="0" y="0"/>
                      <a:ext cx="3883133" cy="1104900"/>
                    </a:xfrm>
                    <a:prstGeom prst="rect">
                      <a:avLst/>
                    </a:prstGeom>
                    <a:noFill/>
                    <a:ln w="9525">
                      <a:noFill/>
                      <a:miter lim="800000"/>
                      <a:headEnd/>
                      <a:tailEnd/>
                    </a:ln>
                  </pic:spPr>
                </pic:pic>
              </a:graphicData>
            </a:graphic>
          </wp:inline>
        </w:drawing>
      </w:r>
    </w:p>
    <w:p w:rsidR="00E07ECC" w:rsidRDefault="00E07ECC" w:rsidP="00FD4F49">
      <w:pPr>
        <w:pStyle w:val="TableTitle"/>
      </w:pPr>
      <w:bookmarkStart w:id="84" w:name="_Toc326646562"/>
      <w:r>
        <w:t xml:space="preserve">Table </w:t>
      </w:r>
      <w:r w:rsidR="00423552">
        <w:fldChar w:fldCharType="begin"/>
      </w:r>
      <w:r w:rsidR="00FC3F50">
        <w:instrText xml:space="preserve"> SEQ Table \* ARABIC </w:instrText>
      </w:r>
      <w:r w:rsidR="00423552">
        <w:fldChar w:fldCharType="separate"/>
      </w:r>
      <w:r w:rsidR="002E4F77">
        <w:rPr>
          <w:noProof/>
        </w:rPr>
        <w:t>17</w:t>
      </w:r>
      <w:r w:rsidR="00423552">
        <w:fldChar w:fldCharType="end"/>
      </w:r>
      <w:r w:rsidR="004510A5">
        <w:t>.</w:t>
      </w:r>
      <w:r>
        <w:t xml:space="preserve"> </w:t>
      </w:r>
      <w:r w:rsidRPr="00BD7C26">
        <w:t>Summary of Demographic Characteristics</w:t>
      </w:r>
      <w:bookmarkEnd w:id="84"/>
    </w:p>
    <w:p w:rsidR="00E07ECC" w:rsidRDefault="00E07ECC" w:rsidP="00E07ECC">
      <w:r>
        <w:rPr>
          <w:noProof/>
          <w:lang w:eastAsia="en-AU"/>
        </w:rPr>
        <w:drawing>
          <wp:inline distT="0" distB="0" distL="0" distR="0">
            <wp:extent cx="3814445" cy="948690"/>
            <wp:effectExtent l="19050" t="0" r="0" b="0"/>
            <wp:docPr id="28" name="Picture 28" descr="Table 17. Summary of Demographic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srcRect b="74310"/>
                    <a:stretch>
                      <a:fillRect/>
                    </a:stretch>
                  </pic:blipFill>
                  <pic:spPr bwMode="auto">
                    <a:xfrm>
                      <a:off x="0" y="0"/>
                      <a:ext cx="3814445" cy="948690"/>
                    </a:xfrm>
                    <a:prstGeom prst="rect">
                      <a:avLst/>
                    </a:prstGeom>
                    <a:noFill/>
                    <a:ln w="9525">
                      <a:noFill/>
                      <a:miter lim="800000"/>
                      <a:headEnd/>
                      <a:tailEnd/>
                    </a:ln>
                  </pic:spPr>
                </pic:pic>
              </a:graphicData>
            </a:graphic>
          </wp:inline>
        </w:drawing>
      </w:r>
    </w:p>
    <w:p w:rsidR="00E07ECC" w:rsidRDefault="00E07ECC" w:rsidP="00E07ECC">
      <w:r>
        <w:rPr>
          <w:noProof/>
          <w:lang w:eastAsia="en-AU"/>
        </w:rPr>
        <w:drawing>
          <wp:inline distT="0" distB="0" distL="0" distR="0">
            <wp:extent cx="3883660" cy="1771471"/>
            <wp:effectExtent l="19050" t="0" r="2540" b="0"/>
            <wp:docPr id="29" name="Picture 29" descr="Table 17 continued. Summary of Demographic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srcRect t="37880" b="12845"/>
                    <a:stretch>
                      <a:fillRect/>
                    </a:stretch>
                  </pic:blipFill>
                  <pic:spPr bwMode="auto">
                    <a:xfrm>
                      <a:off x="0" y="0"/>
                      <a:ext cx="3888191" cy="1773538"/>
                    </a:xfrm>
                    <a:prstGeom prst="rect">
                      <a:avLst/>
                    </a:prstGeom>
                    <a:noFill/>
                    <a:ln w="9525">
                      <a:noFill/>
                      <a:miter lim="800000"/>
                      <a:headEnd/>
                      <a:tailEnd/>
                    </a:ln>
                  </pic:spPr>
                </pic:pic>
              </a:graphicData>
            </a:graphic>
          </wp:inline>
        </w:drawing>
      </w:r>
    </w:p>
    <w:p w:rsidR="004510A5" w:rsidRDefault="00E07ECC" w:rsidP="004510A5">
      <w:pPr>
        <w:rPr>
          <w:sz w:val="18"/>
          <w:szCs w:val="18"/>
        </w:rPr>
      </w:pPr>
      <w:r w:rsidRPr="00D717E4">
        <w:rPr>
          <w:sz w:val="16"/>
          <w:vertAlign w:val="superscript"/>
        </w:rPr>
        <w:t>1</w:t>
      </w:r>
      <w:r w:rsidRPr="004510A5">
        <w:rPr>
          <w:sz w:val="18"/>
          <w:szCs w:val="18"/>
        </w:rPr>
        <w:t xml:space="preserve"> Measurements taken at ELN46046-355 baseline (Visit 1)</w:t>
      </w:r>
      <w:r w:rsidR="004510A5" w:rsidRPr="004510A5">
        <w:rPr>
          <w:sz w:val="18"/>
          <w:szCs w:val="18"/>
        </w:rPr>
        <w:t xml:space="preserve">. </w:t>
      </w:r>
      <w:r w:rsidRPr="004510A5">
        <w:rPr>
          <w:sz w:val="18"/>
          <w:szCs w:val="18"/>
          <w:vertAlign w:val="superscript"/>
        </w:rPr>
        <w:t>2</w:t>
      </w:r>
      <w:r w:rsidRPr="004510A5">
        <w:rPr>
          <w:sz w:val="18"/>
          <w:szCs w:val="18"/>
        </w:rPr>
        <w:t xml:space="preserve"> Height was not measured in ELN46046-355 </w:t>
      </w:r>
    </w:p>
    <w:p w:rsidR="00E07ECC" w:rsidRDefault="00E07ECC" w:rsidP="004510A5">
      <w:pPr>
        <w:pStyle w:val="Heading6"/>
      </w:pPr>
      <w:r>
        <w:t>Major protocol violations/deviations</w:t>
      </w:r>
    </w:p>
    <w:p w:rsidR="00E07ECC" w:rsidRPr="004B259C" w:rsidRDefault="00E07ECC" w:rsidP="00E07ECC">
      <w:pPr>
        <w:autoSpaceDE w:val="0"/>
        <w:autoSpaceDN w:val="0"/>
        <w:adjustRightInd w:val="0"/>
        <w:spacing w:after="60"/>
      </w:pPr>
      <w:r>
        <w:t>None of the protocol deviations resulted in the patient being excluded from the evaluable (ITT) population.</w:t>
      </w:r>
    </w:p>
    <w:p w:rsidR="00E07ECC" w:rsidRPr="004B259C" w:rsidRDefault="00E07ECC" w:rsidP="004510A5">
      <w:pPr>
        <w:pStyle w:val="Heading6"/>
      </w:pPr>
      <w:r w:rsidRPr="004B259C">
        <w:lastRenderedPageBreak/>
        <w:t>Results for the efficacy outcome</w:t>
      </w:r>
      <w:r>
        <w:t>s</w:t>
      </w:r>
    </w:p>
    <w:p w:rsidR="00E07ECC" w:rsidRDefault="00E07ECC" w:rsidP="004510A5">
      <w:r>
        <w:t>One 10</w:t>
      </w:r>
      <w:r w:rsidR="000A6651">
        <w:t>0 mg</w:t>
      </w:r>
      <w:r>
        <w:t xml:space="preserve"> patient met the exit criteria for the study of two complex partial seizures. In the 30</w:t>
      </w:r>
      <w:r w:rsidR="000A6651">
        <w:t>0 mg</w:t>
      </w:r>
      <w:r>
        <w:t xml:space="preserve"> group two patients met the exit criteria, one due to two complex partial seizures and one due to a generalized tonic-clonic seizure. </w:t>
      </w:r>
    </w:p>
    <w:p w:rsidR="00E07ECC" w:rsidRDefault="00E07ECC" w:rsidP="004510A5">
      <w:r>
        <w:t>The number of patients that remained seizure-free for all three categories was higher in the group maintained at 10</w:t>
      </w:r>
      <w:r w:rsidR="000A6651">
        <w:t>0 mg</w:t>
      </w:r>
      <w:r>
        <w:t xml:space="preserve"> compared to those on 30</w:t>
      </w:r>
      <w:r w:rsidR="000A6651">
        <w:t>0 mg</w:t>
      </w:r>
      <w:r>
        <w:t>; (patients were only titrated to the 300 mg dose if they experienced a seizure and so the sponsor suggests this group of patients may therefore be considered to be less likely to remain seizure-free for the duration of the study).</w:t>
      </w:r>
    </w:p>
    <w:p w:rsidR="00E07ECC" w:rsidRDefault="00E07ECC" w:rsidP="00FD4F49">
      <w:pPr>
        <w:pStyle w:val="TableTitle"/>
      </w:pPr>
      <w:bookmarkStart w:id="85" w:name="_Toc326646563"/>
      <w:r>
        <w:t xml:space="preserve">Table </w:t>
      </w:r>
      <w:r w:rsidR="00423552">
        <w:fldChar w:fldCharType="begin"/>
      </w:r>
      <w:r w:rsidR="00FC3F50">
        <w:instrText xml:space="preserve"> SEQ Table \* ARABIC </w:instrText>
      </w:r>
      <w:r w:rsidR="00423552">
        <w:fldChar w:fldCharType="separate"/>
      </w:r>
      <w:r w:rsidR="002E4F77">
        <w:rPr>
          <w:noProof/>
        </w:rPr>
        <w:t>18</w:t>
      </w:r>
      <w:r w:rsidR="00423552">
        <w:fldChar w:fldCharType="end"/>
      </w:r>
      <w:r w:rsidR="004510A5">
        <w:t>.</w:t>
      </w:r>
      <w:r w:rsidR="003C2B8A">
        <w:t xml:space="preserve"> </w:t>
      </w:r>
      <w:r>
        <w:t>Summary of the Proportion of Patients that Remained Seizure-Free for at Least Six Months and for the Duration of Study 355</w:t>
      </w:r>
      <w:bookmarkEnd w:id="85"/>
    </w:p>
    <w:p w:rsidR="00E07ECC" w:rsidRDefault="00E07ECC" w:rsidP="00E07ECC">
      <w:r>
        <w:rPr>
          <w:noProof/>
          <w:lang w:eastAsia="en-AU"/>
        </w:rPr>
        <w:drawing>
          <wp:inline distT="0" distB="0" distL="0" distR="0">
            <wp:extent cx="4961255" cy="1739900"/>
            <wp:effectExtent l="19050" t="0" r="0" b="0"/>
            <wp:docPr id="30" name="Picture 30" descr="Table 18. Summary of the Proportion of Patients that Remained Seizure-Free for at Least Six Months and for the Duration of Study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srcRect/>
                    <a:stretch>
                      <a:fillRect/>
                    </a:stretch>
                  </pic:blipFill>
                  <pic:spPr bwMode="auto">
                    <a:xfrm>
                      <a:off x="0" y="0"/>
                      <a:ext cx="4961255" cy="1739900"/>
                    </a:xfrm>
                    <a:prstGeom prst="rect">
                      <a:avLst/>
                    </a:prstGeom>
                    <a:noFill/>
                    <a:ln w="9525">
                      <a:noFill/>
                      <a:miter lim="800000"/>
                      <a:headEnd/>
                      <a:tailEnd/>
                    </a:ln>
                  </pic:spPr>
                </pic:pic>
              </a:graphicData>
            </a:graphic>
          </wp:inline>
        </w:drawing>
      </w:r>
    </w:p>
    <w:p w:rsidR="00E07ECC" w:rsidRPr="00081C6D" w:rsidRDefault="00E07ECC" w:rsidP="00E07ECC">
      <w:pPr>
        <w:rPr>
          <w:sz w:val="18"/>
          <w:szCs w:val="18"/>
        </w:rPr>
      </w:pPr>
      <w:r w:rsidRPr="00081C6D">
        <w:rPr>
          <w:sz w:val="18"/>
          <w:szCs w:val="18"/>
          <w:vertAlign w:val="superscript"/>
        </w:rPr>
        <w:t>1</w:t>
      </w:r>
      <w:r w:rsidRPr="00081C6D">
        <w:rPr>
          <w:sz w:val="18"/>
          <w:szCs w:val="18"/>
        </w:rPr>
        <w:t xml:space="preserve"> Patients who were not on study drug for the duration of the study or until the exit criteria were met are removed from the denominators.</w:t>
      </w:r>
    </w:p>
    <w:p w:rsidR="003C2B8A" w:rsidRDefault="00E07ECC" w:rsidP="004510A5">
      <w:pPr>
        <w:pStyle w:val="Heading3"/>
      </w:pPr>
      <w:bookmarkStart w:id="86" w:name="_Toc359237254"/>
      <w:bookmarkStart w:id="87" w:name="_Ref271126605"/>
      <w:bookmarkStart w:id="88" w:name="_Toc272414657"/>
      <w:bookmarkStart w:id="89" w:name="_Toc290846282"/>
      <w:bookmarkStart w:id="90" w:name="_Toc290888819"/>
      <w:bookmarkStart w:id="91" w:name="_Toc326646517"/>
      <w:r w:rsidRPr="003C0A48">
        <w:t>Evaluator’s conclusions on clinical efficacy</w:t>
      </w:r>
      <w:bookmarkEnd w:id="86"/>
      <w:r w:rsidRPr="003C0A48">
        <w:t xml:space="preserve"> </w:t>
      </w:r>
      <w:bookmarkEnd w:id="87"/>
      <w:bookmarkEnd w:id="88"/>
      <w:bookmarkEnd w:id="89"/>
      <w:bookmarkEnd w:id="90"/>
    </w:p>
    <w:p w:rsidR="00E07ECC" w:rsidRPr="003C2B8A" w:rsidRDefault="00E07ECC" w:rsidP="00FD4F49">
      <w:pPr>
        <w:pStyle w:val="Heading4"/>
        <w:numPr>
          <w:ilvl w:val="0"/>
          <w:numId w:val="0"/>
        </w:numPr>
        <w:ind w:left="1134"/>
      </w:pPr>
      <w:r w:rsidRPr="003C2B8A">
        <w:t xml:space="preserve">For </w:t>
      </w:r>
      <w:proofErr w:type="spellStart"/>
      <w:r w:rsidRPr="003C2B8A">
        <w:t>Monotherapy</w:t>
      </w:r>
      <w:proofErr w:type="spellEnd"/>
      <w:r w:rsidRPr="003C2B8A">
        <w:t xml:space="preserve"> of Partial Seizures With or Without Secondary Generalization in Adults with Newly Diagnosed Epilepsy</w:t>
      </w:r>
      <w:bookmarkEnd w:id="91"/>
    </w:p>
    <w:p w:rsidR="00E07ECC" w:rsidRPr="00501369" w:rsidRDefault="00E07ECC" w:rsidP="00E07ECC">
      <w:pPr>
        <w:spacing w:after="60"/>
      </w:pPr>
      <w:r>
        <w:t xml:space="preserve">The pivotal </w:t>
      </w:r>
      <w:r w:rsidR="004510A5">
        <w:t>S</w:t>
      </w:r>
      <w:r>
        <w:t xml:space="preserve">tudy 304 population was not restricted to the proposed Indication. </w:t>
      </w:r>
      <w:r w:rsidRPr="00501369">
        <w:t>The wording of Inclusion and Exclusion criteria regarding generalised epilepsy indicates that the EEG result together with other clinical investigations (not named) was used to exclude idiopathic (primary) generalised epilepsy, leaving a group that were considered compatible with being localization-related epilepsy, but not established as such.</w:t>
      </w:r>
    </w:p>
    <w:p w:rsidR="00E07ECC" w:rsidRDefault="00E07ECC" w:rsidP="004510A5">
      <w:r>
        <w:t>It included within it patients with generalised tonic-clonic seizures (that were not c</w:t>
      </w:r>
      <w:r w:rsidRPr="00501369">
        <w:t>learly</w:t>
      </w:r>
      <w:r>
        <w:t xml:space="preserve"> secondary); </w:t>
      </w:r>
      <w:r w:rsidRPr="00742186">
        <w:t>37 (13.2</w:t>
      </w:r>
      <w:r>
        <w:t>%</w:t>
      </w:r>
      <w:r w:rsidRPr="00742186">
        <w:t>)</w:t>
      </w:r>
      <w:r>
        <w:t xml:space="preserve"> in the zonisamide group and </w:t>
      </w:r>
      <w:r w:rsidRPr="00742186">
        <w:t>38 (12.7</w:t>
      </w:r>
      <w:r>
        <w:t>%</w:t>
      </w:r>
      <w:r w:rsidRPr="00742186">
        <w:t>)</w:t>
      </w:r>
      <w:r>
        <w:t xml:space="preserve">on carbamazapine. This is in accordance with the protocol inclusion criterion. </w:t>
      </w:r>
    </w:p>
    <w:p w:rsidR="00E07ECC" w:rsidRPr="004510A5" w:rsidRDefault="00E07ECC" w:rsidP="004510A5">
      <w:pPr>
        <w:ind w:left="720"/>
        <w:rPr>
          <w:i/>
        </w:rPr>
      </w:pPr>
      <w:r w:rsidRPr="004510A5">
        <w:rPr>
          <w:i/>
        </w:rPr>
        <w:t xml:space="preserve">2. Subjects with untreated, newly diagnosed epilepsy having at least two well documented, unprovoked, clinically evaluated and classified partial seizures (with or without secondary generalization) </w:t>
      </w:r>
      <w:r w:rsidRPr="004510A5">
        <w:rPr>
          <w:b/>
          <w:i/>
        </w:rPr>
        <w:t xml:space="preserve">or generalized tonic-clonic seizures </w:t>
      </w:r>
      <w:r w:rsidRPr="004510A5">
        <w:rPr>
          <w:i/>
        </w:rPr>
        <w:t>(</w:t>
      </w:r>
      <w:r w:rsidRPr="004510A5">
        <w:rPr>
          <w:i/>
          <w:u w:val="single"/>
        </w:rPr>
        <w:t>without clear focal origin</w:t>
      </w:r>
      <w:r w:rsidRPr="004510A5">
        <w:rPr>
          <w:i/>
        </w:rPr>
        <w:t>) within 12 months of the Screening Visit, of which at least one seizure occurred within three months of the Screening Visit (&gt; one seizure within a 24 hour period will be counted as one seizure).</w:t>
      </w:r>
    </w:p>
    <w:p w:rsidR="00E07ECC" w:rsidRDefault="00E07ECC" w:rsidP="004510A5">
      <w:r w:rsidRPr="00501369">
        <w:t>It should be noted, that carbamazepine can cause an exacerbation of epilepsy in subjects with primary generalised epilepsy, so possible inclusion of such subjects was inappropriate, and might have biased this study against the carbamazepine cohort.</w:t>
      </w:r>
    </w:p>
    <w:p w:rsidR="00E07ECC" w:rsidRPr="00946149" w:rsidRDefault="00E07ECC" w:rsidP="004510A5">
      <w:r>
        <w:t>A subgroup analysis was undertaken but All Partial and</w:t>
      </w:r>
      <w:r w:rsidRPr="00946149">
        <w:t xml:space="preserve"> Secondary Generalised Tonic-Clonic were not combined.</w:t>
      </w:r>
      <w:r>
        <w:t xml:space="preserve"> Thus the applied for Indication has a differing population from this study.</w:t>
      </w:r>
    </w:p>
    <w:p w:rsidR="00E07ECC" w:rsidRPr="00ED76D6" w:rsidRDefault="00E07ECC" w:rsidP="00FD4F49">
      <w:pPr>
        <w:pStyle w:val="TableTitle"/>
      </w:pPr>
      <w:bookmarkStart w:id="92" w:name="_Toc326646564"/>
      <w:r>
        <w:lastRenderedPageBreak/>
        <w:t xml:space="preserve">Table </w:t>
      </w:r>
      <w:r w:rsidR="00423552">
        <w:fldChar w:fldCharType="begin"/>
      </w:r>
      <w:r w:rsidR="00FC3F50">
        <w:instrText xml:space="preserve"> SEQ Table \* ARABIC </w:instrText>
      </w:r>
      <w:r w:rsidR="00423552">
        <w:fldChar w:fldCharType="separate"/>
      </w:r>
      <w:r w:rsidR="002E4F77">
        <w:rPr>
          <w:noProof/>
        </w:rPr>
        <w:t>19</w:t>
      </w:r>
      <w:r w:rsidR="00423552">
        <w:fldChar w:fldCharType="end"/>
      </w:r>
      <w:r w:rsidR="004510A5">
        <w:t>.</w:t>
      </w:r>
      <w:r>
        <w:t xml:space="preserve"> </w:t>
      </w:r>
      <w:r w:rsidRPr="00ED76D6">
        <w:t>6-Month Seizure Freedom – sub group analysis by Seizure History (PP Population)</w:t>
      </w:r>
      <w:bookmarkEnd w:id="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0"/>
        <w:gridCol w:w="606"/>
        <w:gridCol w:w="1077"/>
        <w:gridCol w:w="606"/>
        <w:gridCol w:w="1176"/>
        <w:gridCol w:w="1908"/>
        <w:gridCol w:w="1639"/>
      </w:tblGrid>
      <w:tr w:rsidR="00E07ECC" w:rsidRPr="00ED76D6" w:rsidTr="00FD4F49">
        <w:trPr>
          <w:tblHeader/>
        </w:trPr>
        <w:tc>
          <w:tcPr>
            <w:tcW w:w="0" w:type="auto"/>
            <w:vMerge w:val="restart"/>
            <w:shd w:val="clear" w:color="auto" w:fill="0070C0"/>
            <w:vAlign w:val="center"/>
          </w:tcPr>
          <w:p w:rsidR="00E07ECC" w:rsidRPr="004510A5" w:rsidRDefault="00E07ECC" w:rsidP="000A6651">
            <w:pPr>
              <w:ind w:right="57"/>
              <w:rPr>
                <w:b/>
                <w:color w:val="FFFFFF" w:themeColor="background1"/>
                <w:sz w:val="20"/>
                <w:szCs w:val="20"/>
              </w:rPr>
            </w:pPr>
            <w:r w:rsidRPr="004510A5">
              <w:rPr>
                <w:b/>
                <w:color w:val="FFFFFF" w:themeColor="background1"/>
                <w:sz w:val="20"/>
                <w:szCs w:val="20"/>
              </w:rPr>
              <w:t>Seizure History</w:t>
            </w:r>
          </w:p>
        </w:tc>
        <w:tc>
          <w:tcPr>
            <w:tcW w:w="0" w:type="auto"/>
            <w:gridSpan w:val="2"/>
            <w:shd w:val="clear" w:color="auto" w:fill="0070C0"/>
            <w:vAlign w:val="center"/>
          </w:tcPr>
          <w:p w:rsidR="00E07ECC" w:rsidRPr="004510A5" w:rsidRDefault="00E07ECC" w:rsidP="000A6651">
            <w:pPr>
              <w:ind w:right="57"/>
              <w:jc w:val="center"/>
              <w:rPr>
                <w:b/>
                <w:color w:val="FFFFFF" w:themeColor="background1"/>
                <w:sz w:val="20"/>
                <w:szCs w:val="20"/>
              </w:rPr>
            </w:pPr>
            <w:r w:rsidRPr="004510A5">
              <w:rPr>
                <w:b/>
                <w:color w:val="FFFFFF" w:themeColor="background1"/>
                <w:sz w:val="20"/>
                <w:szCs w:val="20"/>
              </w:rPr>
              <w:t>Zonisamide</w:t>
            </w:r>
          </w:p>
          <w:p w:rsidR="00E07ECC" w:rsidRPr="004510A5" w:rsidRDefault="00E07ECC" w:rsidP="000A6651">
            <w:pPr>
              <w:ind w:right="57"/>
              <w:jc w:val="center"/>
              <w:rPr>
                <w:b/>
                <w:color w:val="FFFFFF" w:themeColor="background1"/>
                <w:sz w:val="20"/>
                <w:szCs w:val="20"/>
              </w:rPr>
            </w:pPr>
            <w:r w:rsidRPr="004510A5">
              <w:rPr>
                <w:b/>
                <w:color w:val="FFFFFF" w:themeColor="background1"/>
                <w:sz w:val="20"/>
                <w:szCs w:val="20"/>
              </w:rPr>
              <w:t>(N=223)</w:t>
            </w:r>
          </w:p>
        </w:tc>
        <w:tc>
          <w:tcPr>
            <w:tcW w:w="0" w:type="auto"/>
            <w:gridSpan w:val="2"/>
            <w:shd w:val="clear" w:color="auto" w:fill="0070C0"/>
            <w:vAlign w:val="center"/>
          </w:tcPr>
          <w:p w:rsidR="00E07ECC" w:rsidRPr="004510A5" w:rsidRDefault="00E07ECC" w:rsidP="000A6651">
            <w:pPr>
              <w:ind w:right="57"/>
              <w:jc w:val="center"/>
              <w:rPr>
                <w:b/>
                <w:color w:val="FFFFFF" w:themeColor="background1"/>
                <w:sz w:val="20"/>
                <w:szCs w:val="20"/>
              </w:rPr>
            </w:pPr>
            <w:r w:rsidRPr="004510A5">
              <w:rPr>
                <w:b/>
                <w:color w:val="FFFFFF" w:themeColor="background1"/>
                <w:sz w:val="20"/>
                <w:szCs w:val="20"/>
              </w:rPr>
              <w:t>Carbamazepine</w:t>
            </w:r>
          </w:p>
          <w:p w:rsidR="00E07ECC" w:rsidRPr="004510A5" w:rsidRDefault="00E07ECC" w:rsidP="000A6651">
            <w:pPr>
              <w:ind w:right="57"/>
              <w:jc w:val="center"/>
              <w:rPr>
                <w:b/>
                <w:color w:val="FFFFFF" w:themeColor="background1"/>
                <w:sz w:val="20"/>
                <w:szCs w:val="20"/>
              </w:rPr>
            </w:pPr>
            <w:r w:rsidRPr="004510A5">
              <w:rPr>
                <w:b/>
                <w:color w:val="FFFFFF" w:themeColor="background1"/>
                <w:sz w:val="20"/>
                <w:szCs w:val="20"/>
              </w:rPr>
              <w:t>(N=233)</w:t>
            </w:r>
          </w:p>
        </w:tc>
        <w:tc>
          <w:tcPr>
            <w:tcW w:w="0" w:type="auto"/>
            <w:vMerge w:val="restart"/>
            <w:shd w:val="clear" w:color="auto" w:fill="0070C0"/>
            <w:vAlign w:val="center"/>
          </w:tcPr>
          <w:p w:rsidR="00E07ECC" w:rsidRPr="004510A5" w:rsidRDefault="00E07ECC" w:rsidP="000A6651">
            <w:pPr>
              <w:ind w:right="57"/>
              <w:jc w:val="center"/>
              <w:rPr>
                <w:b/>
                <w:color w:val="FFFFFF" w:themeColor="background1"/>
                <w:sz w:val="20"/>
                <w:szCs w:val="20"/>
              </w:rPr>
            </w:pPr>
            <w:r w:rsidRPr="004510A5">
              <w:rPr>
                <w:b/>
                <w:color w:val="FFFFFF" w:themeColor="background1"/>
                <w:sz w:val="20"/>
                <w:szCs w:val="20"/>
              </w:rPr>
              <w:t>Adjusted difference</w:t>
            </w:r>
            <w:r w:rsidRPr="004510A5">
              <w:rPr>
                <w:b/>
                <w:color w:val="FFFFFF" w:themeColor="background1"/>
                <w:sz w:val="20"/>
                <w:szCs w:val="20"/>
                <w:vertAlign w:val="superscript"/>
              </w:rPr>
              <w:t>b</w:t>
            </w:r>
          </w:p>
          <w:p w:rsidR="00E07ECC" w:rsidRPr="004510A5" w:rsidRDefault="00E07ECC" w:rsidP="000A6651">
            <w:pPr>
              <w:ind w:right="57"/>
              <w:jc w:val="center"/>
              <w:rPr>
                <w:b/>
                <w:color w:val="FFFFFF" w:themeColor="background1"/>
                <w:sz w:val="20"/>
                <w:szCs w:val="20"/>
              </w:rPr>
            </w:pPr>
            <w:r w:rsidRPr="004510A5">
              <w:rPr>
                <w:b/>
                <w:color w:val="FFFFFF" w:themeColor="background1"/>
                <w:sz w:val="20"/>
                <w:szCs w:val="20"/>
              </w:rPr>
              <w:t>(95% CI)</w:t>
            </w:r>
            <w:r w:rsidRPr="004510A5">
              <w:rPr>
                <w:b/>
                <w:color w:val="FFFFFF" w:themeColor="background1"/>
                <w:sz w:val="20"/>
                <w:szCs w:val="20"/>
                <w:vertAlign w:val="superscript"/>
              </w:rPr>
              <w:t>c</w:t>
            </w:r>
          </w:p>
        </w:tc>
        <w:tc>
          <w:tcPr>
            <w:tcW w:w="0" w:type="auto"/>
            <w:vMerge w:val="restart"/>
            <w:shd w:val="clear" w:color="auto" w:fill="0070C0"/>
            <w:vAlign w:val="center"/>
          </w:tcPr>
          <w:p w:rsidR="00E07ECC" w:rsidRPr="004510A5" w:rsidRDefault="00E07ECC" w:rsidP="000A6651">
            <w:pPr>
              <w:ind w:right="57"/>
              <w:jc w:val="center"/>
              <w:rPr>
                <w:b/>
                <w:color w:val="FFFFFF" w:themeColor="background1"/>
                <w:sz w:val="20"/>
                <w:szCs w:val="20"/>
              </w:rPr>
            </w:pPr>
            <w:r w:rsidRPr="004510A5">
              <w:rPr>
                <w:b/>
                <w:color w:val="FFFFFF" w:themeColor="background1"/>
                <w:sz w:val="20"/>
                <w:szCs w:val="20"/>
              </w:rPr>
              <w:t>Odds Ratio</w:t>
            </w:r>
          </w:p>
          <w:p w:rsidR="00E07ECC" w:rsidRPr="004510A5" w:rsidRDefault="00E07ECC" w:rsidP="000A6651">
            <w:pPr>
              <w:ind w:right="57"/>
              <w:jc w:val="center"/>
              <w:rPr>
                <w:b/>
                <w:color w:val="FFFFFF" w:themeColor="background1"/>
                <w:sz w:val="20"/>
                <w:szCs w:val="20"/>
              </w:rPr>
            </w:pPr>
            <w:r w:rsidRPr="004510A5">
              <w:rPr>
                <w:b/>
                <w:color w:val="FFFFFF" w:themeColor="background1"/>
                <w:sz w:val="20"/>
                <w:szCs w:val="20"/>
              </w:rPr>
              <w:t>(95% CI)</w:t>
            </w:r>
            <w:r w:rsidRPr="004510A5">
              <w:rPr>
                <w:b/>
                <w:color w:val="FFFFFF" w:themeColor="background1"/>
                <w:sz w:val="20"/>
                <w:szCs w:val="20"/>
                <w:vertAlign w:val="superscript"/>
              </w:rPr>
              <w:t>a</w:t>
            </w:r>
          </w:p>
        </w:tc>
      </w:tr>
      <w:tr w:rsidR="00E07ECC" w:rsidRPr="00ED76D6" w:rsidTr="004510A5">
        <w:tc>
          <w:tcPr>
            <w:tcW w:w="0" w:type="auto"/>
            <w:vMerge/>
          </w:tcPr>
          <w:p w:rsidR="00E07ECC" w:rsidRPr="00ED76D6" w:rsidRDefault="00E07ECC" w:rsidP="000A6651">
            <w:pPr>
              <w:ind w:right="57"/>
              <w:rPr>
                <w:sz w:val="20"/>
                <w:szCs w:val="20"/>
              </w:rPr>
            </w:pPr>
          </w:p>
        </w:tc>
        <w:tc>
          <w:tcPr>
            <w:tcW w:w="0" w:type="auto"/>
            <w:shd w:val="clear" w:color="auto" w:fill="0070C0"/>
          </w:tcPr>
          <w:p w:rsidR="00E07ECC" w:rsidRPr="004510A5" w:rsidRDefault="00E07ECC" w:rsidP="000A6651">
            <w:pPr>
              <w:ind w:right="57"/>
              <w:jc w:val="center"/>
              <w:rPr>
                <w:b/>
                <w:color w:val="FFFFFF" w:themeColor="background1"/>
                <w:sz w:val="20"/>
                <w:szCs w:val="20"/>
              </w:rPr>
            </w:pPr>
            <w:r w:rsidRPr="004510A5">
              <w:rPr>
                <w:b/>
                <w:color w:val="FFFFFF" w:themeColor="background1"/>
                <w:sz w:val="20"/>
                <w:szCs w:val="20"/>
              </w:rPr>
              <w:t>N*</w:t>
            </w:r>
          </w:p>
        </w:tc>
        <w:tc>
          <w:tcPr>
            <w:tcW w:w="0" w:type="auto"/>
            <w:shd w:val="clear" w:color="auto" w:fill="0070C0"/>
          </w:tcPr>
          <w:p w:rsidR="00E07ECC" w:rsidRPr="004510A5" w:rsidRDefault="00E07ECC" w:rsidP="000A6651">
            <w:pPr>
              <w:ind w:right="57"/>
              <w:jc w:val="center"/>
              <w:rPr>
                <w:b/>
                <w:color w:val="FFFFFF" w:themeColor="background1"/>
                <w:sz w:val="20"/>
                <w:szCs w:val="20"/>
              </w:rPr>
            </w:pPr>
            <w:r w:rsidRPr="004510A5">
              <w:rPr>
                <w:b/>
                <w:color w:val="FFFFFF" w:themeColor="background1"/>
                <w:sz w:val="20"/>
                <w:szCs w:val="20"/>
              </w:rPr>
              <w:t>n (%) free</w:t>
            </w:r>
          </w:p>
        </w:tc>
        <w:tc>
          <w:tcPr>
            <w:tcW w:w="0" w:type="auto"/>
            <w:shd w:val="clear" w:color="auto" w:fill="0070C0"/>
          </w:tcPr>
          <w:p w:rsidR="00E07ECC" w:rsidRPr="004510A5" w:rsidRDefault="00E07ECC" w:rsidP="000A6651">
            <w:pPr>
              <w:ind w:right="57"/>
              <w:jc w:val="center"/>
              <w:rPr>
                <w:b/>
                <w:color w:val="FFFFFF" w:themeColor="background1"/>
                <w:sz w:val="20"/>
                <w:szCs w:val="20"/>
              </w:rPr>
            </w:pPr>
            <w:r w:rsidRPr="004510A5">
              <w:rPr>
                <w:b/>
                <w:color w:val="FFFFFF" w:themeColor="background1"/>
                <w:sz w:val="20"/>
                <w:szCs w:val="20"/>
              </w:rPr>
              <w:t>N*</w:t>
            </w:r>
          </w:p>
        </w:tc>
        <w:tc>
          <w:tcPr>
            <w:tcW w:w="0" w:type="auto"/>
            <w:shd w:val="clear" w:color="auto" w:fill="0070C0"/>
          </w:tcPr>
          <w:p w:rsidR="00E07ECC" w:rsidRPr="004510A5" w:rsidRDefault="00E07ECC" w:rsidP="000A6651">
            <w:pPr>
              <w:ind w:right="57"/>
              <w:jc w:val="center"/>
              <w:rPr>
                <w:b/>
                <w:color w:val="FFFFFF" w:themeColor="background1"/>
                <w:sz w:val="20"/>
                <w:szCs w:val="20"/>
              </w:rPr>
            </w:pPr>
            <w:r w:rsidRPr="004510A5">
              <w:rPr>
                <w:b/>
                <w:color w:val="FFFFFF" w:themeColor="background1"/>
                <w:sz w:val="20"/>
                <w:szCs w:val="20"/>
              </w:rPr>
              <w:t>n (%) free</w:t>
            </w:r>
          </w:p>
        </w:tc>
        <w:tc>
          <w:tcPr>
            <w:tcW w:w="0" w:type="auto"/>
            <w:vMerge/>
          </w:tcPr>
          <w:p w:rsidR="00E07ECC" w:rsidRPr="00ED76D6" w:rsidRDefault="00E07ECC" w:rsidP="000A6651">
            <w:pPr>
              <w:ind w:right="57"/>
              <w:jc w:val="center"/>
              <w:rPr>
                <w:sz w:val="20"/>
                <w:szCs w:val="20"/>
              </w:rPr>
            </w:pPr>
          </w:p>
        </w:tc>
        <w:tc>
          <w:tcPr>
            <w:tcW w:w="0" w:type="auto"/>
            <w:vMerge/>
          </w:tcPr>
          <w:p w:rsidR="00E07ECC" w:rsidRPr="00ED76D6" w:rsidRDefault="00E07ECC" w:rsidP="000A6651">
            <w:pPr>
              <w:ind w:right="57"/>
              <w:jc w:val="center"/>
              <w:rPr>
                <w:sz w:val="20"/>
                <w:szCs w:val="20"/>
              </w:rPr>
            </w:pPr>
          </w:p>
        </w:tc>
      </w:tr>
      <w:tr w:rsidR="00E07ECC" w:rsidRPr="00ED76D6" w:rsidTr="000A6651">
        <w:tc>
          <w:tcPr>
            <w:tcW w:w="0" w:type="auto"/>
          </w:tcPr>
          <w:p w:rsidR="00E07ECC" w:rsidRPr="00ED76D6" w:rsidRDefault="00E07ECC" w:rsidP="000A6651">
            <w:pPr>
              <w:ind w:right="57"/>
              <w:rPr>
                <w:sz w:val="20"/>
                <w:szCs w:val="20"/>
              </w:rPr>
            </w:pPr>
            <w:r w:rsidRPr="00ED76D6">
              <w:rPr>
                <w:sz w:val="20"/>
                <w:szCs w:val="20"/>
              </w:rPr>
              <w:t>Simple Partial</w:t>
            </w:r>
          </w:p>
        </w:tc>
        <w:tc>
          <w:tcPr>
            <w:tcW w:w="0" w:type="auto"/>
          </w:tcPr>
          <w:p w:rsidR="00E07ECC" w:rsidRPr="00ED76D6" w:rsidRDefault="00E07ECC" w:rsidP="000A6651">
            <w:pPr>
              <w:ind w:right="57"/>
              <w:jc w:val="center"/>
              <w:rPr>
                <w:sz w:val="20"/>
                <w:szCs w:val="20"/>
              </w:rPr>
            </w:pPr>
            <w:r w:rsidRPr="00ED76D6">
              <w:rPr>
                <w:sz w:val="20"/>
                <w:szCs w:val="20"/>
              </w:rPr>
              <w:t>47</w:t>
            </w:r>
          </w:p>
        </w:tc>
        <w:tc>
          <w:tcPr>
            <w:tcW w:w="0" w:type="auto"/>
          </w:tcPr>
          <w:p w:rsidR="00E07ECC" w:rsidRPr="00ED76D6" w:rsidRDefault="00E07ECC" w:rsidP="000A6651">
            <w:pPr>
              <w:ind w:right="57"/>
              <w:jc w:val="center"/>
              <w:rPr>
                <w:sz w:val="20"/>
                <w:szCs w:val="20"/>
              </w:rPr>
            </w:pPr>
            <w:r w:rsidRPr="00ED76D6">
              <w:rPr>
                <w:sz w:val="20"/>
                <w:szCs w:val="20"/>
              </w:rPr>
              <w:t>34 (72.3)</w:t>
            </w:r>
          </w:p>
        </w:tc>
        <w:tc>
          <w:tcPr>
            <w:tcW w:w="0" w:type="auto"/>
          </w:tcPr>
          <w:p w:rsidR="00E07ECC" w:rsidRPr="00ED76D6" w:rsidRDefault="00E07ECC" w:rsidP="000A6651">
            <w:pPr>
              <w:ind w:right="57"/>
              <w:jc w:val="center"/>
              <w:rPr>
                <w:sz w:val="20"/>
                <w:szCs w:val="20"/>
              </w:rPr>
            </w:pPr>
            <w:r w:rsidRPr="00ED76D6">
              <w:rPr>
                <w:sz w:val="20"/>
                <w:szCs w:val="20"/>
              </w:rPr>
              <w:t>52</w:t>
            </w:r>
          </w:p>
        </w:tc>
        <w:tc>
          <w:tcPr>
            <w:tcW w:w="0" w:type="auto"/>
          </w:tcPr>
          <w:p w:rsidR="00E07ECC" w:rsidRPr="00ED76D6" w:rsidRDefault="00E07ECC" w:rsidP="000A6651">
            <w:pPr>
              <w:ind w:right="57"/>
              <w:jc w:val="center"/>
              <w:rPr>
                <w:sz w:val="20"/>
                <w:szCs w:val="20"/>
              </w:rPr>
            </w:pPr>
            <w:r w:rsidRPr="00ED76D6">
              <w:rPr>
                <w:sz w:val="20"/>
                <w:szCs w:val="20"/>
              </w:rPr>
              <w:t>39 (75.0)</w:t>
            </w:r>
          </w:p>
        </w:tc>
        <w:tc>
          <w:tcPr>
            <w:tcW w:w="0" w:type="auto"/>
          </w:tcPr>
          <w:p w:rsidR="00E07ECC" w:rsidRPr="00ED76D6" w:rsidRDefault="00E07ECC" w:rsidP="000A6651">
            <w:pPr>
              <w:ind w:right="57"/>
              <w:jc w:val="center"/>
              <w:rPr>
                <w:sz w:val="20"/>
                <w:szCs w:val="20"/>
              </w:rPr>
            </w:pPr>
            <w:r w:rsidRPr="00ED76D6">
              <w:rPr>
                <w:sz w:val="20"/>
                <w:szCs w:val="20"/>
              </w:rPr>
              <w:t>-0.027 (-0.200, 0.147)</w:t>
            </w:r>
          </w:p>
        </w:tc>
        <w:tc>
          <w:tcPr>
            <w:tcW w:w="0" w:type="auto"/>
          </w:tcPr>
          <w:p w:rsidR="00E07ECC" w:rsidRPr="00ED76D6" w:rsidRDefault="00E07ECC" w:rsidP="000A6651">
            <w:pPr>
              <w:ind w:right="57"/>
              <w:jc w:val="center"/>
              <w:rPr>
                <w:sz w:val="20"/>
                <w:szCs w:val="20"/>
              </w:rPr>
            </w:pPr>
            <w:r w:rsidRPr="00ED76D6">
              <w:rPr>
                <w:sz w:val="20"/>
                <w:szCs w:val="20"/>
              </w:rPr>
              <w:t>0.872 (0.356, 2.135)</w:t>
            </w:r>
          </w:p>
        </w:tc>
      </w:tr>
      <w:tr w:rsidR="00E07ECC" w:rsidRPr="00ED76D6" w:rsidTr="000A6651">
        <w:tc>
          <w:tcPr>
            <w:tcW w:w="0" w:type="auto"/>
          </w:tcPr>
          <w:p w:rsidR="00E07ECC" w:rsidRPr="00ED76D6" w:rsidRDefault="00E07ECC" w:rsidP="000A6651">
            <w:pPr>
              <w:ind w:right="57"/>
              <w:rPr>
                <w:sz w:val="20"/>
                <w:szCs w:val="20"/>
              </w:rPr>
            </w:pPr>
            <w:r w:rsidRPr="00ED76D6">
              <w:rPr>
                <w:sz w:val="20"/>
                <w:szCs w:val="20"/>
              </w:rPr>
              <w:t>Complex Partial</w:t>
            </w:r>
          </w:p>
        </w:tc>
        <w:tc>
          <w:tcPr>
            <w:tcW w:w="0" w:type="auto"/>
          </w:tcPr>
          <w:p w:rsidR="00E07ECC" w:rsidRPr="00ED76D6" w:rsidRDefault="00E07ECC" w:rsidP="000A6651">
            <w:pPr>
              <w:ind w:right="57"/>
              <w:jc w:val="center"/>
              <w:rPr>
                <w:sz w:val="20"/>
                <w:szCs w:val="20"/>
              </w:rPr>
            </w:pPr>
            <w:r w:rsidRPr="00ED76D6">
              <w:rPr>
                <w:sz w:val="20"/>
                <w:szCs w:val="20"/>
              </w:rPr>
              <w:t>91</w:t>
            </w:r>
          </w:p>
        </w:tc>
        <w:tc>
          <w:tcPr>
            <w:tcW w:w="0" w:type="auto"/>
          </w:tcPr>
          <w:p w:rsidR="00E07ECC" w:rsidRPr="00ED76D6" w:rsidRDefault="00E07ECC" w:rsidP="000A6651">
            <w:pPr>
              <w:ind w:right="57"/>
              <w:jc w:val="center"/>
              <w:rPr>
                <w:sz w:val="20"/>
                <w:szCs w:val="20"/>
              </w:rPr>
            </w:pPr>
            <w:r w:rsidRPr="00ED76D6">
              <w:rPr>
                <w:sz w:val="20"/>
                <w:szCs w:val="20"/>
              </w:rPr>
              <w:t>70 (76.9)</w:t>
            </w:r>
          </w:p>
        </w:tc>
        <w:tc>
          <w:tcPr>
            <w:tcW w:w="0" w:type="auto"/>
          </w:tcPr>
          <w:p w:rsidR="00E07ECC" w:rsidRPr="00ED76D6" w:rsidRDefault="00E07ECC" w:rsidP="000A6651">
            <w:pPr>
              <w:ind w:right="57"/>
              <w:jc w:val="center"/>
              <w:rPr>
                <w:sz w:val="20"/>
                <w:szCs w:val="20"/>
              </w:rPr>
            </w:pPr>
            <w:r w:rsidRPr="00ED76D6">
              <w:rPr>
                <w:sz w:val="20"/>
                <w:szCs w:val="20"/>
              </w:rPr>
              <w:t>86</w:t>
            </w:r>
          </w:p>
        </w:tc>
        <w:tc>
          <w:tcPr>
            <w:tcW w:w="0" w:type="auto"/>
          </w:tcPr>
          <w:p w:rsidR="00E07ECC" w:rsidRPr="00ED76D6" w:rsidRDefault="00E07ECC" w:rsidP="000A6651">
            <w:pPr>
              <w:ind w:right="57"/>
              <w:jc w:val="center"/>
              <w:rPr>
                <w:sz w:val="20"/>
                <w:szCs w:val="20"/>
              </w:rPr>
            </w:pPr>
            <w:r w:rsidRPr="00ED76D6">
              <w:rPr>
                <w:sz w:val="20"/>
                <w:szCs w:val="20"/>
              </w:rPr>
              <w:t>80 (93.0)</w:t>
            </w:r>
          </w:p>
        </w:tc>
        <w:tc>
          <w:tcPr>
            <w:tcW w:w="0" w:type="auto"/>
          </w:tcPr>
          <w:p w:rsidR="00E07ECC" w:rsidRPr="00ED76D6" w:rsidRDefault="00E07ECC" w:rsidP="000A6651">
            <w:pPr>
              <w:ind w:right="57"/>
              <w:jc w:val="center"/>
              <w:rPr>
                <w:sz w:val="20"/>
                <w:szCs w:val="20"/>
              </w:rPr>
            </w:pPr>
            <w:r w:rsidRPr="00ED76D6">
              <w:rPr>
                <w:sz w:val="20"/>
                <w:szCs w:val="20"/>
              </w:rPr>
              <w:t>-0.161 (-0.263, -0.059)</w:t>
            </w:r>
          </w:p>
        </w:tc>
        <w:tc>
          <w:tcPr>
            <w:tcW w:w="0" w:type="auto"/>
          </w:tcPr>
          <w:p w:rsidR="00E07ECC" w:rsidRPr="00ED76D6" w:rsidRDefault="00E07ECC" w:rsidP="000A6651">
            <w:pPr>
              <w:ind w:right="57"/>
              <w:jc w:val="center"/>
              <w:rPr>
                <w:sz w:val="20"/>
                <w:szCs w:val="20"/>
              </w:rPr>
            </w:pPr>
            <w:r w:rsidRPr="00ED76D6">
              <w:rPr>
                <w:sz w:val="20"/>
                <w:szCs w:val="20"/>
              </w:rPr>
              <w:t>0.250 (0.095, 0.654)</w:t>
            </w:r>
          </w:p>
        </w:tc>
      </w:tr>
      <w:tr w:rsidR="00E07ECC" w:rsidRPr="00ED76D6" w:rsidTr="000A6651">
        <w:tc>
          <w:tcPr>
            <w:tcW w:w="0" w:type="auto"/>
          </w:tcPr>
          <w:p w:rsidR="00E07ECC" w:rsidRPr="00ED76D6" w:rsidRDefault="00E07ECC" w:rsidP="000A6651">
            <w:pPr>
              <w:ind w:right="57"/>
              <w:rPr>
                <w:sz w:val="20"/>
                <w:szCs w:val="20"/>
              </w:rPr>
            </w:pPr>
            <w:r w:rsidRPr="00ED76D6">
              <w:rPr>
                <w:sz w:val="20"/>
                <w:szCs w:val="20"/>
              </w:rPr>
              <w:t>All Partial</w:t>
            </w:r>
          </w:p>
        </w:tc>
        <w:tc>
          <w:tcPr>
            <w:tcW w:w="0" w:type="auto"/>
          </w:tcPr>
          <w:p w:rsidR="00E07ECC" w:rsidRPr="00ED76D6" w:rsidRDefault="00E07ECC" w:rsidP="000A6651">
            <w:pPr>
              <w:ind w:right="57"/>
              <w:jc w:val="center"/>
              <w:rPr>
                <w:sz w:val="20"/>
                <w:szCs w:val="20"/>
              </w:rPr>
            </w:pPr>
            <w:r w:rsidRPr="00ED76D6">
              <w:rPr>
                <w:sz w:val="20"/>
                <w:szCs w:val="20"/>
              </w:rPr>
              <w:t>123</w:t>
            </w:r>
          </w:p>
        </w:tc>
        <w:tc>
          <w:tcPr>
            <w:tcW w:w="0" w:type="auto"/>
          </w:tcPr>
          <w:p w:rsidR="00E07ECC" w:rsidRPr="00ED76D6" w:rsidRDefault="00E07ECC" w:rsidP="000A6651">
            <w:pPr>
              <w:ind w:right="57"/>
              <w:jc w:val="center"/>
              <w:rPr>
                <w:sz w:val="20"/>
                <w:szCs w:val="20"/>
              </w:rPr>
            </w:pPr>
            <w:r w:rsidRPr="00ED76D6">
              <w:rPr>
                <w:sz w:val="20"/>
                <w:szCs w:val="20"/>
              </w:rPr>
              <w:t>94 (76.4)</w:t>
            </w:r>
          </w:p>
        </w:tc>
        <w:tc>
          <w:tcPr>
            <w:tcW w:w="0" w:type="auto"/>
          </w:tcPr>
          <w:p w:rsidR="00E07ECC" w:rsidRPr="00ED76D6" w:rsidRDefault="00E07ECC" w:rsidP="000A6651">
            <w:pPr>
              <w:ind w:right="57"/>
              <w:jc w:val="center"/>
              <w:rPr>
                <w:sz w:val="20"/>
                <w:szCs w:val="20"/>
              </w:rPr>
            </w:pPr>
            <w:r w:rsidRPr="00ED76D6">
              <w:rPr>
                <w:sz w:val="20"/>
                <w:szCs w:val="20"/>
              </w:rPr>
              <w:t>129</w:t>
            </w:r>
          </w:p>
        </w:tc>
        <w:tc>
          <w:tcPr>
            <w:tcW w:w="0" w:type="auto"/>
          </w:tcPr>
          <w:p w:rsidR="00E07ECC" w:rsidRPr="00ED76D6" w:rsidRDefault="00E07ECC" w:rsidP="000A6651">
            <w:pPr>
              <w:ind w:right="57"/>
              <w:jc w:val="center"/>
              <w:rPr>
                <w:sz w:val="20"/>
                <w:szCs w:val="20"/>
              </w:rPr>
            </w:pPr>
            <w:r w:rsidRPr="00ED76D6">
              <w:rPr>
                <w:sz w:val="20"/>
                <w:szCs w:val="20"/>
              </w:rPr>
              <w:t>111 (86.0)</w:t>
            </w:r>
          </w:p>
        </w:tc>
        <w:tc>
          <w:tcPr>
            <w:tcW w:w="0" w:type="auto"/>
          </w:tcPr>
          <w:p w:rsidR="00E07ECC" w:rsidRPr="00ED76D6" w:rsidRDefault="00E07ECC" w:rsidP="000A6651">
            <w:pPr>
              <w:ind w:right="57"/>
              <w:jc w:val="center"/>
              <w:rPr>
                <w:sz w:val="20"/>
                <w:szCs w:val="20"/>
              </w:rPr>
            </w:pPr>
            <w:r w:rsidRPr="00ED76D6">
              <w:rPr>
                <w:sz w:val="20"/>
                <w:szCs w:val="20"/>
              </w:rPr>
              <w:t>-0.096 (-0.192, -0.000)</w:t>
            </w:r>
          </w:p>
        </w:tc>
        <w:tc>
          <w:tcPr>
            <w:tcW w:w="0" w:type="auto"/>
          </w:tcPr>
          <w:p w:rsidR="00E07ECC" w:rsidRPr="00ED76D6" w:rsidRDefault="00E07ECC" w:rsidP="000A6651">
            <w:pPr>
              <w:ind w:right="57"/>
              <w:jc w:val="center"/>
              <w:rPr>
                <w:sz w:val="20"/>
                <w:szCs w:val="20"/>
              </w:rPr>
            </w:pPr>
            <w:r w:rsidRPr="00ED76D6">
              <w:rPr>
                <w:sz w:val="20"/>
                <w:szCs w:val="20"/>
              </w:rPr>
              <w:t>0.526 (0.275, 1.006)</w:t>
            </w:r>
          </w:p>
        </w:tc>
      </w:tr>
      <w:tr w:rsidR="00E07ECC" w:rsidRPr="00ED76D6" w:rsidTr="000A6651">
        <w:tc>
          <w:tcPr>
            <w:tcW w:w="0" w:type="auto"/>
          </w:tcPr>
          <w:p w:rsidR="00E07ECC" w:rsidRPr="00ED76D6" w:rsidRDefault="00E07ECC" w:rsidP="000A6651">
            <w:pPr>
              <w:ind w:right="57"/>
              <w:rPr>
                <w:sz w:val="20"/>
                <w:szCs w:val="20"/>
              </w:rPr>
            </w:pPr>
            <w:r w:rsidRPr="00ED76D6">
              <w:rPr>
                <w:sz w:val="20"/>
                <w:szCs w:val="20"/>
              </w:rPr>
              <w:t>Secondary Generalised</w:t>
            </w:r>
          </w:p>
          <w:p w:rsidR="00E07ECC" w:rsidRPr="00ED76D6" w:rsidRDefault="00E07ECC" w:rsidP="000A6651">
            <w:pPr>
              <w:ind w:right="57"/>
              <w:rPr>
                <w:sz w:val="20"/>
                <w:szCs w:val="20"/>
              </w:rPr>
            </w:pPr>
            <w:r w:rsidRPr="00ED76D6">
              <w:rPr>
                <w:sz w:val="20"/>
                <w:szCs w:val="20"/>
              </w:rPr>
              <w:t>Tonic-Clonic</w:t>
            </w:r>
          </w:p>
        </w:tc>
        <w:tc>
          <w:tcPr>
            <w:tcW w:w="0" w:type="auto"/>
          </w:tcPr>
          <w:p w:rsidR="00E07ECC" w:rsidRPr="00ED76D6" w:rsidRDefault="00E07ECC" w:rsidP="000A6651">
            <w:pPr>
              <w:ind w:right="57"/>
              <w:jc w:val="center"/>
              <w:rPr>
                <w:sz w:val="20"/>
                <w:szCs w:val="20"/>
              </w:rPr>
            </w:pPr>
            <w:r w:rsidRPr="00ED76D6">
              <w:rPr>
                <w:sz w:val="20"/>
                <w:szCs w:val="20"/>
              </w:rPr>
              <w:t>137</w:t>
            </w:r>
          </w:p>
        </w:tc>
        <w:tc>
          <w:tcPr>
            <w:tcW w:w="0" w:type="auto"/>
          </w:tcPr>
          <w:p w:rsidR="00E07ECC" w:rsidRPr="00ED76D6" w:rsidRDefault="00E07ECC" w:rsidP="000A6651">
            <w:pPr>
              <w:ind w:right="57"/>
              <w:jc w:val="center"/>
              <w:rPr>
                <w:sz w:val="20"/>
                <w:szCs w:val="20"/>
              </w:rPr>
            </w:pPr>
            <w:r w:rsidRPr="00ED76D6">
              <w:rPr>
                <w:sz w:val="20"/>
                <w:szCs w:val="20"/>
              </w:rPr>
              <w:t>106 (77.4)</w:t>
            </w:r>
          </w:p>
        </w:tc>
        <w:tc>
          <w:tcPr>
            <w:tcW w:w="0" w:type="auto"/>
          </w:tcPr>
          <w:p w:rsidR="00E07ECC" w:rsidRPr="00ED76D6" w:rsidRDefault="00E07ECC" w:rsidP="000A6651">
            <w:pPr>
              <w:ind w:right="57"/>
              <w:jc w:val="center"/>
              <w:rPr>
                <w:sz w:val="20"/>
                <w:szCs w:val="20"/>
              </w:rPr>
            </w:pPr>
            <w:r w:rsidRPr="00ED76D6">
              <w:rPr>
                <w:sz w:val="20"/>
                <w:szCs w:val="20"/>
              </w:rPr>
              <w:t>135</w:t>
            </w:r>
          </w:p>
        </w:tc>
        <w:tc>
          <w:tcPr>
            <w:tcW w:w="0" w:type="auto"/>
          </w:tcPr>
          <w:p w:rsidR="00E07ECC" w:rsidRPr="00ED76D6" w:rsidRDefault="00E07ECC" w:rsidP="000A6651">
            <w:pPr>
              <w:ind w:right="57"/>
              <w:jc w:val="center"/>
              <w:rPr>
                <w:sz w:val="20"/>
                <w:szCs w:val="20"/>
              </w:rPr>
            </w:pPr>
            <w:r w:rsidRPr="00ED76D6">
              <w:rPr>
                <w:sz w:val="20"/>
                <w:szCs w:val="20"/>
              </w:rPr>
              <w:t>108 (80.0)</w:t>
            </w:r>
          </w:p>
        </w:tc>
        <w:tc>
          <w:tcPr>
            <w:tcW w:w="0" w:type="auto"/>
          </w:tcPr>
          <w:p w:rsidR="00E07ECC" w:rsidRPr="00ED76D6" w:rsidRDefault="00E07ECC" w:rsidP="000A6651">
            <w:pPr>
              <w:ind w:right="57"/>
              <w:jc w:val="center"/>
              <w:rPr>
                <w:sz w:val="20"/>
                <w:szCs w:val="20"/>
              </w:rPr>
            </w:pPr>
            <w:r w:rsidRPr="00ED76D6">
              <w:rPr>
                <w:sz w:val="20"/>
                <w:szCs w:val="20"/>
              </w:rPr>
              <w:t>-0.026 (-0.124, 0.071)</w:t>
            </w:r>
          </w:p>
        </w:tc>
        <w:tc>
          <w:tcPr>
            <w:tcW w:w="0" w:type="auto"/>
          </w:tcPr>
          <w:p w:rsidR="00E07ECC" w:rsidRPr="00ED76D6" w:rsidRDefault="00E07ECC" w:rsidP="000A6651">
            <w:pPr>
              <w:ind w:right="57"/>
              <w:jc w:val="center"/>
              <w:rPr>
                <w:sz w:val="20"/>
                <w:szCs w:val="20"/>
              </w:rPr>
            </w:pPr>
            <w:r w:rsidRPr="00ED76D6">
              <w:rPr>
                <w:sz w:val="20"/>
                <w:szCs w:val="20"/>
              </w:rPr>
              <w:t>0.855 (0.478, 1.529)</w:t>
            </w:r>
          </w:p>
        </w:tc>
      </w:tr>
      <w:tr w:rsidR="00E07ECC" w:rsidRPr="00ED76D6" w:rsidTr="000A6651">
        <w:tc>
          <w:tcPr>
            <w:tcW w:w="0" w:type="auto"/>
          </w:tcPr>
          <w:p w:rsidR="00E07ECC" w:rsidRPr="00ED76D6" w:rsidRDefault="00E07ECC" w:rsidP="000A6651">
            <w:pPr>
              <w:ind w:right="57"/>
              <w:rPr>
                <w:sz w:val="20"/>
                <w:szCs w:val="20"/>
              </w:rPr>
            </w:pPr>
            <w:r w:rsidRPr="00ED76D6">
              <w:rPr>
                <w:sz w:val="20"/>
                <w:szCs w:val="20"/>
              </w:rPr>
              <w:t>Generalised Tonic-Clonic</w:t>
            </w:r>
          </w:p>
        </w:tc>
        <w:tc>
          <w:tcPr>
            <w:tcW w:w="0" w:type="auto"/>
          </w:tcPr>
          <w:p w:rsidR="00E07ECC" w:rsidRPr="00ED76D6" w:rsidRDefault="00E07ECC" w:rsidP="000A6651">
            <w:pPr>
              <w:ind w:right="57"/>
              <w:jc w:val="center"/>
              <w:rPr>
                <w:sz w:val="20"/>
                <w:szCs w:val="20"/>
              </w:rPr>
            </w:pPr>
            <w:r w:rsidRPr="00ED76D6">
              <w:rPr>
                <w:sz w:val="20"/>
                <w:szCs w:val="20"/>
              </w:rPr>
              <w:t>28</w:t>
            </w:r>
          </w:p>
        </w:tc>
        <w:tc>
          <w:tcPr>
            <w:tcW w:w="0" w:type="auto"/>
          </w:tcPr>
          <w:p w:rsidR="00E07ECC" w:rsidRPr="00ED76D6" w:rsidRDefault="00E07ECC" w:rsidP="000A6651">
            <w:pPr>
              <w:ind w:right="57"/>
              <w:jc w:val="center"/>
              <w:rPr>
                <w:sz w:val="20"/>
                <w:szCs w:val="20"/>
              </w:rPr>
            </w:pPr>
            <w:r w:rsidRPr="00ED76D6">
              <w:rPr>
                <w:sz w:val="20"/>
                <w:szCs w:val="20"/>
              </w:rPr>
              <w:t>24 (85.7)</w:t>
            </w:r>
          </w:p>
        </w:tc>
        <w:tc>
          <w:tcPr>
            <w:tcW w:w="0" w:type="auto"/>
          </w:tcPr>
          <w:p w:rsidR="00E07ECC" w:rsidRPr="00ED76D6" w:rsidRDefault="00E07ECC" w:rsidP="000A6651">
            <w:pPr>
              <w:ind w:right="57"/>
              <w:jc w:val="center"/>
              <w:rPr>
                <w:sz w:val="20"/>
                <w:szCs w:val="20"/>
              </w:rPr>
            </w:pPr>
            <w:r w:rsidRPr="00ED76D6">
              <w:rPr>
                <w:sz w:val="20"/>
                <w:szCs w:val="20"/>
              </w:rPr>
              <w:t>25</w:t>
            </w:r>
          </w:p>
        </w:tc>
        <w:tc>
          <w:tcPr>
            <w:tcW w:w="0" w:type="auto"/>
          </w:tcPr>
          <w:p w:rsidR="00E07ECC" w:rsidRPr="00ED76D6" w:rsidRDefault="00E07ECC" w:rsidP="000A6651">
            <w:pPr>
              <w:ind w:right="57"/>
              <w:jc w:val="center"/>
              <w:rPr>
                <w:sz w:val="20"/>
                <w:szCs w:val="20"/>
              </w:rPr>
            </w:pPr>
            <w:r w:rsidRPr="00ED76D6">
              <w:rPr>
                <w:sz w:val="20"/>
                <w:szCs w:val="20"/>
              </w:rPr>
              <w:t>23 (92.0)</w:t>
            </w:r>
          </w:p>
        </w:tc>
        <w:tc>
          <w:tcPr>
            <w:tcW w:w="0" w:type="auto"/>
          </w:tcPr>
          <w:p w:rsidR="00E07ECC" w:rsidRPr="00ED76D6" w:rsidRDefault="00E07ECC" w:rsidP="000A6651">
            <w:pPr>
              <w:ind w:right="57"/>
              <w:jc w:val="center"/>
              <w:rPr>
                <w:sz w:val="20"/>
                <w:szCs w:val="20"/>
              </w:rPr>
            </w:pPr>
            <w:r w:rsidRPr="00ED76D6">
              <w:rPr>
                <w:sz w:val="20"/>
                <w:szCs w:val="20"/>
              </w:rPr>
              <w:t>-0.063 (-0.231, 0.105)</w:t>
            </w:r>
          </w:p>
        </w:tc>
        <w:tc>
          <w:tcPr>
            <w:tcW w:w="0" w:type="auto"/>
          </w:tcPr>
          <w:p w:rsidR="00E07ECC" w:rsidRPr="00ED76D6" w:rsidRDefault="00E07ECC" w:rsidP="000A6651">
            <w:pPr>
              <w:ind w:right="57"/>
              <w:jc w:val="center"/>
              <w:rPr>
                <w:sz w:val="20"/>
                <w:szCs w:val="20"/>
              </w:rPr>
            </w:pPr>
            <w:r w:rsidRPr="00ED76D6">
              <w:rPr>
                <w:sz w:val="20"/>
                <w:szCs w:val="20"/>
              </w:rPr>
              <w:t>0.522 (0.087, 3.129)</w:t>
            </w:r>
          </w:p>
        </w:tc>
      </w:tr>
      <w:tr w:rsidR="00E07ECC" w:rsidRPr="00ED76D6" w:rsidTr="000A6651">
        <w:tc>
          <w:tcPr>
            <w:tcW w:w="0" w:type="auto"/>
          </w:tcPr>
          <w:p w:rsidR="00E07ECC" w:rsidRPr="00ED76D6" w:rsidRDefault="00E07ECC" w:rsidP="000A6651">
            <w:pPr>
              <w:ind w:right="57"/>
              <w:rPr>
                <w:sz w:val="20"/>
                <w:szCs w:val="20"/>
              </w:rPr>
            </w:pPr>
            <w:r w:rsidRPr="00ED76D6">
              <w:rPr>
                <w:sz w:val="20"/>
                <w:szCs w:val="20"/>
              </w:rPr>
              <w:t>All Generalised Tonic-Clonic</w:t>
            </w:r>
          </w:p>
        </w:tc>
        <w:tc>
          <w:tcPr>
            <w:tcW w:w="0" w:type="auto"/>
          </w:tcPr>
          <w:p w:rsidR="00E07ECC" w:rsidRPr="00ED76D6" w:rsidRDefault="00E07ECC" w:rsidP="000A6651">
            <w:pPr>
              <w:ind w:right="57"/>
              <w:jc w:val="center"/>
              <w:rPr>
                <w:sz w:val="20"/>
                <w:szCs w:val="20"/>
              </w:rPr>
            </w:pPr>
            <w:r w:rsidRPr="00ED76D6">
              <w:rPr>
                <w:sz w:val="20"/>
                <w:szCs w:val="20"/>
              </w:rPr>
              <w:t>161</w:t>
            </w:r>
          </w:p>
        </w:tc>
        <w:tc>
          <w:tcPr>
            <w:tcW w:w="0" w:type="auto"/>
          </w:tcPr>
          <w:p w:rsidR="00E07ECC" w:rsidRPr="00ED76D6" w:rsidRDefault="00E07ECC" w:rsidP="000A6651">
            <w:pPr>
              <w:ind w:right="57"/>
              <w:jc w:val="center"/>
              <w:rPr>
                <w:sz w:val="20"/>
                <w:szCs w:val="20"/>
              </w:rPr>
            </w:pPr>
            <w:r w:rsidRPr="00ED76D6">
              <w:rPr>
                <w:sz w:val="20"/>
                <w:szCs w:val="20"/>
              </w:rPr>
              <w:t>127 (78.9)</w:t>
            </w:r>
          </w:p>
        </w:tc>
        <w:tc>
          <w:tcPr>
            <w:tcW w:w="0" w:type="auto"/>
          </w:tcPr>
          <w:p w:rsidR="00E07ECC" w:rsidRPr="00ED76D6" w:rsidRDefault="00E07ECC" w:rsidP="000A6651">
            <w:pPr>
              <w:ind w:right="57"/>
              <w:jc w:val="center"/>
              <w:rPr>
                <w:sz w:val="20"/>
                <w:szCs w:val="20"/>
              </w:rPr>
            </w:pPr>
            <w:r w:rsidRPr="00ED76D6">
              <w:rPr>
                <w:sz w:val="20"/>
                <w:szCs w:val="20"/>
              </w:rPr>
              <w:t>158</w:t>
            </w:r>
          </w:p>
        </w:tc>
        <w:tc>
          <w:tcPr>
            <w:tcW w:w="0" w:type="auto"/>
          </w:tcPr>
          <w:p w:rsidR="00E07ECC" w:rsidRPr="00ED76D6" w:rsidRDefault="00E07ECC" w:rsidP="000A6651">
            <w:pPr>
              <w:ind w:right="57"/>
              <w:jc w:val="center"/>
              <w:rPr>
                <w:sz w:val="20"/>
                <w:szCs w:val="20"/>
              </w:rPr>
            </w:pPr>
            <w:r w:rsidRPr="00ED76D6">
              <w:rPr>
                <w:sz w:val="20"/>
                <w:szCs w:val="20"/>
              </w:rPr>
              <w:t>129 (81.6)</w:t>
            </w:r>
          </w:p>
        </w:tc>
        <w:tc>
          <w:tcPr>
            <w:tcW w:w="0" w:type="auto"/>
          </w:tcPr>
          <w:p w:rsidR="00E07ECC" w:rsidRPr="00ED76D6" w:rsidRDefault="00E07ECC" w:rsidP="000A6651">
            <w:pPr>
              <w:ind w:right="57"/>
              <w:jc w:val="center"/>
              <w:rPr>
                <w:sz w:val="20"/>
                <w:szCs w:val="20"/>
              </w:rPr>
            </w:pPr>
            <w:r w:rsidRPr="00ED76D6">
              <w:rPr>
                <w:sz w:val="20"/>
                <w:szCs w:val="20"/>
              </w:rPr>
              <w:t>-0.028(-0.115, 0.060)</w:t>
            </w:r>
          </w:p>
        </w:tc>
        <w:tc>
          <w:tcPr>
            <w:tcW w:w="0" w:type="auto"/>
          </w:tcPr>
          <w:p w:rsidR="00E07ECC" w:rsidRPr="00ED76D6" w:rsidRDefault="00E07ECC" w:rsidP="000A6651">
            <w:pPr>
              <w:ind w:right="57"/>
              <w:jc w:val="center"/>
              <w:rPr>
                <w:sz w:val="20"/>
                <w:szCs w:val="20"/>
              </w:rPr>
            </w:pPr>
            <w:r w:rsidRPr="00ED76D6">
              <w:rPr>
                <w:sz w:val="20"/>
                <w:szCs w:val="20"/>
              </w:rPr>
              <w:t>0.840 (0.483, 1.459)</w:t>
            </w:r>
          </w:p>
        </w:tc>
      </w:tr>
    </w:tbl>
    <w:p w:rsidR="00E07ECC" w:rsidRPr="00081C6D" w:rsidRDefault="00E07ECC" w:rsidP="00E07ECC">
      <w:pPr>
        <w:rPr>
          <w:sz w:val="18"/>
          <w:szCs w:val="18"/>
        </w:rPr>
      </w:pPr>
      <w:r w:rsidRPr="00081C6D">
        <w:rPr>
          <w:sz w:val="18"/>
          <w:szCs w:val="18"/>
          <w:vertAlign w:val="superscript"/>
        </w:rPr>
        <w:t>a</w:t>
      </w:r>
      <w:r w:rsidRPr="00081C6D">
        <w:rPr>
          <w:sz w:val="18"/>
          <w:szCs w:val="18"/>
        </w:rPr>
        <w:t xml:space="preserve"> Wald </w:t>
      </w:r>
      <w:r w:rsidRPr="00081C6D">
        <w:rPr>
          <w:sz w:val="18"/>
          <w:szCs w:val="18"/>
          <w:vertAlign w:val="superscript"/>
        </w:rPr>
        <w:t>b</w:t>
      </w:r>
      <w:r w:rsidR="004510A5" w:rsidRPr="00081C6D">
        <w:rPr>
          <w:sz w:val="18"/>
          <w:szCs w:val="18"/>
        </w:rPr>
        <w:t xml:space="preserve"> Zonisamide – Carbamazepine</w:t>
      </w:r>
      <w:r w:rsidR="00640C21">
        <w:rPr>
          <w:sz w:val="18"/>
          <w:szCs w:val="18"/>
        </w:rPr>
        <w:t xml:space="preserve">, </w:t>
      </w:r>
      <w:r w:rsidRPr="00081C6D">
        <w:rPr>
          <w:sz w:val="18"/>
          <w:szCs w:val="18"/>
          <w:vertAlign w:val="superscript"/>
        </w:rPr>
        <w:t>c</w:t>
      </w:r>
      <w:r w:rsidRPr="00081C6D">
        <w:rPr>
          <w:sz w:val="18"/>
          <w:szCs w:val="18"/>
        </w:rPr>
        <w:t xml:space="preserve"> Derived</w:t>
      </w:r>
      <w:r w:rsidR="004510A5" w:rsidRPr="00081C6D">
        <w:rPr>
          <w:sz w:val="18"/>
          <w:szCs w:val="18"/>
        </w:rPr>
        <w:t xml:space="preserve"> </w:t>
      </w:r>
      <w:r w:rsidRPr="00081C6D">
        <w:rPr>
          <w:sz w:val="18"/>
          <w:szCs w:val="18"/>
        </w:rPr>
        <w:t>* Total of all Per-Protocol patients with the relevant Seizure History category.</w:t>
      </w:r>
      <w:r w:rsidR="004510A5" w:rsidRPr="00081C6D">
        <w:rPr>
          <w:sz w:val="18"/>
          <w:szCs w:val="18"/>
        </w:rPr>
        <w:t xml:space="preserve"> </w:t>
      </w:r>
      <w:r w:rsidRPr="00081C6D">
        <w:rPr>
          <w:sz w:val="18"/>
          <w:szCs w:val="18"/>
        </w:rPr>
        <w:t>Seizure freedom is modelled with a factor for treatment only. Patients can appear in more than one category</w:t>
      </w:r>
    </w:p>
    <w:p w:rsidR="00E07ECC" w:rsidRPr="004510A5" w:rsidRDefault="00E07ECC" w:rsidP="004510A5">
      <w:r w:rsidRPr="004510A5">
        <w:t xml:space="preserve">None of the subgroups achieved the preset non-inferiority margin except the combined Generalised Tonic-Clonic subgroups. Viewed separately Complex Partial and Generalised Tonic-Clonic exceeded the modified non inferiority margin, which Simple Partial reached. </w:t>
      </w:r>
    </w:p>
    <w:p w:rsidR="00E07ECC" w:rsidRPr="004510A5" w:rsidRDefault="00E07ECC" w:rsidP="004510A5">
      <w:r w:rsidRPr="004510A5">
        <w:rPr>
          <w:b/>
        </w:rPr>
        <w:t>Comment:</w:t>
      </w:r>
      <w:r w:rsidR="003C2B8A">
        <w:rPr>
          <w:b/>
        </w:rPr>
        <w:t xml:space="preserve"> </w:t>
      </w:r>
      <w:r w:rsidRPr="004510A5">
        <w:t xml:space="preserve">Note that the study was not powered to determine statistically significant differences among subgroups, nor is it clear whether multiplicity effects have been allowed for in the above statistical calculations. </w:t>
      </w:r>
    </w:p>
    <w:p w:rsidR="00E07ECC" w:rsidRPr="004510A5" w:rsidRDefault="00E07ECC" w:rsidP="004510A5">
      <w:r w:rsidRPr="004510A5">
        <w:t>The Clinical Overview</w:t>
      </w:r>
      <w:r w:rsidRPr="004510A5">
        <w:rPr>
          <w:rStyle w:val="FootnoteReference"/>
        </w:rPr>
        <w:footnoteReference w:id="11"/>
      </w:r>
      <w:r w:rsidRPr="004510A5">
        <w:t xml:space="preserve"> claims </w:t>
      </w:r>
      <w:r w:rsidRPr="004510A5">
        <w:rPr>
          <w:rFonts w:cs="Arial"/>
        </w:rPr>
        <w:t>Amendment 1 to the protocol modified the entry criteria so that primary generalized seizures were removed as one of the entry criteria in order to align further with the approved indication for ZNS,</w:t>
      </w:r>
      <w:r w:rsidRPr="004510A5">
        <w:t xml:space="preserve"> Such a modification by amendment could not be found in either the Protocol submitted nor any of the associated amendments nor was it referred to in the Clinical Study Report.</w:t>
      </w:r>
    </w:p>
    <w:p w:rsidR="00E07ECC" w:rsidRPr="004510A5" w:rsidRDefault="00E07ECC" w:rsidP="004510A5">
      <w:r w:rsidRPr="004510A5">
        <w:t xml:space="preserve">The pivotal </w:t>
      </w:r>
      <w:r w:rsidR="00A20931">
        <w:t>Study 30</w:t>
      </w:r>
      <w:r w:rsidRPr="004510A5">
        <w:t>4 failed to meet the preset non inferiority margin and as such it has to be considered that efficacy was not shown.</w:t>
      </w:r>
    </w:p>
    <w:p w:rsidR="00E07ECC" w:rsidRPr="004510A5" w:rsidRDefault="00E07ECC" w:rsidP="004510A5">
      <w:r>
        <w:t>T</w:t>
      </w:r>
      <w:r w:rsidRPr="004510A5">
        <w:t xml:space="preserve">he efficacy shown was greater than anticipated when setting up the study for both carbamazapine and zonisamide with such an event the relevant guideline </w:t>
      </w:r>
      <w:r w:rsidRPr="004510A5">
        <w:rPr>
          <w:bCs/>
        </w:rPr>
        <w:t xml:space="preserve">EMEA/CPMP/EWP/2158/99 Guideline on the Choice of the Non-Inferiority Margin states </w:t>
      </w:r>
      <w:r w:rsidRPr="004510A5">
        <w:rPr>
          <w:rFonts w:cs="Arial"/>
          <w:bCs/>
        </w:rPr>
        <w:t>If the performance of the reference product in a trial is very different from what was assumed when defining the non-inferiority margin then the chosen margin may no longer be appropriate.</w:t>
      </w:r>
      <w:r w:rsidRPr="004510A5">
        <w:t xml:space="preserve"> The sponsor has argued that this being the case the basis of the preset margin i.e. 20% should apply. If this is accepted then efficacy was shown </w:t>
      </w:r>
      <w:r w:rsidRPr="004510A5">
        <w:rPr>
          <w:b/>
        </w:rPr>
        <w:t>in the population of the study.</w:t>
      </w:r>
    </w:p>
    <w:p w:rsidR="00E07ECC" w:rsidRPr="004510A5" w:rsidRDefault="00E07ECC" w:rsidP="004510A5">
      <w:r w:rsidRPr="004510A5">
        <w:lastRenderedPageBreak/>
        <w:t>Study AN46046-304 added little to the efficacy evaluation outcome.</w:t>
      </w:r>
    </w:p>
    <w:p w:rsidR="00E07ECC" w:rsidRPr="004510A5" w:rsidRDefault="00E07ECC" w:rsidP="004510A5">
      <w:r w:rsidRPr="004510A5">
        <w:t>With regard to once daily dosing which is currently approved for maintenance, but not titration the sponsor has argued:</w:t>
      </w:r>
      <w:r w:rsidRPr="004510A5">
        <w:rPr>
          <w:rStyle w:val="FootnoteReference"/>
        </w:rPr>
        <w:footnoteReference w:id="12"/>
      </w:r>
    </w:p>
    <w:p w:rsidR="00E07ECC" w:rsidRPr="004510A5" w:rsidRDefault="00E07ECC" w:rsidP="004510A5">
      <w:pPr>
        <w:rPr>
          <w:rFonts w:cs="Arial"/>
        </w:rPr>
      </w:pPr>
      <w:r w:rsidRPr="004510A5">
        <w:rPr>
          <w:rFonts w:cs="Arial"/>
        </w:rPr>
        <w:t>ZNS has a long half-life, which allows for once-daily oral dosing. Convenience of use is expected to result in high patient compliance. Furthermore, because ZNS has a long half-life, plasma concentrations will be reasonably maintained even in the event that a daily dose is missed.</w:t>
      </w:r>
    </w:p>
    <w:p w:rsidR="00E07ECC" w:rsidRDefault="00E07ECC" w:rsidP="004510A5">
      <w:r>
        <w:t>The evaluator agrees they are not unreasonable statements (terminal elimination half life is approximatel</w:t>
      </w:r>
      <w:r w:rsidRPr="00A84F13">
        <w:t>y 60</w:t>
      </w:r>
      <w:r w:rsidRPr="00A84F13">
        <w:rPr>
          <w:rStyle w:val="FootnoteReference"/>
        </w:rPr>
        <w:footnoteReference w:id="13"/>
      </w:r>
      <w:r w:rsidRPr="00A84F13">
        <w:t>h)</w:t>
      </w:r>
    </w:p>
    <w:p w:rsidR="00C22678" w:rsidRDefault="00C22678" w:rsidP="00E07ECC">
      <w:pPr>
        <w:pStyle w:val="Heading2"/>
      </w:pPr>
      <w:bookmarkStart w:id="93" w:name="_Toc359237255"/>
      <w:r>
        <w:t>Clinical safety</w:t>
      </w:r>
      <w:bookmarkEnd w:id="93"/>
    </w:p>
    <w:p w:rsidR="00E07ECC" w:rsidRPr="004B259C" w:rsidRDefault="00E07ECC" w:rsidP="004510A5">
      <w:pPr>
        <w:pStyle w:val="Heading3"/>
      </w:pPr>
      <w:bookmarkStart w:id="94" w:name="_Toc272414659"/>
      <w:bookmarkStart w:id="95" w:name="_Toc290846284"/>
      <w:bookmarkStart w:id="96" w:name="_Toc290888821"/>
      <w:bookmarkStart w:id="97" w:name="_Toc326646519"/>
      <w:bookmarkStart w:id="98" w:name="_Toc359237256"/>
      <w:r w:rsidRPr="00A84F13">
        <w:t>Studies providing eva</w:t>
      </w:r>
      <w:r>
        <w:t>luable safety data</w:t>
      </w:r>
      <w:bookmarkEnd w:id="94"/>
      <w:bookmarkEnd w:id="95"/>
      <w:bookmarkEnd w:id="96"/>
      <w:bookmarkEnd w:id="97"/>
      <w:bookmarkEnd w:id="98"/>
    </w:p>
    <w:p w:rsidR="00E07ECC" w:rsidRDefault="00E07ECC" w:rsidP="00E07ECC">
      <w:pPr>
        <w:spacing w:after="60"/>
      </w:pPr>
      <w:bookmarkStart w:id="99" w:name="_Ref268776745"/>
      <w:r>
        <w:t>The following studies provided evaluable safety data:</w:t>
      </w:r>
    </w:p>
    <w:p w:rsidR="00E07ECC" w:rsidRDefault="00E07ECC" w:rsidP="004510A5">
      <w:pPr>
        <w:pStyle w:val="ListBullet"/>
      </w:pPr>
      <w:r w:rsidRPr="00642BAB">
        <w:t>Study E2090-E044-310</w:t>
      </w:r>
      <w:r>
        <w:t>.</w:t>
      </w:r>
    </w:p>
    <w:p w:rsidR="00E07ECC" w:rsidRDefault="00E07ECC" w:rsidP="004510A5">
      <w:pPr>
        <w:pStyle w:val="ListBullet"/>
      </w:pPr>
      <w:r w:rsidRPr="00F90596">
        <w:t>StudyE2090-E044-314 from the ongoing double-blind extension of StudyE2090-E044-310, as of the data cut-off of 31 December 2010 (targeted to end in June 2011). No</w:t>
      </w:r>
      <w:r>
        <w:t xml:space="preserve"> form of study outline was found.</w:t>
      </w:r>
    </w:p>
    <w:p w:rsidR="00E07ECC" w:rsidRDefault="00E07ECC" w:rsidP="004510A5">
      <w:pPr>
        <w:pStyle w:val="ListBullet"/>
      </w:pPr>
      <w:r w:rsidRPr="00642BAB">
        <w:t>Study AN46046-304</w:t>
      </w:r>
      <w:r>
        <w:t>.</w:t>
      </w:r>
    </w:p>
    <w:p w:rsidR="00E07ECC" w:rsidRDefault="00E07ECC" w:rsidP="004510A5">
      <w:pPr>
        <w:pStyle w:val="ListBullet"/>
      </w:pPr>
      <w:r w:rsidRPr="00642BAB">
        <w:t xml:space="preserve">Study ELN46046-355 </w:t>
      </w:r>
      <w:r>
        <w:t>f</w:t>
      </w:r>
      <w:r w:rsidRPr="00642BAB">
        <w:t xml:space="preserve">rom the open-label </w:t>
      </w:r>
      <w:r>
        <w:t>extension of Study ELN46046-304.</w:t>
      </w:r>
    </w:p>
    <w:p w:rsidR="00E07ECC" w:rsidRDefault="00E07ECC" w:rsidP="004510A5">
      <w:pPr>
        <w:pStyle w:val="ListBullet"/>
      </w:pPr>
      <w:r>
        <w:t xml:space="preserve">Study </w:t>
      </w:r>
      <w:r w:rsidRPr="00642BAB">
        <w:t>ELN46046-108</w:t>
      </w:r>
      <w:r>
        <w:t xml:space="preserve"> was not included in the Safety Summary submitted, an evaluation was undertaken.</w:t>
      </w:r>
    </w:p>
    <w:p w:rsidR="00E07ECC" w:rsidRDefault="00E07ECC" w:rsidP="00E07ECC">
      <w:pPr>
        <w:spacing w:after="60"/>
      </w:pPr>
      <w:bookmarkStart w:id="100" w:name="_Ref269204367"/>
      <w:bookmarkEnd w:id="99"/>
      <w:r>
        <w:t>Monotherapy safety data were not pooled. The sponsor considered it unlikely that a pooling of these data would have resulted in a profile significantly different from the analyses produced from the individual studies.</w:t>
      </w:r>
    </w:p>
    <w:p w:rsidR="00E07ECC" w:rsidRDefault="00E07ECC" w:rsidP="00E07ECC">
      <w:pPr>
        <w:spacing w:after="60"/>
      </w:pPr>
      <w:r w:rsidRPr="00221EF7">
        <w:t>Overall, a total of 448 subjects were exposed to ZNS in monotherapy studies</w:t>
      </w:r>
      <w:r>
        <w:t>.</w:t>
      </w:r>
    </w:p>
    <w:p w:rsidR="00E07ECC" w:rsidRDefault="00E07ECC" w:rsidP="00FD4F49">
      <w:pPr>
        <w:pStyle w:val="TableTitle"/>
      </w:pPr>
      <w:bookmarkStart w:id="101" w:name="_Toc326646565"/>
      <w:bookmarkEnd w:id="100"/>
      <w:r>
        <w:lastRenderedPageBreak/>
        <w:t xml:space="preserve">Table </w:t>
      </w:r>
      <w:r w:rsidR="00423552">
        <w:fldChar w:fldCharType="begin"/>
      </w:r>
      <w:r w:rsidR="00FC3F50">
        <w:instrText xml:space="preserve"> SEQ Table \* ARABIC </w:instrText>
      </w:r>
      <w:r w:rsidR="00423552">
        <w:fldChar w:fldCharType="separate"/>
      </w:r>
      <w:r w:rsidR="002E4F77">
        <w:rPr>
          <w:noProof/>
        </w:rPr>
        <w:t>20</w:t>
      </w:r>
      <w:r w:rsidR="00423552">
        <w:fldChar w:fldCharType="end"/>
      </w:r>
      <w:r w:rsidR="005303DE">
        <w:t>.</w:t>
      </w:r>
      <w:r>
        <w:t xml:space="preserve"> </w:t>
      </w:r>
      <w:r w:rsidRPr="00221EF7">
        <w:t>Safety Evaluations in Phase 3 Zonisamide Monotherapy Studies</w:t>
      </w:r>
      <w:bookmarkEnd w:id="1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
        <w:gridCol w:w="8505"/>
      </w:tblGrid>
      <w:tr w:rsidR="00E07ECC" w:rsidRPr="00221EF7" w:rsidTr="00FD4F49">
        <w:trPr>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hideMark/>
          </w:tcPr>
          <w:p w:rsidR="00E07ECC" w:rsidRPr="005303DE" w:rsidRDefault="00E07ECC" w:rsidP="005303DE">
            <w:pPr>
              <w:keepNext/>
              <w:rPr>
                <w:b/>
                <w:bCs/>
                <w:color w:val="FFFFFF" w:themeColor="background1"/>
                <w:sz w:val="20"/>
                <w:szCs w:val="20"/>
              </w:rPr>
            </w:pPr>
            <w:r w:rsidRPr="005303DE">
              <w:rPr>
                <w:b/>
                <w:bCs/>
                <w:color w:val="FFFFFF" w:themeColor="background1"/>
                <w:sz w:val="20"/>
                <w:szCs w:val="20"/>
              </w:rPr>
              <w:t>Study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hideMark/>
          </w:tcPr>
          <w:p w:rsidR="00E07ECC" w:rsidRPr="005303DE" w:rsidRDefault="00E07ECC" w:rsidP="005303DE">
            <w:pPr>
              <w:keepNext/>
              <w:rPr>
                <w:b/>
                <w:bCs/>
                <w:color w:val="FFFFFF" w:themeColor="background1"/>
                <w:sz w:val="20"/>
                <w:szCs w:val="20"/>
              </w:rPr>
            </w:pPr>
            <w:r w:rsidRPr="005303DE">
              <w:rPr>
                <w:b/>
                <w:bCs/>
                <w:color w:val="FFFFFF" w:themeColor="background1"/>
                <w:sz w:val="20"/>
                <w:szCs w:val="20"/>
              </w:rPr>
              <w:t>Description of Safety Assessments</w:t>
            </w:r>
          </w:p>
        </w:tc>
      </w:tr>
      <w:tr w:rsidR="00E07ECC" w:rsidRPr="00221EF7" w:rsidTr="000A6651">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7ECC" w:rsidRPr="00221EF7" w:rsidRDefault="00E07ECC" w:rsidP="005303DE">
            <w:pPr>
              <w:keepNext/>
              <w:rPr>
                <w:bCs/>
                <w:sz w:val="20"/>
                <w:szCs w:val="20"/>
              </w:rPr>
            </w:pPr>
            <w:r w:rsidRPr="00221EF7">
              <w:rPr>
                <w:bCs/>
                <w:sz w:val="20"/>
                <w:szCs w:val="20"/>
              </w:rPr>
              <w:t>310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7ECC" w:rsidRPr="00221EF7" w:rsidRDefault="00E07ECC" w:rsidP="005303DE">
            <w:pPr>
              <w:keepNext/>
              <w:rPr>
                <w:bCs/>
                <w:sz w:val="20"/>
                <w:szCs w:val="20"/>
              </w:rPr>
            </w:pPr>
            <w:r w:rsidRPr="00221EF7">
              <w:rPr>
                <w:sz w:val="20"/>
                <w:szCs w:val="20"/>
              </w:rPr>
              <w:t>Safety was assessed by summary of AEs and SAEs; incidence of withdrawal for TEAEs; change from baseline in physical and neurological examinations; vital signs; routine clinical laboratory tests; weight; height; 12-lead ECGs.</w:t>
            </w:r>
          </w:p>
        </w:tc>
      </w:tr>
      <w:tr w:rsidR="00E07ECC" w:rsidRPr="00221EF7" w:rsidTr="000A6651">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7ECC" w:rsidRPr="00221EF7" w:rsidRDefault="00E07ECC" w:rsidP="005303DE">
            <w:pPr>
              <w:keepNext/>
              <w:rPr>
                <w:bCs/>
                <w:sz w:val="20"/>
                <w:szCs w:val="20"/>
              </w:rPr>
            </w:pPr>
            <w:r w:rsidRPr="00221EF7">
              <w:rPr>
                <w:bCs/>
                <w:sz w:val="20"/>
                <w:szCs w:val="20"/>
              </w:rPr>
              <w:t>314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7ECC" w:rsidRPr="00221EF7" w:rsidRDefault="00E07ECC" w:rsidP="005303DE">
            <w:pPr>
              <w:keepNext/>
              <w:rPr>
                <w:bCs/>
                <w:sz w:val="20"/>
                <w:szCs w:val="20"/>
              </w:rPr>
            </w:pPr>
            <w:r w:rsidRPr="00221EF7">
              <w:rPr>
                <w:sz w:val="20"/>
                <w:szCs w:val="20"/>
              </w:rPr>
              <w:t>Safety was assessed by the incidence and severity of TEAEs and SAEs. Changes in clinical laboratory parameters, physical examination, neurological examination, concomitant medication(s) and vital signs were reviewed.</w:t>
            </w:r>
          </w:p>
        </w:tc>
      </w:tr>
      <w:tr w:rsidR="00E07ECC" w:rsidRPr="00221EF7" w:rsidTr="000A6651">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7ECC" w:rsidRPr="00221EF7" w:rsidRDefault="00E07ECC" w:rsidP="005303DE">
            <w:pPr>
              <w:keepNext/>
              <w:rPr>
                <w:bCs/>
                <w:sz w:val="20"/>
                <w:szCs w:val="20"/>
              </w:rPr>
            </w:pPr>
            <w:r w:rsidRPr="00221EF7">
              <w:rPr>
                <w:bCs/>
                <w:sz w:val="20"/>
                <w:szCs w:val="20"/>
              </w:rPr>
              <w:t>304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7ECC" w:rsidRPr="00221EF7" w:rsidRDefault="00E07ECC" w:rsidP="005303DE">
            <w:pPr>
              <w:keepNext/>
              <w:rPr>
                <w:bCs/>
                <w:sz w:val="20"/>
                <w:szCs w:val="20"/>
              </w:rPr>
            </w:pPr>
            <w:r w:rsidRPr="00221EF7">
              <w:rPr>
                <w:sz w:val="20"/>
                <w:szCs w:val="20"/>
              </w:rPr>
              <w:t>Safety was assessed by the following measures: time to withdrawal due to an adverse event; the overall incidence and severity of TEAEs; results of clinical laboratory measurements, including zonisamide levels; physical examinations; neurological examinations; vital signs; and 12-lead ECGs.</w:t>
            </w:r>
          </w:p>
        </w:tc>
      </w:tr>
      <w:tr w:rsidR="00E07ECC" w:rsidRPr="00221EF7" w:rsidTr="000A6651">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7ECC" w:rsidRPr="00221EF7" w:rsidRDefault="00E07ECC" w:rsidP="005303DE">
            <w:pPr>
              <w:keepNext/>
              <w:rPr>
                <w:bCs/>
                <w:sz w:val="20"/>
                <w:szCs w:val="20"/>
              </w:rPr>
            </w:pPr>
            <w:r w:rsidRPr="00221EF7">
              <w:rPr>
                <w:bCs/>
                <w:sz w:val="20"/>
                <w:szCs w:val="20"/>
              </w:rPr>
              <w:t>355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7ECC" w:rsidRPr="00221EF7" w:rsidRDefault="00E07ECC" w:rsidP="005303DE">
            <w:pPr>
              <w:keepNext/>
              <w:rPr>
                <w:bCs/>
                <w:sz w:val="20"/>
                <w:szCs w:val="20"/>
              </w:rPr>
            </w:pPr>
            <w:r w:rsidRPr="00221EF7">
              <w:rPr>
                <w:sz w:val="20"/>
                <w:szCs w:val="20"/>
              </w:rPr>
              <w:t>Safety was assessed by monitoring of seizures and other AEs, use of concomitant medication and changes to vital signs. Routine blood and urine samples were taken throughout the study, and a physical and neurological assessment was performed at baseline and at the end of the study</w:t>
            </w:r>
          </w:p>
        </w:tc>
      </w:tr>
    </w:tbl>
    <w:p w:rsidR="00E07ECC" w:rsidRDefault="00E07ECC" w:rsidP="005303DE">
      <w:pPr>
        <w:pStyle w:val="Heading3"/>
      </w:pPr>
      <w:bookmarkStart w:id="102" w:name="_Toc241374318"/>
      <w:bookmarkStart w:id="103" w:name="_Ref271196630"/>
      <w:bookmarkStart w:id="104" w:name="_Toc272414662"/>
      <w:bookmarkStart w:id="105" w:name="_Toc290846300"/>
      <w:bookmarkStart w:id="106" w:name="_Toc290888837"/>
      <w:bookmarkStart w:id="107" w:name="_Toc326646520"/>
      <w:bookmarkStart w:id="108" w:name="_Toc359237257"/>
      <w:r>
        <w:t>Patient exposure</w:t>
      </w:r>
      <w:bookmarkEnd w:id="102"/>
      <w:bookmarkEnd w:id="103"/>
      <w:bookmarkEnd w:id="104"/>
      <w:bookmarkEnd w:id="105"/>
      <w:bookmarkEnd w:id="106"/>
      <w:bookmarkEnd w:id="107"/>
      <w:bookmarkEnd w:id="108"/>
    </w:p>
    <w:p w:rsidR="00E07ECC" w:rsidRDefault="00E07ECC" w:rsidP="00FD4F49">
      <w:pPr>
        <w:pStyle w:val="TableTitle"/>
      </w:pPr>
      <w:bookmarkStart w:id="109" w:name="_Toc326646566"/>
      <w:r>
        <w:t xml:space="preserve">Table </w:t>
      </w:r>
      <w:r w:rsidR="00423552">
        <w:fldChar w:fldCharType="begin"/>
      </w:r>
      <w:r w:rsidR="00FC3F50">
        <w:instrText xml:space="preserve"> SEQ Table \* ARABIC </w:instrText>
      </w:r>
      <w:r w:rsidR="00423552">
        <w:fldChar w:fldCharType="separate"/>
      </w:r>
      <w:r w:rsidR="002E4F77">
        <w:rPr>
          <w:noProof/>
        </w:rPr>
        <w:t>21</w:t>
      </w:r>
      <w:r w:rsidR="00423552">
        <w:fldChar w:fldCharType="end"/>
      </w:r>
      <w:r w:rsidR="005303DE">
        <w:t>. Study</w:t>
      </w:r>
      <w:r>
        <w:t xml:space="preserve"> 310 Cumulative Extent of Exposure: Time on Trial and Duration of Exposure Safety Population</w:t>
      </w:r>
      <w:bookmarkEnd w:id="109"/>
    </w:p>
    <w:p w:rsidR="00E07ECC" w:rsidRDefault="00E07ECC" w:rsidP="00E07ECC">
      <w:r>
        <w:rPr>
          <w:noProof/>
          <w:lang w:eastAsia="en-AU"/>
        </w:rPr>
        <w:drawing>
          <wp:inline distT="0" distB="0" distL="0" distR="0">
            <wp:extent cx="1528445" cy="2579370"/>
            <wp:effectExtent l="19050" t="0" r="0" b="0"/>
            <wp:docPr id="31" name="Picture 31" descr="Table 21. Study 310 Cumulative Extent of Exposure: Time on Trial and Duration of Exposur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srcRect l="1480" t="2501" r="72812"/>
                    <a:stretch>
                      <a:fillRect/>
                    </a:stretch>
                  </pic:blipFill>
                  <pic:spPr bwMode="auto">
                    <a:xfrm>
                      <a:off x="0" y="0"/>
                      <a:ext cx="1528445" cy="2579370"/>
                    </a:xfrm>
                    <a:prstGeom prst="rect">
                      <a:avLst/>
                    </a:prstGeom>
                    <a:noFill/>
                    <a:ln w="9525">
                      <a:noFill/>
                      <a:miter lim="800000"/>
                      <a:headEnd/>
                      <a:tailEnd/>
                    </a:ln>
                  </pic:spPr>
                </pic:pic>
              </a:graphicData>
            </a:graphic>
          </wp:inline>
        </w:drawing>
      </w:r>
      <w:r>
        <w:rPr>
          <w:noProof/>
          <w:lang w:eastAsia="en-AU"/>
        </w:rPr>
        <w:drawing>
          <wp:inline distT="0" distB="0" distL="0" distR="0">
            <wp:extent cx="2770505" cy="2579370"/>
            <wp:effectExtent l="19050" t="0" r="0" b="0"/>
            <wp:docPr id="32" name="Picture 32" descr="Table 21 continued. Study 310 Cumulative Extent of Exposure: Time on Trial and Duration of Exposur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srcRect l="44989" t="2501" r="8156"/>
                    <a:stretch>
                      <a:fillRect/>
                    </a:stretch>
                  </pic:blipFill>
                  <pic:spPr bwMode="auto">
                    <a:xfrm>
                      <a:off x="0" y="0"/>
                      <a:ext cx="2770505" cy="2579370"/>
                    </a:xfrm>
                    <a:prstGeom prst="rect">
                      <a:avLst/>
                    </a:prstGeom>
                    <a:noFill/>
                    <a:ln w="9525">
                      <a:noFill/>
                      <a:miter lim="800000"/>
                      <a:headEnd/>
                      <a:tailEnd/>
                    </a:ln>
                  </pic:spPr>
                </pic:pic>
              </a:graphicData>
            </a:graphic>
          </wp:inline>
        </w:drawing>
      </w:r>
    </w:p>
    <w:p w:rsidR="00E07ECC" w:rsidRPr="005303DE" w:rsidRDefault="00E07ECC" w:rsidP="00E07ECC">
      <w:pPr>
        <w:rPr>
          <w:sz w:val="18"/>
          <w:szCs w:val="18"/>
        </w:rPr>
      </w:pPr>
      <w:r w:rsidRPr="005303DE">
        <w:rPr>
          <w:sz w:val="18"/>
          <w:szCs w:val="18"/>
        </w:rPr>
        <w:t>Time on trial = date of last dose before down-titration - date of first dose + 1. CBZ = carbamazepine; ZNS = zonisamide.</w:t>
      </w:r>
    </w:p>
    <w:p w:rsidR="00E07ECC" w:rsidRPr="005303DE" w:rsidRDefault="00E07ECC" w:rsidP="00E07ECC">
      <w:pPr>
        <w:rPr>
          <w:sz w:val="18"/>
          <w:szCs w:val="18"/>
        </w:rPr>
      </w:pPr>
      <w:r w:rsidRPr="005303DE">
        <w:rPr>
          <w:sz w:val="18"/>
          <w:szCs w:val="18"/>
        </w:rPr>
        <w:t>Duration of exposure = date of last dose before down-titration – date of first dose + 1 – any drug holidays or dose interruptions.</w:t>
      </w:r>
    </w:p>
    <w:p w:rsidR="00E07ECC" w:rsidRPr="005303DE" w:rsidRDefault="00081C6D" w:rsidP="00E07ECC">
      <w:pPr>
        <w:rPr>
          <w:sz w:val="18"/>
          <w:szCs w:val="18"/>
        </w:rPr>
      </w:pPr>
      <w:r>
        <w:rPr>
          <w:sz w:val="18"/>
          <w:szCs w:val="18"/>
        </w:rPr>
        <w:t>[information redacted]</w:t>
      </w:r>
      <w:r w:rsidR="00E07ECC" w:rsidRPr="005303DE">
        <w:rPr>
          <w:sz w:val="18"/>
          <w:szCs w:val="18"/>
        </w:rPr>
        <w:t xml:space="preserve"> was randomized to CBZ but received ZNS for the first 2 weeks of study. He went on to receive CBZ as randomized and completed the study. He was summarized as randomized.</w:t>
      </w:r>
    </w:p>
    <w:p w:rsidR="00E07ECC" w:rsidRDefault="00E07ECC" w:rsidP="00FD4F49">
      <w:pPr>
        <w:pStyle w:val="TableTitle"/>
      </w:pPr>
      <w:bookmarkStart w:id="110" w:name="_Toc326646567"/>
      <w:r>
        <w:lastRenderedPageBreak/>
        <w:t xml:space="preserve">Table </w:t>
      </w:r>
      <w:r w:rsidR="00423552">
        <w:fldChar w:fldCharType="begin"/>
      </w:r>
      <w:r>
        <w:instrText xml:space="preserve"> SEQ Table \* ARABIC </w:instrText>
      </w:r>
      <w:r w:rsidR="00423552">
        <w:fldChar w:fldCharType="separate"/>
      </w:r>
      <w:r w:rsidR="002E4F77">
        <w:rPr>
          <w:noProof/>
        </w:rPr>
        <w:t>22</w:t>
      </w:r>
      <w:r w:rsidR="00423552">
        <w:fldChar w:fldCharType="end"/>
      </w:r>
      <w:r w:rsidR="005303DE">
        <w:t>. Study</w:t>
      </w:r>
      <w:r>
        <w:t xml:space="preserve"> 304 Subject Compliance Safety Population</w:t>
      </w:r>
      <w:bookmarkEnd w:id="110"/>
    </w:p>
    <w:p w:rsidR="00E07ECC" w:rsidRDefault="00E07ECC" w:rsidP="005303DE">
      <w:pPr>
        <w:keepNext/>
      </w:pPr>
      <w:r>
        <w:rPr>
          <w:noProof/>
          <w:lang w:eastAsia="en-AU"/>
        </w:rPr>
        <w:drawing>
          <wp:inline distT="0" distB="0" distL="0" distR="0">
            <wp:extent cx="5363845" cy="3698240"/>
            <wp:effectExtent l="19050" t="0" r="8255" b="0"/>
            <wp:docPr id="33" name="Picture 33" descr="Table 22. Study 304 Subject Complianc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srcRect/>
                    <a:stretch>
                      <a:fillRect/>
                    </a:stretch>
                  </pic:blipFill>
                  <pic:spPr bwMode="auto">
                    <a:xfrm>
                      <a:off x="0" y="0"/>
                      <a:ext cx="5363845" cy="3698240"/>
                    </a:xfrm>
                    <a:prstGeom prst="rect">
                      <a:avLst/>
                    </a:prstGeom>
                    <a:noFill/>
                    <a:ln w="9525">
                      <a:noFill/>
                      <a:miter lim="800000"/>
                      <a:headEnd/>
                      <a:tailEnd/>
                    </a:ln>
                  </pic:spPr>
                </pic:pic>
              </a:graphicData>
            </a:graphic>
          </wp:inline>
        </w:drawing>
      </w:r>
    </w:p>
    <w:p w:rsidR="00E07ECC" w:rsidRDefault="00E07ECC" w:rsidP="005303DE">
      <w:pPr>
        <w:keepNext/>
      </w:pPr>
      <w:r>
        <w:rPr>
          <w:noProof/>
          <w:lang w:eastAsia="en-AU"/>
        </w:rPr>
        <w:drawing>
          <wp:inline distT="0" distB="0" distL="0" distR="0">
            <wp:extent cx="5363845" cy="1583055"/>
            <wp:effectExtent l="19050" t="0" r="8255" b="0"/>
            <wp:docPr id="34" name="Picture 34" descr="Table 22 continued. Study 304 Subject Complianc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srcRect r="18520"/>
                    <a:stretch>
                      <a:fillRect/>
                    </a:stretch>
                  </pic:blipFill>
                  <pic:spPr bwMode="auto">
                    <a:xfrm>
                      <a:off x="0" y="0"/>
                      <a:ext cx="5363845" cy="1583055"/>
                    </a:xfrm>
                    <a:prstGeom prst="rect">
                      <a:avLst/>
                    </a:prstGeom>
                    <a:noFill/>
                    <a:ln w="9525">
                      <a:noFill/>
                      <a:miter lim="800000"/>
                      <a:headEnd/>
                      <a:tailEnd/>
                    </a:ln>
                  </pic:spPr>
                </pic:pic>
              </a:graphicData>
            </a:graphic>
          </wp:inline>
        </w:drawing>
      </w:r>
    </w:p>
    <w:p w:rsidR="00E07ECC" w:rsidRPr="005303DE" w:rsidRDefault="00E07ECC" w:rsidP="00E07ECC">
      <w:pPr>
        <w:rPr>
          <w:sz w:val="18"/>
          <w:szCs w:val="18"/>
        </w:rPr>
      </w:pPr>
      <w:r w:rsidRPr="005303DE">
        <w:rPr>
          <w:sz w:val="18"/>
          <w:szCs w:val="18"/>
        </w:rPr>
        <w:t>Note: Subjects compliance ( ≥ 75% or &lt;75%) as recorded on the Drug Dispensing/Return form during clinic visits.</w:t>
      </w:r>
    </w:p>
    <w:p w:rsidR="00E07ECC" w:rsidRPr="005303DE" w:rsidRDefault="00E07ECC" w:rsidP="00E07ECC">
      <w:pPr>
        <w:rPr>
          <w:sz w:val="18"/>
          <w:szCs w:val="18"/>
        </w:rPr>
      </w:pPr>
      <w:r w:rsidRPr="005303DE">
        <w:rPr>
          <w:sz w:val="18"/>
          <w:szCs w:val="18"/>
        </w:rPr>
        <w:t>Per protocol, subjects took study medication or placebo from up to 4 bottles per week. Because unblinding data were provided at the subject level rather than at the bottle level, actual daily dose could not be calculated for this study.</w:t>
      </w:r>
    </w:p>
    <w:p w:rsidR="00E07ECC" w:rsidRPr="00965870" w:rsidRDefault="00E07ECC" w:rsidP="00E07ECC">
      <w:pPr>
        <w:rPr>
          <w:sz w:val="16"/>
        </w:rPr>
      </w:pPr>
    </w:p>
    <w:p w:rsidR="00E07ECC" w:rsidRDefault="00E07ECC" w:rsidP="00FD4F49">
      <w:pPr>
        <w:pStyle w:val="TableTitle"/>
      </w:pPr>
      <w:bookmarkStart w:id="111" w:name="_Toc326646568"/>
      <w:r>
        <w:lastRenderedPageBreak/>
        <w:t xml:space="preserve">Table </w:t>
      </w:r>
      <w:r w:rsidR="00423552">
        <w:fldChar w:fldCharType="begin"/>
      </w:r>
      <w:r w:rsidR="00FC3F50">
        <w:instrText xml:space="preserve"> SEQ Table \* ARABIC </w:instrText>
      </w:r>
      <w:r w:rsidR="00423552">
        <w:fldChar w:fldCharType="separate"/>
      </w:r>
      <w:r w:rsidR="002E4F77">
        <w:rPr>
          <w:noProof/>
        </w:rPr>
        <w:t>23</w:t>
      </w:r>
      <w:r w:rsidR="00423552">
        <w:fldChar w:fldCharType="end"/>
      </w:r>
      <w:r w:rsidR="005303DE">
        <w:t>.</w:t>
      </w:r>
      <w:r>
        <w:t xml:space="preserve"> </w:t>
      </w:r>
      <w:r w:rsidR="001A2E35">
        <w:t>Study 3</w:t>
      </w:r>
      <w:r>
        <w:t>55 Summary of Exposure to Study Drug (Days) Safety Population</w:t>
      </w:r>
      <w:bookmarkEnd w:id="111"/>
    </w:p>
    <w:p w:rsidR="00E07ECC" w:rsidRDefault="00E07ECC" w:rsidP="005303DE">
      <w:pPr>
        <w:keepNext/>
      </w:pPr>
      <w:r>
        <w:rPr>
          <w:noProof/>
          <w:u w:val="single"/>
          <w:lang w:eastAsia="en-AU"/>
        </w:rPr>
        <w:drawing>
          <wp:inline distT="0" distB="0" distL="0" distR="0">
            <wp:extent cx="934720" cy="1965325"/>
            <wp:effectExtent l="19050" t="0" r="0" b="0"/>
            <wp:docPr id="35" name="Picture 35" descr="Table 23. Study 355 Summary of Exposure to Study Drug (Day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srcRect r="84192"/>
                    <a:stretch>
                      <a:fillRect/>
                    </a:stretch>
                  </pic:blipFill>
                  <pic:spPr bwMode="auto">
                    <a:xfrm>
                      <a:off x="0" y="0"/>
                      <a:ext cx="934720" cy="1965325"/>
                    </a:xfrm>
                    <a:prstGeom prst="rect">
                      <a:avLst/>
                    </a:prstGeom>
                    <a:noFill/>
                    <a:ln w="9525">
                      <a:noFill/>
                      <a:miter lim="800000"/>
                      <a:headEnd/>
                      <a:tailEnd/>
                    </a:ln>
                  </pic:spPr>
                </pic:pic>
              </a:graphicData>
            </a:graphic>
          </wp:inline>
        </w:drawing>
      </w:r>
      <w:r>
        <w:rPr>
          <w:noProof/>
          <w:u w:val="single"/>
          <w:lang w:eastAsia="en-AU"/>
        </w:rPr>
        <w:drawing>
          <wp:inline distT="0" distB="0" distL="0" distR="0">
            <wp:extent cx="3377565" cy="1965325"/>
            <wp:effectExtent l="19050" t="0" r="0" b="0"/>
            <wp:docPr id="36" name="Picture 36" descr="Table 23 continued. Study 355 Summary of Exposure to Study Drug (Day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srcRect l="42964"/>
                    <a:stretch>
                      <a:fillRect/>
                    </a:stretch>
                  </pic:blipFill>
                  <pic:spPr bwMode="auto">
                    <a:xfrm>
                      <a:off x="0" y="0"/>
                      <a:ext cx="3377565" cy="1965325"/>
                    </a:xfrm>
                    <a:prstGeom prst="rect">
                      <a:avLst/>
                    </a:prstGeom>
                    <a:noFill/>
                    <a:ln w="9525">
                      <a:noFill/>
                      <a:miter lim="800000"/>
                      <a:headEnd/>
                      <a:tailEnd/>
                    </a:ln>
                  </pic:spPr>
                </pic:pic>
              </a:graphicData>
            </a:graphic>
          </wp:inline>
        </w:drawing>
      </w:r>
    </w:p>
    <w:p w:rsidR="00E07ECC" w:rsidRPr="005303DE" w:rsidRDefault="005303DE" w:rsidP="005303DE">
      <w:pPr>
        <w:keepNext/>
        <w:rPr>
          <w:sz w:val="18"/>
          <w:szCs w:val="18"/>
        </w:rPr>
      </w:pPr>
      <w:r w:rsidRPr="00965870">
        <w:rPr>
          <w:sz w:val="16"/>
        </w:rPr>
        <w:t xml:space="preserve"> </w:t>
      </w:r>
      <w:r w:rsidR="00E07ECC" w:rsidRPr="00965870">
        <w:rPr>
          <w:sz w:val="16"/>
        </w:rPr>
        <w:t>[</w:t>
      </w:r>
      <w:r w:rsidR="00E07ECC" w:rsidRPr="005303DE">
        <w:rPr>
          <w:sz w:val="18"/>
          <w:szCs w:val="18"/>
        </w:rPr>
        <w:t>1] Exposure Days = Days on Zonisamide starting with first dose in AN46046-304.</w:t>
      </w:r>
    </w:p>
    <w:p w:rsidR="00E07ECC" w:rsidRPr="005303DE" w:rsidRDefault="00E07ECC" w:rsidP="005303DE">
      <w:pPr>
        <w:keepNext/>
        <w:rPr>
          <w:sz w:val="18"/>
          <w:szCs w:val="18"/>
        </w:rPr>
      </w:pPr>
      <w:r w:rsidRPr="005303DE">
        <w:rPr>
          <w:sz w:val="18"/>
          <w:szCs w:val="18"/>
        </w:rPr>
        <w:t>[2] Study Days = Days on Zonisamide starting with first dose in AN46046-355 Study.</w:t>
      </w:r>
    </w:p>
    <w:p w:rsidR="00E07ECC" w:rsidRPr="005303DE" w:rsidRDefault="00E07ECC" w:rsidP="005303DE">
      <w:pPr>
        <w:keepNext/>
        <w:rPr>
          <w:sz w:val="18"/>
          <w:szCs w:val="18"/>
        </w:rPr>
      </w:pPr>
      <w:r w:rsidRPr="005303DE">
        <w:rPr>
          <w:sz w:val="18"/>
          <w:szCs w:val="18"/>
        </w:rPr>
        <w:t>Note: The Safety Population and the Evaluable Population are identical in this study.</w:t>
      </w:r>
    </w:p>
    <w:p w:rsidR="00E07ECC" w:rsidRPr="005303DE" w:rsidRDefault="00E07ECC" w:rsidP="005303DE">
      <w:pPr>
        <w:keepNext/>
        <w:rPr>
          <w:sz w:val="18"/>
          <w:szCs w:val="18"/>
        </w:rPr>
      </w:pPr>
      <w:r w:rsidRPr="005303DE">
        <w:rPr>
          <w:sz w:val="18"/>
          <w:szCs w:val="18"/>
        </w:rPr>
        <w:t>Per protocol, subjects took study medication or placebo from up to 4 bottles per week. Because unblinding data were provided at the subject level rather than at the bottle level, actual daily dose could not be calculated for this study.</w:t>
      </w:r>
    </w:p>
    <w:p w:rsidR="00E07ECC" w:rsidRDefault="00E07ECC" w:rsidP="00640C21">
      <w:pPr>
        <w:autoSpaceDE w:val="0"/>
        <w:autoSpaceDN w:val="0"/>
        <w:adjustRightInd w:val="0"/>
        <w:spacing w:before="240" w:after="60"/>
      </w:pPr>
      <w:r>
        <w:t>All subjects in Study</w:t>
      </w:r>
      <w:r w:rsidRPr="00C34A36">
        <w:t xml:space="preserve"> </w:t>
      </w:r>
      <w:r w:rsidRPr="00C34A36">
        <w:rPr>
          <w:bCs/>
        </w:rPr>
        <w:t>ELN46046-108</w:t>
      </w:r>
      <w:r>
        <w:rPr>
          <w:bCs/>
        </w:rPr>
        <w:t xml:space="preserve"> received a single 10</w:t>
      </w:r>
      <w:r w:rsidR="000A6651">
        <w:rPr>
          <w:bCs/>
        </w:rPr>
        <w:t>0 mg</w:t>
      </w:r>
      <w:r>
        <w:rPr>
          <w:bCs/>
        </w:rPr>
        <w:t xml:space="preserve"> dose.</w:t>
      </w:r>
    </w:p>
    <w:p w:rsidR="00E07ECC" w:rsidRDefault="00E07ECC" w:rsidP="005303DE">
      <w:pPr>
        <w:pStyle w:val="Heading3"/>
      </w:pPr>
      <w:bookmarkStart w:id="112" w:name="_Toc326646521"/>
      <w:bookmarkStart w:id="113" w:name="_Toc359237258"/>
      <w:r>
        <w:t>Subject disposition</w:t>
      </w:r>
      <w:bookmarkEnd w:id="112"/>
      <w:bookmarkEnd w:id="113"/>
    </w:p>
    <w:p w:rsidR="00E07ECC" w:rsidRDefault="00E07ECC" w:rsidP="00FD4F49">
      <w:pPr>
        <w:pStyle w:val="TableTitle"/>
      </w:pPr>
      <w:bookmarkStart w:id="114" w:name="_Toc326646569"/>
      <w:r>
        <w:t xml:space="preserve">Table </w:t>
      </w:r>
      <w:r w:rsidR="00423552">
        <w:fldChar w:fldCharType="begin"/>
      </w:r>
      <w:r w:rsidR="00FC3F50">
        <w:instrText xml:space="preserve"> SEQ Table \* ARABIC </w:instrText>
      </w:r>
      <w:r w:rsidR="00423552">
        <w:fldChar w:fldCharType="separate"/>
      </w:r>
      <w:r w:rsidR="002E4F77">
        <w:rPr>
          <w:noProof/>
        </w:rPr>
        <w:t>24</w:t>
      </w:r>
      <w:r w:rsidR="00423552">
        <w:fldChar w:fldCharType="end"/>
      </w:r>
      <w:r w:rsidR="005303DE">
        <w:t>.</w:t>
      </w:r>
      <w:r>
        <w:t xml:space="preserve"> Subject Disposition in the Phase 3 Zonisamide Monotherapy Studies: Completion/Discontinuation from Study: Randomized Population</w:t>
      </w:r>
      <w:bookmarkEnd w:id="114"/>
    </w:p>
    <w:p w:rsidR="00E07ECC" w:rsidRDefault="00E07ECC" w:rsidP="00E07ECC">
      <w:pPr>
        <w:autoSpaceDE w:val="0"/>
        <w:autoSpaceDN w:val="0"/>
        <w:adjustRightInd w:val="0"/>
      </w:pPr>
      <w:r>
        <w:rPr>
          <w:noProof/>
          <w:lang w:eastAsia="en-AU"/>
        </w:rPr>
        <w:drawing>
          <wp:inline distT="0" distB="0" distL="0" distR="0">
            <wp:extent cx="5909310" cy="2218055"/>
            <wp:effectExtent l="19050" t="0" r="0" b="0"/>
            <wp:docPr id="37" name="Picture 37" descr="Table 24. Subject Disposition in the Phase 3 Zonisamide Monotherapy Studies: Completion/Discontinuation from Study: Randomiz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srcRect b="1630"/>
                    <a:stretch>
                      <a:fillRect/>
                    </a:stretch>
                  </pic:blipFill>
                  <pic:spPr bwMode="auto">
                    <a:xfrm>
                      <a:off x="0" y="0"/>
                      <a:ext cx="5909310" cy="2218055"/>
                    </a:xfrm>
                    <a:prstGeom prst="rect">
                      <a:avLst/>
                    </a:prstGeom>
                    <a:noFill/>
                    <a:ln w="9525">
                      <a:noFill/>
                      <a:miter lim="800000"/>
                      <a:headEnd/>
                      <a:tailEnd/>
                    </a:ln>
                  </pic:spPr>
                </pic:pic>
              </a:graphicData>
            </a:graphic>
          </wp:inline>
        </w:drawing>
      </w:r>
    </w:p>
    <w:p w:rsidR="00E07ECC" w:rsidRPr="005303DE" w:rsidRDefault="00E07ECC" w:rsidP="00E07ECC">
      <w:pPr>
        <w:autoSpaceDE w:val="0"/>
        <w:autoSpaceDN w:val="0"/>
        <w:adjustRightInd w:val="0"/>
        <w:rPr>
          <w:sz w:val="18"/>
          <w:szCs w:val="18"/>
        </w:rPr>
      </w:pPr>
      <w:r w:rsidRPr="005303DE">
        <w:rPr>
          <w:sz w:val="18"/>
          <w:szCs w:val="18"/>
          <w:vertAlign w:val="superscript"/>
        </w:rPr>
        <w:t>a</w:t>
      </w:r>
      <w:r w:rsidRPr="005303DE">
        <w:rPr>
          <w:sz w:val="18"/>
          <w:szCs w:val="18"/>
        </w:rPr>
        <w:t xml:space="preserve"> In the case of Study 304, numbers are subjects who completed Week 40 or met an exit criterion by Week 40.</w:t>
      </w:r>
    </w:p>
    <w:p w:rsidR="00E07ECC" w:rsidRPr="005303DE" w:rsidRDefault="00E07ECC" w:rsidP="00E07ECC">
      <w:pPr>
        <w:autoSpaceDE w:val="0"/>
        <w:autoSpaceDN w:val="0"/>
        <w:adjustRightInd w:val="0"/>
        <w:rPr>
          <w:sz w:val="18"/>
          <w:szCs w:val="18"/>
        </w:rPr>
      </w:pPr>
      <w:r w:rsidRPr="005303DE">
        <w:rPr>
          <w:sz w:val="18"/>
          <w:szCs w:val="18"/>
          <w:vertAlign w:val="superscript"/>
        </w:rPr>
        <w:t>b</w:t>
      </w:r>
      <w:r w:rsidRPr="005303DE">
        <w:rPr>
          <w:sz w:val="18"/>
          <w:szCs w:val="18"/>
        </w:rPr>
        <w:t xml:space="preserve"> In Study 304, meeting the predefined exit criterion was effectively, the same as lack of therapeutic efficacy because subjects had to have had either two complex partial seizures or one generalized tonic-clonic seizure.</w:t>
      </w:r>
    </w:p>
    <w:p w:rsidR="00E07ECC" w:rsidRPr="005303DE" w:rsidRDefault="00E07ECC" w:rsidP="00E07ECC">
      <w:pPr>
        <w:autoSpaceDE w:val="0"/>
        <w:autoSpaceDN w:val="0"/>
        <w:adjustRightInd w:val="0"/>
        <w:rPr>
          <w:sz w:val="18"/>
          <w:szCs w:val="18"/>
        </w:rPr>
      </w:pPr>
      <w:r w:rsidRPr="005303DE">
        <w:rPr>
          <w:sz w:val="18"/>
          <w:szCs w:val="18"/>
          <w:vertAlign w:val="superscript"/>
        </w:rPr>
        <w:t>c</w:t>
      </w:r>
      <w:r w:rsidRPr="005303DE">
        <w:rPr>
          <w:sz w:val="18"/>
          <w:szCs w:val="18"/>
        </w:rPr>
        <w:t xml:space="preserve"> Numbers represent the Safety Population, not randomized subjects, as this was an efficacy endpoint and the Safety Population was used for the efficacy analyses. </w:t>
      </w:r>
      <w:r w:rsidRPr="005303DE">
        <w:rPr>
          <w:sz w:val="18"/>
          <w:szCs w:val="18"/>
        </w:rPr>
        <w:tab/>
      </w:r>
      <w:r w:rsidR="005303DE" w:rsidRPr="005303DE">
        <w:rPr>
          <w:sz w:val="18"/>
          <w:szCs w:val="18"/>
        </w:rPr>
        <w:t>C</w:t>
      </w:r>
      <w:r w:rsidRPr="005303DE">
        <w:rPr>
          <w:sz w:val="18"/>
          <w:szCs w:val="18"/>
        </w:rPr>
        <w:t>BZ = carbamazepine; ZNS = zonisamide.</w:t>
      </w:r>
    </w:p>
    <w:p w:rsidR="00E07ECC" w:rsidRDefault="00E07ECC" w:rsidP="005303DE">
      <w:pPr>
        <w:pStyle w:val="Heading3"/>
      </w:pPr>
      <w:bookmarkStart w:id="115" w:name="_Toc241374319"/>
      <w:bookmarkStart w:id="116" w:name="_Ref271044764"/>
      <w:bookmarkStart w:id="117" w:name="_Toc272414663"/>
      <w:bookmarkStart w:id="118" w:name="_Toc290846301"/>
      <w:bookmarkStart w:id="119" w:name="_Toc290888838"/>
      <w:bookmarkStart w:id="120" w:name="_Toc326646522"/>
      <w:bookmarkStart w:id="121" w:name="_Toc359237259"/>
      <w:r>
        <w:lastRenderedPageBreak/>
        <w:t>Adverse events</w:t>
      </w:r>
      <w:bookmarkEnd w:id="115"/>
      <w:bookmarkEnd w:id="116"/>
      <w:bookmarkEnd w:id="117"/>
      <w:bookmarkEnd w:id="118"/>
      <w:bookmarkEnd w:id="119"/>
      <w:bookmarkEnd w:id="120"/>
      <w:bookmarkEnd w:id="121"/>
    </w:p>
    <w:p w:rsidR="00E07ECC" w:rsidRDefault="00E07ECC" w:rsidP="005303DE">
      <w:pPr>
        <w:pStyle w:val="Heading4"/>
      </w:pPr>
      <w:bookmarkStart w:id="122" w:name="_Ref272317284"/>
      <w:bookmarkStart w:id="123" w:name="_Ref272333565"/>
      <w:bookmarkStart w:id="124" w:name="_Toc272414664"/>
      <w:bookmarkStart w:id="125" w:name="_Toc290846302"/>
      <w:bookmarkStart w:id="126" w:name="_Toc290888839"/>
      <w:bookmarkStart w:id="127" w:name="_Toc326646523"/>
      <w:r>
        <w:t>All adverse events (irrespective of relationship to study treatment)</w:t>
      </w:r>
      <w:bookmarkEnd w:id="122"/>
      <w:bookmarkEnd w:id="123"/>
      <w:bookmarkEnd w:id="124"/>
      <w:bookmarkEnd w:id="125"/>
      <w:bookmarkEnd w:id="126"/>
      <w:bookmarkEnd w:id="127"/>
    </w:p>
    <w:p w:rsidR="00E07ECC" w:rsidRDefault="00E07ECC" w:rsidP="00FD4F49">
      <w:pPr>
        <w:keepLines/>
        <w:spacing w:after="60"/>
      </w:pPr>
      <w:r>
        <w:t>Events that are to be expected due to the trial indication (such as seizures in subjects with epilepsy) were not considered to be AEs or SAEs, unless the event represented a significant worsening of the symptom (e.g., new seizure type, clinically significant increase in seizure severity, status epilepticus or hospitalization, etc).</w:t>
      </w:r>
    </w:p>
    <w:p w:rsidR="00E07ECC" w:rsidRDefault="00E07ECC" w:rsidP="00FD4F49">
      <w:pPr>
        <w:pStyle w:val="TableTitle"/>
      </w:pPr>
      <w:bookmarkStart w:id="128" w:name="_Toc326646570"/>
      <w:r>
        <w:t xml:space="preserve">Table </w:t>
      </w:r>
      <w:r w:rsidR="00423552">
        <w:fldChar w:fldCharType="begin"/>
      </w:r>
      <w:r w:rsidR="00FC3F50">
        <w:instrText xml:space="preserve"> SEQ Table \* ARABIC </w:instrText>
      </w:r>
      <w:r w:rsidR="00423552">
        <w:fldChar w:fldCharType="separate"/>
      </w:r>
      <w:r w:rsidR="002E4F77">
        <w:rPr>
          <w:noProof/>
        </w:rPr>
        <w:t>25</w:t>
      </w:r>
      <w:r w:rsidR="00423552">
        <w:fldChar w:fldCharType="end"/>
      </w:r>
      <w:r w:rsidR="005303DE">
        <w:t>.</w:t>
      </w:r>
      <w:r>
        <w:t xml:space="preserve"> Overview of Adverse Events, Treatment-related Adverse Events, Deaths, Nonfatal Serious Adverse Events, and Adverse Events Leading to Discontinuation of Therapy in the Phase 3 Zonisamide Monotherapy Studies(Safety Population)</w:t>
      </w:r>
      <w:bookmarkEnd w:id="128"/>
    </w:p>
    <w:p w:rsidR="00E07ECC" w:rsidRDefault="00E07ECC" w:rsidP="00E07ECC">
      <w:r>
        <w:rPr>
          <w:noProof/>
          <w:lang w:eastAsia="en-AU"/>
        </w:rPr>
        <w:drawing>
          <wp:inline distT="0" distB="0" distL="0" distR="0">
            <wp:extent cx="5923280" cy="2559050"/>
            <wp:effectExtent l="19050" t="0" r="1270" b="0"/>
            <wp:docPr id="38" name="Picture 38" descr="Table 25. Overview of Adverse Events, Treatment-related Adverse Events, Deaths, Nonfatal Serious Adverse Events, and Adverse Events Leading to Discontinuation of Therapy in the Phase 3 Zonisamide Monotherapy Studies(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print"/>
                    <a:srcRect/>
                    <a:stretch>
                      <a:fillRect/>
                    </a:stretch>
                  </pic:blipFill>
                  <pic:spPr bwMode="auto">
                    <a:xfrm>
                      <a:off x="0" y="0"/>
                      <a:ext cx="5923280" cy="2559050"/>
                    </a:xfrm>
                    <a:prstGeom prst="rect">
                      <a:avLst/>
                    </a:prstGeom>
                    <a:noFill/>
                    <a:ln w="9525">
                      <a:noFill/>
                      <a:miter lim="800000"/>
                      <a:headEnd/>
                      <a:tailEnd/>
                    </a:ln>
                  </pic:spPr>
                </pic:pic>
              </a:graphicData>
            </a:graphic>
          </wp:inline>
        </w:drawing>
      </w:r>
    </w:p>
    <w:p w:rsidR="00E07ECC" w:rsidRPr="00081C6D" w:rsidRDefault="00E07ECC" w:rsidP="00E07ECC">
      <w:pPr>
        <w:rPr>
          <w:sz w:val="18"/>
          <w:szCs w:val="18"/>
        </w:rPr>
      </w:pPr>
      <w:r w:rsidRPr="00081C6D">
        <w:rPr>
          <w:sz w:val="18"/>
          <w:szCs w:val="18"/>
        </w:rPr>
        <w:t>CBZ = carbamazepine; TEAE = treatment-emergent adverse event; ZNS = zonisamide.</w:t>
      </w:r>
    </w:p>
    <w:p w:rsidR="00E07ECC" w:rsidRDefault="00E07ECC" w:rsidP="005303DE">
      <w:pPr>
        <w:pStyle w:val="Heading5"/>
      </w:pPr>
      <w:r>
        <w:lastRenderedPageBreak/>
        <w:t>Pivotal studies</w:t>
      </w:r>
    </w:p>
    <w:p w:rsidR="00E07ECC" w:rsidRDefault="00E07ECC" w:rsidP="00FD4F49">
      <w:pPr>
        <w:pStyle w:val="TableTitle"/>
      </w:pPr>
      <w:bookmarkStart w:id="129" w:name="_Toc326646571"/>
      <w:r>
        <w:t xml:space="preserve">Table </w:t>
      </w:r>
      <w:r w:rsidR="00423552">
        <w:fldChar w:fldCharType="begin"/>
      </w:r>
      <w:r w:rsidR="00FC3F50">
        <w:instrText xml:space="preserve"> SEQ Table \* ARABIC </w:instrText>
      </w:r>
      <w:r w:rsidR="00423552">
        <w:fldChar w:fldCharType="separate"/>
      </w:r>
      <w:r w:rsidR="002E4F77">
        <w:rPr>
          <w:noProof/>
        </w:rPr>
        <w:t>26</w:t>
      </w:r>
      <w:r w:rsidR="00423552">
        <w:fldChar w:fldCharType="end"/>
      </w:r>
      <w:r w:rsidR="005303DE">
        <w:t>. Study</w:t>
      </w:r>
      <w:r>
        <w:t xml:space="preserve"> 310 Incidence of Common Treatment Emergent Adverse Events by MedDRA System Organ Class and Preferred Term (≥ 2% Subjects in either Treatment Group) Safety Population</w:t>
      </w:r>
      <w:bookmarkEnd w:id="129"/>
    </w:p>
    <w:p w:rsidR="00E07ECC" w:rsidRDefault="00E07ECC" w:rsidP="005303DE">
      <w:pPr>
        <w:keepNext/>
      </w:pPr>
      <w:r>
        <w:rPr>
          <w:noProof/>
          <w:lang w:eastAsia="en-AU"/>
        </w:rPr>
        <w:drawing>
          <wp:inline distT="0" distB="0" distL="0" distR="0">
            <wp:extent cx="5930265" cy="6045835"/>
            <wp:effectExtent l="19050" t="0" r="0" b="0"/>
            <wp:docPr id="39" name="Picture 39" descr="Table 26. Study 310 Incidence of Common Treatment Emergent Adverse Events by MedDRA System Organ Class and Preferred Term (≥ 2% Subjects in either Treatment Group)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srcRect/>
                    <a:stretch>
                      <a:fillRect/>
                    </a:stretch>
                  </pic:blipFill>
                  <pic:spPr bwMode="auto">
                    <a:xfrm>
                      <a:off x="0" y="0"/>
                      <a:ext cx="5930265" cy="6045835"/>
                    </a:xfrm>
                    <a:prstGeom prst="rect">
                      <a:avLst/>
                    </a:prstGeom>
                    <a:noFill/>
                    <a:ln w="9525">
                      <a:noFill/>
                      <a:miter lim="800000"/>
                      <a:headEnd/>
                      <a:tailEnd/>
                    </a:ln>
                  </pic:spPr>
                </pic:pic>
              </a:graphicData>
            </a:graphic>
          </wp:inline>
        </w:drawing>
      </w:r>
    </w:p>
    <w:p w:rsidR="00E07ECC" w:rsidRPr="00081C6D" w:rsidRDefault="00E07ECC" w:rsidP="005303DE">
      <w:pPr>
        <w:keepNext/>
        <w:rPr>
          <w:sz w:val="18"/>
          <w:szCs w:val="18"/>
        </w:rPr>
      </w:pPr>
      <w:r w:rsidRPr="00081C6D">
        <w:rPr>
          <w:sz w:val="18"/>
          <w:szCs w:val="18"/>
        </w:rPr>
        <w:t>A TEAE is defined as an AE with a start date on or after Day 1 and within 15 days of last dose. If the start date is missing then the AE is considered to be a TEAE. For each row category, a subject with two or more AEs in that category is counted only once</w:t>
      </w:r>
    </w:p>
    <w:p w:rsidR="00E07ECC" w:rsidRPr="00081C6D" w:rsidRDefault="00E07ECC" w:rsidP="005303DE">
      <w:pPr>
        <w:keepNext/>
        <w:rPr>
          <w:sz w:val="18"/>
          <w:szCs w:val="18"/>
        </w:rPr>
      </w:pPr>
      <w:r w:rsidRPr="00081C6D">
        <w:rPr>
          <w:sz w:val="18"/>
          <w:szCs w:val="18"/>
          <w:vertAlign w:val="superscript"/>
        </w:rPr>
        <w:t>a</w:t>
      </w:r>
      <w:r w:rsidRPr="00081C6D">
        <w:rPr>
          <w:sz w:val="18"/>
          <w:szCs w:val="18"/>
        </w:rPr>
        <w:t xml:space="preserve"> SOC values are representative of all TEAEs in that particular SOC.</w:t>
      </w:r>
    </w:p>
    <w:p w:rsidR="005303DE" w:rsidRPr="00887A5C" w:rsidRDefault="005303DE" w:rsidP="005303DE">
      <w:pPr>
        <w:rPr>
          <w:sz w:val="16"/>
        </w:rPr>
      </w:pPr>
    </w:p>
    <w:p w:rsidR="00E07ECC" w:rsidRDefault="00E07ECC" w:rsidP="005303DE">
      <w:pPr>
        <w:pStyle w:val="Heading5"/>
      </w:pPr>
      <w:r>
        <w:lastRenderedPageBreak/>
        <w:t>Other studies</w:t>
      </w:r>
    </w:p>
    <w:p w:rsidR="00E07ECC" w:rsidRDefault="00E07ECC" w:rsidP="00FD4F49">
      <w:pPr>
        <w:pStyle w:val="TableTitle"/>
      </w:pPr>
      <w:bookmarkStart w:id="130" w:name="_Toc326646572"/>
      <w:r>
        <w:t xml:space="preserve">Table </w:t>
      </w:r>
      <w:r w:rsidR="00423552">
        <w:fldChar w:fldCharType="begin"/>
      </w:r>
      <w:r w:rsidR="00FC3F50">
        <w:instrText xml:space="preserve"> SEQ Table \* ARABIC </w:instrText>
      </w:r>
      <w:r w:rsidR="00423552">
        <w:fldChar w:fldCharType="separate"/>
      </w:r>
      <w:r w:rsidR="002E4F77">
        <w:rPr>
          <w:noProof/>
        </w:rPr>
        <w:t>27</w:t>
      </w:r>
      <w:r w:rsidR="00423552">
        <w:fldChar w:fldCharType="end"/>
      </w:r>
      <w:r w:rsidR="005303DE">
        <w:t>.</w:t>
      </w:r>
      <w:r>
        <w:t xml:space="preserve"> 304 Incidence of Common Treatment Emergent Adverse Events by Body System and Preferred Term by Treatment Group (≥ 2% Subjects in Any Treatment Group): Safety Pop</w:t>
      </w:r>
      <w:bookmarkEnd w:id="130"/>
      <w:r w:rsidR="001A2E35">
        <w:t>ulation</w:t>
      </w:r>
    </w:p>
    <w:p w:rsidR="00E07ECC" w:rsidRDefault="00E07ECC" w:rsidP="005303DE">
      <w:pPr>
        <w:keepNext/>
        <w:keepLines/>
      </w:pPr>
      <w:r>
        <w:rPr>
          <w:noProof/>
          <w:lang w:eastAsia="en-AU"/>
        </w:rPr>
        <w:drawing>
          <wp:inline distT="0" distB="0" distL="0" distR="0">
            <wp:extent cx="5343525" cy="4113353"/>
            <wp:effectExtent l="19050" t="0" r="9525" b="0"/>
            <wp:docPr id="40" name="Picture 40" descr="Table 27. 304 Incidence of Common Treatment Emergent Adverse Events by Body System and Preferred Term by Treatment Group (≥ 2% Subjects in Any Treatment Group): Safety P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srcRect/>
                    <a:stretch>
                      <a:fillRect/>
                    </a:stretch>
                  </pic:blipFill>
                  <pic:spPr bwMode="auto">
                    <a:xfrm>
                      <a:off x="0" y="0"/>
                      <a:ext cx="5346500" cy="4115643"/>
                    </a:xfrm>
                    <a:prstGeom prst="rect">
                      <a:avLst/>
                    </a:prstGeom>
                    <a:noFill/>
                    <a:ln w="9525">
                      <a:noFill/>
                      <a:miter lim="800000"/>
                      <a:headEnd/>
                      <a:tailEnd/>
                    </a:ln>
                  </pic:spPr>
                </pic:pic>
              </a:graphicData>
            </a:graphic>
          </wp:inline>
        </w:drawing>
      </w:r>
      <w:r>
        <w:rPr>
          <w:noProof/>
          <w:lang w:eastAsia="en-AU"/>
        </w:rPr>
        <w:drawing>
          <wp:inline distT="0" distB="0" distL="0" distR="0">
            <wp:extent cx="5343525" cy="3404435"/>
            <wp:effectExtent l="19050" t="0" r="9525" b="0"/>
            <wp:docPr id="41" name="Picture 41" descr="Table 27 continued. 304 Incidence of Common Treatment Emergent Adverse Events by Body System and Preferred Term by Treatment Group (≥ 2% Subjects in Any Treatment Group): Safety P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srcRect/>
                    <a:stretch>
                      <a:fillRect/>
                    </a:stretch>
                  </pic:blipFill>
                  <pic:spPr bwMode="auto">
                    <a:xfrm>
                      <a:off x="0" y="0"/>
                      <a:ext cx="5346224" cy="3406154"/>
                    </a:xfrm>
                    <a:prstGeom prst="rect">
                      <a:avLst/>
                    </a:prstGeom>
                    <a:noFill/>
                    <a:ln w="9525">
                      <a:noFill/>
                      <a:miter lim="800000"/>
                      <a:headEnd/>
                      <a:tailEnd/>
                    </a:ln>
                  </pic:spPr>
                </pic:pic>
              </a:graphicData>
            </a:graphic>
          </wp:inline>
        </w:drawing>
      </w:r>
    </w:p>
    <w:p w:rsidR="00E07ECC" w:rsidRDefault="00E07ECC" w:rsidP="00FD4F49">
      <w:pPr>
        <w:pStyle w:val="TableTitle"/>
        <w:pageBreakBefore/>
      </w:pPr>
      <w:bookmarkStart w:id="131" w:name="_Toc326646573"/>
      <w:r>
        <w:lastRenderedPageBreak/>
        <w:t xml:space="preserve">Table </w:t>
      </w:r>
      <w:r w:rsidR="00423552">
        <w:fldChar w:fldCharType="begin"/>
      </w:r>
      <w:r w:rsidR="00FC3F50">
        <w:instrText xml:space="preserve"> SEQ Table \* ARABIC </w:instrText>
      </w:r>
      <w:r w:rsidR="00423552">
        <w:fldChar w:fldCharType="separate"/>
      </w:r>
      <w:r w:rsidR="002E4F77">
        <w:rPr>
          <w:noProof/>
        </w:rPr>
        <w:t>28</w:t>
      </w:r>
      <w:r w:rsidR="00423552">
        <w:fldChar w:fldCharType="end"/>
      </w:r>
      <w:r w:rsidR="005303DE">
        <w:t>. Study</w:t>
      </w:r>
      <w:r>
        <w:t xml:space="preserve"> 355 Incidence of Common Treatment Emergent Adverse Events by Body System and Preferred Term by Treatment Group (≥ 10% Overall) : Safety Population</w:t>
      </w:r>
      <w:bookmarkEnd w:id="131"/>
    </w:p>
    <w:p w:rsidR="00E07ECC" w:rsidRDefault="00E07ECC" w:rsidP="00E07ECC">
      <w:r>
        <w:rPr>
          <w:noProof/>
          <w:lang w:eastAsia="en-AU"/>
        </w:rPr>
        <w:drawing>
          <wp:inline distT="0" distB="0" distL="0" distR="0">
            <wp:extent cx="5513705" cy="1951355"/>
            <wp:effectExtent l="19050" t="0" r="0" b="0"/>
            <wp:docPr id="42" name="Picture 42" descr="Table 28. Study 355 Incidence of Common Treatment Emergent Adverse Events by Body System and Preferred Term by Treatment Group (≥ 10% Overall)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srcRect/>
                    <a:stretch>
                      <a:fillRect/>
                    </a:stretch>
                  </pic:blipFill>
                  <pic:spPr bwMode="auto">
                    <a:xfrm>
                      <a:off x="0" y="0"/>
                      <a:ext cx="5513705" cy="1951355"/>
                    </a:xfrm>
                    <a:prstGeom prst="rect">
                      <a:avLst/>
                    </a:prstGeom>
                    <a:noFill/>
                    <a:ln w="9525">
                      <a:noFill/>
                      <a:miter lim="800000"/>
                      <a:headEnd/>
                      <a:tailEnd/>
                    </a:ln>
                  </pic:spPr>
                </pic:pic>
              </a:graphicData>
            </a:graphic>
          </wp:inline>
        </w:drawing>
      </w:r>
    </w:p>
    <w:p w:rsidR="00E07ECC" w:rsidRDefault="00E07ECC" w:rsidP="00FD4F49">
      <w:pPr>
        <w:pStyle w:val="TableTitle"/>
      </w:pPr>
      <w:bookmarkStart w:id="132" w:name="_Toc326646574"/>
      <w:r>
        <w:t xml:space="preserve">Table </w:t>
      </w:r>
      <w:r w:rsidR="00423552">
        <w:fldChar w:fldCharType="begin"/>
      </w:r>
      <w:r>
        <w:instrText xml:space="preserve"> SEQ Table \* ARABIC </w:instrText>
      </w:r>
      <w:r w:rsidR="00423552">
        <w:fldChar w:fldCharType="separate"/>
      </w:r>
      <w:r w:rsidR="002E4F77">
        <w:rPr>
          <w:noProof/>
        </w:rPr>
        <w:t>29</w:t>
      </w:r>
      <w:r w:rsidR="00423552">
        <w:fldChar w:fldCharType="end"/>
      </w:r>
      <w:r w:rsidR="005303DE">
        <w:t>. Study</w:t>
      </w:r>
      <w:r>
        <w:t xml:space="preserve"> </w:t>
      </w:r>
      <w:r w:rsidRPr="009F3158">
        <w:t>108</w:t>
      </w:r>
      <w:r>
        <w:t xml:space="preserve"> </w:t>
      </w:r>
      <w:r w:rsidRPr="009F3158">
        <w:t>Overall Summary of Adverse Events</w:t>
      </w:r>
      <w:bookmarkEnd w:id="132"/>
    </w:p>
    <w:p w:rsidR="00E07ECC" w:rsidRDefault="00E07ECC" w:rsidP="00E07ECC">
      <w:r>
        <w:rPr>
          <w:noProof/>
          <w:lang w:eastAsia="en-AU"/>
        </w:rPr>
        <w:drawing>
          <wp:inline distT="0" distB="0" distL="0" distR="0">
            <wp:extent cx="4251325" cy="3391535"/>
            <wp:effectExtent l="19050" t="0" r="0" b="0"/>
            <wp:docPr id="43" name="Picture 43" descr="Table 29. Study 108 Overall Summary of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srcRect/>
                    <a:stretch>
                      <a:fillRect/>
                    </a:stretch>
                  </pic:blipFill>
                  <pic:spPr bwMode="auto">
                    <a:xfrm>
                      <a:off x="0" y="0"/>
                      <a:ext cx="4251325" cy="3391535"/>
                    </a:xfrm>
                    <a:prstGeom prst="rect">
                      <a:avLst/>
                    </a:prstGeom>
                    <a:noFill/>
                    <a:ln w="9525">
                      <a:noFill/>
                      <a:miter lim="800000"/>
                      <a:headEnd/>
                      <a:tailEnd/>
                    </a:ln>
                  </pic:spPr>
                </pic:pic>
              </a:graphicData>
            </a:graphic>
          </wp:inline>
        </w:drawing>
      </w:r>
    </w:p>
    <w:p w:rsidR="00E07ECC" w:rsidRDefault="00E07ECC" w:rsidP="00FD4F49">
      <w:pPr>
        <w:pStyle w:val="TableTitle"/>
      </w:pPr>
      <w:bookmarkStart w:id="133" w:name="_Toc326646575"/>
      <w:r>
        <w:t xml:space="preserve">Table </w:t>
      </w:r>
      <w:r w:rsidR="00423552">
        <w:fldChar w:fldCharType="begin"/>
      </w:r>
      <w:r>
        <w:instrText xml:space="preserve"> SEQ Table \* ARABIC </w:instrText>
      </w:r>
      <w:r w:rsidR="00423552">
        <w:fldChar w:fldCharType="separate"/>
      </w:r>
      <w:r w:rsidR="002E4F77">
        <w:rPr>
          <w:noProof/>
        </w:rPr>
        <w:t>30</w:t>
      </w:r>
      <w:r w:rsidR="00423552">
        <w:fldChar w:fldCharType="end"/>
      </w:r>
      <w:r w:rsidR="005303DE">
        <w:t>. Study</w:t>
      </w:r>
      <w:r>
        <w:t xml:space="preserve"> </w:t>
      </w:r>
      <w:r w:rsidRPr="009F3158">
        <w:t>108</w:t>
      </w:r>
      <w:r>
        <w:t xml:space="preserve"> </w:t>
      </w:r>
      <w:r w:rsidRPr="009F3158">
        <w:t>Number of Subjects with Adverse Events by Preferred Term</w:t>
      </w:r>
      <w:bookmarkEnd w:id="133"/>
    </w:p>
    <w:p w:rsidR="00E07ECC" w:rsidRDefault="00E07ECC" w:rsidP="00E07ECC">
      <w:r>
        <w:rPr>
          <w:noProof/>
          <w:lang w:eastAsia="en-AU"/>
        </w:rPr>
        <w:drawing>
          <wp:inline distT="0" distB="0" distL="0" distR="0">
            <wp:extent cx="4278630" cy="1699260"/>
            <wp:effectExtent l="19050" t="0" r="7620" b="0"/>
            <wp:docPr id="44" name="Picture 44" descr="Table 30. Study 108 Number of Subjects with Adverse Events by Preferred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cstate="print"/>
                    <a:srcRect/>
                    <a:stretch>
                      <a:fillRect/>
                    </a:stretch>
                  </pic:blipFill>
                  <pic:spPr bwMode="auto">
                    <a:xfrm>
                      <a:off x="0" y="0"/>
                      <a:ext cx="4278630" cy="1699260"/>
                    </a:xfrm>
                    <a:prstGeom prst="rect">
                      <a:avLst/>
                    </a:prstGeom>
                    <a:noFill/>
                    <a:ln w="9525">
                      <a:noFill/>
                      <a:miter lim="800000"/>
                      <a:headEnd/>
                      <a:tailEnd/>
                    </a:ln>
                  </pic:spPr>
                </pic:pic>
              </a:graphicData>
            </a:graphic>
          </wp:inline>
        </w:drawing>
      </w:r>
    </w:p>
    <w:p w:rsidR="00E07ECC" w:rsidRPr="001A2E35" w:rsidRDefault="00E07ECC" w:rsidP="00E07ECC">
      <w:pPr>
        <w:rPr>
          <w:sz w:val="18"/>
          <w:szCs w:val="18"/>
        </w:rPr>
      </w:pPr>
      <w:r w:rsidRPr="001A2E35">
        <w:rPr>
          <w:sz w:val="18"/>
          <w:szCs w:val="18"/>
          <w:vertAlign w:val="superscript"/>
        </w:rPr>
        <w:t>1</w:t>
      </w:r>
      <w:r w:rsidRPr="001A2E35">
        <w:rPr>
          <w:sz w:val="18"/>
          <w:szCs w:val="18"/>
        </w:rPr>
        <w:t xml:space="preserve"> Investigator verbatim term: lip papule</w:t>
      </w:r>
    </w:p>
    <w:p w:rsidR="00E07ECC" w:rsidRPr="00143D29" w:rsidRDefault="00E07ECC" w:rsidP="00E07ECC">
      <w:pPr>
        <w:rPr>
          <w:sz w:val="16"/>
        </w:rPr>
      </w:pPr>
    </w:p>
    <w:p w:rsidR="00E07ECC" w:rsidRPr="00D12012" w:rsidRDefault="00E07ECC" w:rsidP="005303DE">
      <w:pPr>
        <w:pStyle w:val="Heading4"/>
      </w:pPr>
      <w:bookmarkStart w:id="134" w:name="_Ref272333567"/>
      <w:bookmarkStart w:id="135" w:name="_Toc272414665"/>
      <w:bookmarkStart w:id="136" w:name="_Toc290846303"/>
      <w:bookmarkStart w:id="137" w:name="_Toc290888840"/>
      <w:bookmarkStart w:id="138" w:name="_Toc326646524"/>
      <w:r>
        <w:lastRenderedPageBreak/>
        <w:t>Treatment-related adverse events (adverse drug reactions)</w:t>
      </w:r>
      <w:bookmarkEnd w:id="134"/>
      <w:bookmarkEnd w:id="135"/>
      <w:bookmarkEnd w:id="136"/>
      <w:bookmarkEnd w:id="137"/>
      <w:bookmarkEnd w:id="138"/>
    </w:p>
    <w:p w:rsidR="00E07ECC" w:rsidRDefault="00E07ECC" w:rsidP="005303DE">
      <w:pPr>
        <w:pStyle w:val="Heading5"/>
      </w:pPr>
      <w:r>
        <w:t>Pivotal studies</w:t>
      </w:r>
    </w:p>
    <w:p w:rsidR="00E07ECC" w:rsidRDefault="00E07ECC" w:rsidP="00E07ECC">
      <w:pPr>
        <w:spacing w:after="60"/>
      </w:pPr>
      <w:r>
        <w:t xml:space="preserve">Study 310 had no summary of Treatment related AEs, only </w:t>
      </w:r>
      <w:r w:rsidR="005303DE">
        <w:t>a table (</w:t>
      </w:r>
      <w:r>
        <w:t>Table 14.3.1.3 Treatment-Emergent Adverse Events by System Organ Class and Preferred Term and Relationship to Study Treatment (Safety Population)</w:t>
      </w:r>
      <w:r w:rsidR="005303DE">
        <w:t>)</w:t>
      </w:r>
      <w:r>
        <w:t xml:space="preserve"> which was a 129 page listing of all AEs.</w:t>
      </w:r>
    </w:p>
    <w:p w:rsidR="00E07ECC" w:rsidRPr="00FD4F49" w:rsidRDefault="00E07ECC" w:rsidP="00FD4F49">
      <w:pPr>
        <w:pStyle w:val="Heading6"/>
        <w:numPr>
          <w:ilvl w:val="0"/>
          <w:numId w:val="0"/>
        </w:numPr>
        <w:rPr>
          <w:b/>
          <w:i w:val="0"/>
        </w:rPr>
      </w:pPr>
      <w:r w:rsidRPr="00FD4F49">
        <w:rPr>
          <w:b/>
          <w:i w:val="0"/>
        </w:rPr>
        <w:t>Other studies</w:t>
      </w:r>
    </w:p>
    <w:p w:rsidR="00E07ECC" w:rsidRDefault="00E07ECC" w:rsidP="00FD4F49">
      <w:pPr>
        <w:pStyle w:val="TableTitle"/>
      </w:pPr>
      <w:bookmarkStart w:id="139" w:name="_Toc326646576"/>
      <w:r>
        <w:t xml:space="preserve">Table </w:t>
      </w:r>
      <w:r w:rsidR="00423552">
        <w:fldChar w:fldCharType="begin"/>
      </w:r>
      <w:r w:rsidR="00FC3F50">
        <w:instrText xml:space="preserve"> SEQ Table \* ARABIC </w:instrText>
      </w:r>
      <w:r w:rsidR="00423552">
        <w:fldChar w:fldCharType="separate"/>
      </w:r>
      <w:r w:rsidR="002E4F77">
        <w:rPr>
          <w:noProof/>
        </w:rPr>
        <w:t>31</w:t>
      </w:r>
      <w:r w:rsidR="00423552">
        <w:fldChar w:fldCharType="end"/>
      </w:r>
      <w:r w:rsidR="005303DE">
        <w:t>.</w:t>
      </w:r>
      <w:r>
        <w:t xml:space="preserve"> </w:t>
      </w:r>
      <w:r w:rsidR="005303DE">
        <w:t xml:space="preserve">Study </w:t>
      </w:r>
      <w:r>
        <w:t>304 Treatment-Related, Treatment-Emergent Adverse Events Reported in at Least 5% of Subjects in Any Treatment Group (Safety Population)</w:t>
      </w:r>
      <w:bookmarkEnd w:id="139"/>
    </w:p>
    <w:p w:rsidR="00E07ECC" w:rsidRDefault="00E07ECC" w:rsidP="00E07ECC">
      <w:r>
        <w:rPr>
          <w:noProof/>
          <w:lang w:eastAsia="en-AU"/>
        </w:rPr>
        <w:drawing>
          <wp:inline distT="0" distB="0" distL="0" distR="0">
            <wp:extent cx="5429250" cy="4272940"/>
            <wp:effectExtent l="19050" t="0" r="0" b="0"/>
            <wp:docPr id="45" name="Picture 45" descr="Table 31. Study 304 Treatment-Related, Treatment-Emergent Adverse Events Reported in at Least 5% of Subjects in Any Treatment Group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cstate="print"/>
                    <a:srcRect/>
                    <a:stretch>
                      <a:fillRect/>
                    </a:stretch>
                  </pic:blipFill>
                  <pic:spPr bwMode="auto">
                    <a:xfrm>
                      <a:off x="0" y="0"/>
                      <a:ext cx="5429250" cy="4272940"/>
                    </a:xfrm>
                    <a:prstGeom prst="rect">
                      <a:avLst/>
                    </a:prstGeom>
                    <a:noFill/>
                    <a:ln w="9525">
                      <a:noFill/>
                      <a:miter lim="800000"/>
                      <a:headEnd/>
                      <a:tailEnd/>
                    </a:ln>
                  </pic:spPr>
                </pic:pic>
              </a:graphicData>
            </a:graphic>
          </wp:inline>
        </w:drawing>
      </w:r>
    </w:p>
    <w:p w:rsidR="00E07ECC" w:rsidRDefault="00E07ECC" w:rsidP="00FD4F49">
      <w:pPr>
        <w:pStyle w:val="TableTitle"/>
      </w:pPr>
      <w:bookmarkStart w:id="140" w:name="_Toc326646577"/>
      <w:r>
        <w:t xml:space="preserve">Table </w:t>
      </w:r>
      <w:r w:rsidR="00423552">
        <w:fldChar w:fldCharType="begin"/>
      </w:r>
      <w:r>
        <w:instrText xml:space="preserve"> SEQ Table \* ARABIC </w:instrText>
      </w:r>
      <w:r w:rsidR="00423552">
        <w:fldChar w:fldCharType="separate"/>
      </w:r>
      <w:r w:rsidR="002E4F77">
        <w:rPr>
          <w:noProof/>
        </w:rPr>
        <w:t>32</w:t>
      </w:r>
      <w:r w:rsidR="00423552">
        <w:fldChar w:fldCharType="end"/>
      </w:r>
      <w:r w:rsidR="001A2E35">
        <w:t>.</w:t>
      </w:r>
      <w:r>
        <w:t xml:space="preserve"> </w:t>
      </w:r>
      <w:r w:rsidRPr="009F3158">
        <w:t>108</w:t>
      </w:r>
      <w:r>
        <w:t xml:space="preserve"> Number of Subjects with Treatment-Related Adverse Events by Preferred Term</w:t>
      </w:r>
      <w:bookmarkEnd w:id="140"/>
    </w:p>
    <w:p w:rsidR="00E07ECC" w:rsidRDefault="00E07ECC" w:rsidP="00E07ECC">
      <w:r>
        <w:rPr>
          <w:noProof/>
          <w:lang w:eastAsia="en-AU"/>
        </w:rPr>
        <w:drawing>
          <wp:inline distT="0" distB="0" distL="0" distR="0">
            <wp:extent cx="4639945" cy="1364615"/>
            <wp:effectExtent l="19050" t="0" r="8255" b="0"/>
            <wp:docPr id="46" name="Picture 46" descr="Table 32. 108 Number of Subjects with Treatment-Related Adverse Events by Preferred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print"/>
                    <a:srcRect/>
                    <a:stretch>
                      <a:fillRect/>
                    </a:stretch>
                  </pic:blipFill>
                  <pic:spPr bwMode="auto">
                    <a:xfrm>
                      <a:off x="0" y="0"/>
                      <a:ext cx="4639945" cy="1364615"/>
                    </a:xfrm>
                    <a:prstGeom prst="rect">
                      <a:avLst/>
                    </a:prstGeom>
                    <a:noFill/>
                    <a:ln w="9525">
                      <a:noFill/>
                      <a:miter lim="800000"/>
                      <a:headEnd/>
                      <a:tailEnd/>
                    </a:ln>
                  </pic:spPr>
                </pic:pic>
              </a:graphicData>
            </a:graphic>
          </wp:inline>
        </w:drawing>
      </w:r>
    </w:p>
    <w:p w:rsidR="00E07ECC" w:rsidRDefault="00E07ECC" w:rsidP="005303DE">
      <w:pPr>
        <w:pStyle w:val="Heading5"/>
      </w:pPr>
      <w:r>
        <w:lastRenderedPageBreak/>
        <w:t>Treatment-related SAEs</w:t>
      </w:r>
    </w:p>
    <w:p w:rsidR="00E07ECC" w:rsidRDefault="00E07ECC" w:rsidP="00FD4F49">
      <w:pPr>
        <w:pStyle w:val="TableTitle"/>
      </w:pPr>
      <w:bookmarkStart w:id="141" w:name="_Toc326646578"/>
      <w:r>
        <w:t xml:space="preserve">Table </w:t>
      </w:r>
      <w:r w:rsidR="00423552">
        <w:fldChar w:fldCharType="begin"/>
      </w:r>
      <w:r w:rsidR="00FC3F50">
        <w:instrText xml:space="preserve"> SEQ Table \* ARABIC </w:instrText>
      </w:r>
      <w:r w:rsidR="00423552">
        <w:fldChar w:fldCharType="separate"/>
      </w:r>
      <w:r w:rsidR="002E4F77">
        <w:rPr>
          <w:noProof/>
        </w:rPr>
        <w:t>33</w:t>
      </w:r>
      <w:r w:rsidR="00423552">
        <w:fldChar w:fldCharType="end"/>
      </w:r>
      <w:r w:rsidR="005303DE">
        <w:t>. Study</w:t>
      </w:r>
      <w:r>
        <w:t xml:space="preserve"> 310 Serious Adverse Events Related to Study Treatment: Safety Population</w:t>
      </w:r>
      <w:bookmarkEnd w:id="141"/>
    </w:p>
    <w:p w:rsidR="00E07ECC" w:rsidRDefault="00E07ECC" w:rsidP="00081C6D">
      <w:pPr>
        <w:keepNext/>
        <w:autoSpaceDE w:val="0"/>
        <w:autoSpaceDN w:val="0"/>
        <w:adjustRightInd w:val="0"/>
      </w:pPr>
      <w:r>
        <w:rPr>
          <w:noProof/>
          <w:lang w:eastAsia="en-AU"/>
        </w:rPr>
        <w:drawing>
          <wp:inline distT="0" distB="0" distL="0" distR="0">
            <wp:extent cx="5684520" cy="4633595"/>
            <wp:effectExtent l="19050" t="0" r="0" b="0"/>
            <wp:docPr id="47" name="Picture 47" descr="Table 33. Study 310 Serious Adverse Events Related to Study Treatment: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cstate="print"/>
                    <a:srcRect/>
                    <a:stretch>
                      <a:fillRect/>
                    </a:stretch>
                  </pic:blipFill>
                  <pic:spPr bwMode="auto">
                    <a:xfrm>
                      <a:off x="0" y="0"/>
                      <a:ext cx="5684520" cy="4633595"/>
                    </a:xfrm>
                    <a:prstGeom prst="rect">
                      <a:avLst/>
                    </a:prstGeom>
                    <a:noFill/>
                    <a:ln w="9525">
                      <a:noFill/>
                      <a:miter lim="800000"/>
                      <a:headEnd/>
                      <a:tailEnd/>
                    </a:ln>
                  </pic:spPr>
                </pic:pic>
              </a:graphicData>
            </a:graphic>
          </wp:inline>
        </w:drawing>
      </w:r>
    </w:p>
    <w:p w:rsidR="005303DE" w:rsidRPr="00081C6D" w:rsidRDefault="00E07ECC" w:rsidP="00081C6D">
      <w:pPr>
        <w:keepNext/>
        <w:autoSpaceDE w:val="0"/>
        <w:autoSpaceDN w:val="0"/>
        <w:adjustRightInd w:val="0"/>
        <w:rPr>
          <w:sz w:val="18"/>
          <w:szCs w:val="18"/>
        </w:rPr>
      </w:pPr>
      <w:r w:rsidRPr="00081C6D">
        <w:rPr>
          <w:sz w:val="18"/>
          <w:szCs w:val="18"/>
        </w:rPr>
        <w:t>CBZ = carbamazepine; ZNS = zonisamide</w:t>
      </w:r>
      <w:r w:rsidRPr="00081C6D">
        <w:rPr>
          <w:sz w:val="18"/>
          <w:szCs w:val="18"/>
        </w:rPr>
        <w:tab/>
      </w:r>
      <w:r w:rsidRPr="00081C6D">
        <w:rPr>
          <w:sz w:val="18"/>
          <w:szCs w:val="18"/>
        </w:rPr>
        <w:tab/>
      </w:r>
      <w:r w:rsidRPr="00081C6D">
        <w:rPr>
          <w:sz w:val="18"/>
          <w:szCs w:val="18"/>
        </w:rPr>
        <w:tab/>
      </w:r>
    </w:p>
    <w:p w:rsidR="00E07ECC" w:rsidRDefault="00E07ECC" w:rsidP="005303DE">
      <w:pPr>
        <w:autoSpaceDE w:val="0"/>
        <w:autoSpaceDN w:val="0"/>
        <w:adjustRightInd w:val="0"/>
      </w:pPr>
      <w:r>
        <w:t xml:space="preserve">There were no treatment related SAEs in studies 304 and 355 and only </w:t>
      </w:r>
      <w:r w:rsidRPr="002B0A1A">
        <w:t xml:space="preserve">1 </w:t>
      </w:r>
      <w:r>
        <w:t>in</w:t>
      </w:r>
      <w:r w:rsidRPr="002B0A1A">
        <w:t xml:space="preserve"> study 314</w:t>
      </w:r>
      <w:r>
        <w:t>.</w:t>
      </w:r>
    </w:p>
    <w:p w:rsidR="00E07ECC" w:rsidRPr="00213E77" w:rsidRDefault="00E07ECC" w:rsidP="005303DE">
      <w:pPr>
        <w:pStyle w:val="Heading4"/>
      </w:pPr>
      <w:bookmarkStart w:id="142" w:name="_Toc241374320"/>
      <w:bookmarkStart w:id="143" w:name="_Ref272333507"/>
      <w:bookmarkStart w:id="144" w:name="_Toc272414666"/>
      <w:bookmarkStart w:id="145" w:name="_Toc290846304"/>
      <w:bookmarkStart w:id="146" w:name="_Toc290888841"/>
      <w:bookmarkStart w:id="147" w:name="_Toc326646525"/>
      <w:r>
        <w:t>Deaths and other serious adverse events</w:t>
      </w:r>
      <w:bookmarkEnd w:id="142"/>
      <w:bookmarkEnd w:id="143"/>
      <w:bookmarkEnd w:id="144"/>
      <w:bookmarkEnd w:id="145"/>
      <w:bookmarkEnd w:id="146"/>
      <w:bookmarkEnd w:id="147"/>
    </w:p>
    <w:p w:rsidR="00E07ECC" w:rsidRDefault="00E07ECC" w:rsidP="005303DE">
      <w:pPr>
        <w:pStyle w:val="Heading5"/>
      </w:pPr>
      <w:r>
        <w:t>Pivotal studies</w:t>
      </w:r>
    </w:p>
    <w:p w:rsidR="00E07ECC" w:rsidRDefault="005303DE" w:rsidP="005303DE">
      <w:r>
        <w:t>One</w:t>
      </w:r>
      <w:r w:rsidR="00E07ECC">
        <w:t xml:space="preserve"> death in </w:t>
      </w:r>
      <w:r w:rsidR="00E72353">
        <w:t>Study 3</w:t>
      </w:r>
      <w:r w:rsidR="00640C21">
        <w:t xml:space="preserve"> -</w:t>
      </w:r>
      <w:r w:rsidR="00E07ECC">
        <w:t xml:space="preserve"> unexplained cause. </w:t>
      </w:r>
    </w:p>
    <w:p w:rsidR="00E07ECC" w:rsidRDefault="00E07ECC" w:rsidP="005303DE">
      <w:pPr>
        <w:pStyle w:val="Heading5"/>
      </w:pPr>
      <w:r>
        <w:t>Other studies</w:t>
      </w:r>
    </w:p>
    <w:p w:rsidR="00E07ECC" w:rsidRDefault="005303DE" w:rsidP="005303DE">
      <w:r>
        <w:t xml:space="preserve">One </w:t>
      </w:r>
      <w:r w:rsidR="00E07ECC">
        <w:t xml:space="preserve">death in </w:t>
      </w:r>
      <w:r w:rsidR="00A20931">
        <w:t>Study 30</w:t>
      </w:r>
      <w:r w:rsidR="00E07ECC">
        <w:t>4</w:t>
      </w:r>
      <w:r w:rsidR="00640C21">
        <w:t xml:space="preserve"> - </w:t>
      </w:r>
      <w:r w:rsidR="00E07ECC">
        <w:t>due to RTA.</w:t>
      </w:r>
    </w:p>
    <w:p w:rsidR="00E07ECC" w:rsidRDefault="00E07ECC" w:rsidP="005303DE">
      <w:r>
        <w:t xml:space="preserve">8 subjects reported 12 SAEs in study 314, only 1 SAE (Hyponatraemia) was </w:t>
      </w:r>
      <w:r w:rsidRPr="00504B4D">
        <w:t>Treatment-related</w:t>
      </w:r>
      <w:r>
        <w:t>.</w:t>
      </w:r>
    </w:p>
    <w:p w:rsidR="00E07ECC" w:rsidRDefault="00E07ECC" w:rsidP="005303DE">
      <w:pPr>
        <w:pStyle w:val="Heading5"/>
      </w:pPr>
      <w:r>
        <w:lastRenderedPageBreak/>
        <w:t>Serious AEs</w:t>
      </w:r>
    </w:p>
    <w:p w:rsidR="00E07ECC" w:rsidRDefault="00E07ECC" w:rsidP="00FD4F49">
      <w:pPr>
        <w:pStyle w:val="TableTitle"/>
      </w:pPr>
      <w:bookmarkStart w:id="148" w:name="_Toc326646579"/>
      <w:r>
        <w:t xml:space="preserve">Table </w:t>
      </w:r>
      <w:r w:rsidR="00423552">
        <w:fldChar w:fldCharType="begin"/>
      </w:r>
      <w:r w:rsidR="00FC3F50">
        <w:instrText xml:space="preserve"> SEQ Table \* ARABIC </w:instrText>
      </w:r>
      <w:r w:rsidR="00423552">
        <w:fldChar w:fldCharType="separate"/>
      </w:r>
      <w:r w:rsidR="002E4F77">
        <w:rPr>
          <w:noProof/>
        </w:rPr>
        <w:t>34</w:t>
      </w:r>
      <w:r w:rsidR="00423552">
        <w:fldChar w:fldCharType="end"/>
      </w:r>
      <w:r w:rsidR="005303DE">
        <w:t>.</w:t>
      </w:r>
      <w:r>
        <w:t xml:space="preserve"> Incidence of Nonfatal Serious Adverse Events and Medical Events of Interest in the Phase 3 Zonisamide Monotherapy Studies: Safety Population</w:t>
      </w:r>
      <w:bookmarkEnd w:id="148"/>
    </w:p>
    <w:p w:rsidR="00E07ECC" w:rsidRDefault="00E07ECC" w:rsidP="005303DE">
      <w:pPr>
        <w:keepNext/>
      </w:pPr>
      <w:r>
        <w:rPr>
          <w:noProof/>
          <w:lang w:eastAsia="en-AU"/>
        </w:rPr>
        <w:drawing>
          <wp:inline distT="0" distB="0" distL="0" distR="0">
            <wp:extent cx="5834380" cy="1330960"/>
            <wp:effectExtent l="19050" t="0" r="0" b="0"/>
            <wp:docPr id="48" name="Picture 48" descr="Table 34. Incidence of Nonfatal Serious Adverse Events and Medical Events of Interest in the Phase 3 Zonisamide Monotherapy Studi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cstate="print"/>
                    <a:srcRect/>
                    <a:stretch>
                      <a:fillRect/>
                    </a:stretch>
                  </pic:blipFill>
                  <pic:spPr bwMode="auto">
                    <a:xfrm>
                      <a:off x="0" y="0"/>
                      <a:ext cx="5834380" cy="1330960"/>
                    </a:xfrm>
                    <a:prstGeom prst="rect">
                      <a:avLst/>
                    </a:prstGeom>
                    <a:noFill/>
                    <a:ln w="9525">
                      <a:noFill/>
                      <a:miter lim="800000"/>
                      <a:headEnd/>
                      <a:tailEnd/>
                    </a:ln>
                  </pic:spPr>
                </pic:pic>
              </a:graphicData>
            </a:graphic>
          </wp:inline>
        </w:drawing>
      </w:r>
    </w:p>
    <w:p w:rsidR="00E07ECC" w:rsidRPr="00081C6D" w:rsidRDefault="00E07ECC" w:rsidP="005303DE">
      <w:pPr>
        <w:keepNext/>
        <w:rPr>
          <w:sz w:val="18"/>
          <w:szCs w:val="18"/>
        </w:rPr>
      </w:pPr>
      <w:r w:rsidRPr="00081C6D">
        <w:rPr>
          <w:sz w:val="18"/>
          <w:szCs w:val="18"/>
        </w:rPr>
        <w:t>Note: Subjects are counted only once even though may have multiple categories.</w:t>
      </w:r>
      <w:r w:rsidRPr="00081C6D">
        <w:rPr>
          <w:sz w:val="18"/>
          <w:szCs w:val="18"/>
        </w:rPr>
        <w:tab/>
      </w:r>
    </w:p>
    <w:p w:rsidR="00E07ECC" w:rsidRPr="008F73B4" w:rsidRDefault="00E07ECC" w:rsidP="005303DE">
      <w:pPr>
        <w:pStyle w:val="Heading4"/>
      </w:pPr>
      <w:bookmarkStart w:id="149" w:name="_Toc241374325"/>
      <w:bookmarkStart w:id="150" w:name="_Ref272333477"/>
      <w:bookmarkStart w:id="151" w:name="_Toc272414667"/>
      <w:bookmarkStart w:id="152" w:name="_Toc290846305"/>
      <w:bookmarkStart w:id="153" w:name="_Toc290888842"/>
      <w:bookmarkStart w:id="154" w:name="_Toc326646526"/>
      <w:r>
        <w:t>Discontinuation due to adverse events</w:t>
      </w:r>
      <w:bookmarkEnd w:id="149"/>
      <w:bookmarkEnd w:id="150"/>
      <w:bookmarkEnd w:id="151"/>
      <w:bookmarkEnd w:id="152"/>
      <w:bookmarkEnd w:id="153"/>
      <w:bookmarkEnd w:id="154"/>
    </w:p>
    <w:p w:rsidR="00E07ECC" w:rsidRDefault="00E07ECC" w:rsidP="005303DE">
      <w:pPr>
        <w:pStyle w:val="Heading5"/>
      </w:pPr>
      <w:r>
        <w:t>Pivotal studies</w:t>
      </w:r>
    </w:p>
    <w:p w:rsidR="00E07ECC" w:rsidRDefault="00E07ECC" w:rsidP="005303DE">
      <w:r>
        <w:t>In Study 310, 42.9% of ZNS-treated subjects and 36.2% of CBZ-treated subjects discontinued from the study; the primary reasons for premature withdrawal were AEs (ZNS, 11.0%; CBZ, 11.6%) and withdrawal of consent (ZNS, 12.4%; CBZ, 8.0%).</w:t>
      </w:r>
    </w:p>
    <w:p w:rsidR="00E07ECC" w:rsidRDefault="00E07ECC" w:rsidP="00FD4F49">
      <w:pPr>
        <w:pStyle w:val="TableTitle"/>
      </w:pPr>
      <w:bookmarkStart w:id="155" w:name="_Toc326646580"/>
      <w:r>
        <w:t xml:space="preserve">Table </w:t>
      </w:r>
      <w:r w:rsidR="00423552">
        <w:fldChar w:fldCharType="begin"/>
      </w:r>
      <w:r>
        <w:instrText xml:space="preserve"> SEQ Table \* ARABIC </w:instrText>
      </w:r>
      <w:r w:rsidR="00423552">
        <w:fldChar w:fldCharType="separate"/>
      </w:r>
      <w:r w:rsidR="002E4F77">
        <w:rPr>
          <w:noProof/>
        </w:rPr>
        <w:t>35</w:t>
      </w:r>
      <w:r w:rsidR="00423552">
        <w:fldChar w:fldCharType="end"/>
      </w:r>
      <w:r w:rsidR="005303DE">
        <w:t>.</w:t>
      </w:r>
      <w:r>
        <w:t xml:space="preserve"> 310 Incidence of Treatment-Emergent Adverse Events that Resulted in Discontinuation of Therapy in &gt; 1 Subject in Either Group Safety Population</w:t>
      </w:r>
      <w:bookmarkEnd w:id="155"/>
    </w:p>
    <w:p w:rsidR="00E07ECC" w:rsidRDefault="00E07ECC" w:rsidP="00E07ECC">
      <w:r>
        <w:rPr>
          <w:noProof/>
          <w:u w:val="single"/>
          <w:lang w:eastAsia="en-AU"/>
        </w:rPr>
        <w:drawing>
          <wp:inline distT="0" distB="0" distL="0" distR="0">
            <wp:extent cx="4988560" cy="3998595"/>
            <wp:effectExtent l="19050" t="0" r="2540" b="0"/>
            <wp:docPr id="49" name="Picture 49" descr="Table 35. 310 Incidence of Treatment-Emergent Adverse Events that Resulted in Discontinuation of Therapy in &gt; 1 Subject in Either Group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cstate="print"/>
                    <a:srcRect/>
                    <a:stretch>
                      <a:fillRect/>
                    </a:stretch>
                  </pic:blipFill>
                  <pic:spPr bwMode="auto">
                    <a:xfrm>
                      <a:off x="0" y="0"/>
                      <a:ext cx="4988560" cy="3998595"/>
                    </a:xfrm>
                    <a:prstGeom prst="rect">
                      <a:avLst/>
                    </a:prstGeom>
                    <a:noFill/>
                    <a:ln w="9525">
                      <a:noFill/>
                      <a:miter lim="800000"/>
                      <a:headEnd/>
                      <a:tailEnd/>
                    </a:ln>
                  </pic:spPr>
                </pic:pic>
              </a:graphicData>
            </a:graphic>
          </wp:inline>
        </w:drawing>
      </w:r>
    </w:p>
    <w:p w:rsidR="00E07ECC" w:rsidRPr="00A20931" w:rsidRDefault="00E07ECC" w:rsidP="00E07ECC">
      <w:pPr>
        <w:rPr>
          <w:sz w:val="18"/>
          <w:szCs w:val="18"/>
        </w:rPr>
      </w:pPr>
      <w:r w:rsidRPr="00A20931">
        <w:rPr>
          <w:sz w:val="18"/>
          <w:szCs w:val="18"/>
        </w:rPr>
        <w:t>Subjects could have more than one category TEAE leading to withdrawal.</w:t>
      </w:r>
      <w:r w:rsidR="005303DE" w:rsidRPr="00A20931">
        <w:rPr>
          <w:sz w:val="18"/>
          <w:szCs w:val="18"/>
        </w:rPr>
        <w:t xml:space="preserve"> </w:t>
      </w:r>
      <w:r w:rsidRPr="00A20931">
        <w:rPr>
          <w:sz w:val="18"/>
          <w:szCs w:val="18"/>
        </w:rPr>
        <w:t>For each row category, a subject with two or more adverse events in that category is counted only once.</w:t>
      </w:r>
      <w:r w:rsidR="005303DE" w:rsidRPr="00A20931">
        <w:rPr>
          <w:sz w:val="18"/>
          <w:szCs w:val="18"/>
        </w:rPr>
        <w:t xml:space="preserve"> </w:t>
      </w:r>
      <w:r w:rsidRPr="00A20931">
        <w:rPr>
          <w:sz w:val="18"/>
          <w:szCs w:val="18"/>
          <w:vertAlign w:val="superscript"/>
        </w:rPr>
        <w:t>a</w:t>
      </w:r>
      <w:r w:rsidRPr="00A20931">
        <w:rPr>
          <w:sz w:val="18"/>
          <w:szCs w:val="18"/>
        </w:rPr>
        <w:t xml:space="preserve"> SOC values are representative of all TEAEs in that particular SOC.</w:t>
      </w:r>
    </w:p>
    <w:p w:rsidR="00E07ECC" w:rsidRPr="00DE5C15" w:rsidRDefault="00E07ECC" w:rsidP="00E07ECC">
      <w:pPr>
        <w:rPr>
          <w:sz w:val="16"/>
        </w:rPr>
      </w:pPr>
    </w:p>
    <w:p w:rsidR="00E07ECC" w:rsidRDefault="00E07ECC" w:rsidP="005303DE">
      <w:pPr>
        <w:pStyle w:val="Heading5"/>
      </w:pPr>
      <w:r>
        <w:lastRenderedPageBreak/>
        <w:t>Other studies</w:t>
      </w:r>
    </w:p>
    <w:p w:rsidR="00E07ECC" w:rsidRDefault="00E07ECC" w:rsidP="00E07ECC">
      <w:pPr>
        <w:autoSpaceDE w:val="0"/>
        <w:autoSpaceDN w:val="0"/>
        <w:adjustRightInd w:val="0"/>
        <w:spacing w:after="60"/>
      </w:pPr>
      <w:r>
        <w:t>The proportion of subjects who withdrew due to an AE increased with higher dose level in Study 304: 3.6% in the 25mg/d treatment group, 9.3% in the 10</w:t>
      </w:r>
      <w:r w:rsidR="000A6651">
        <w:t>0 mg</w:t>
      </w:r>
      <w:r>
        <w:t>/d treatment group, and 13.6% in the 30</w:t>
      </w:r>
      <w:r w:rsidR="000A6651">
        <w:t>0 mg</w:t>
      </w:r>
      <w:r>
        <w:t>/d treatment group. Premature withdrawals due to withdrawn consent or protocol deviations were also more frequent at the higher dose levels in Study 304.</w:t>
      </w:r>
    </w:p>
    <w:p w:rsidR="00E07ECC" w:rsidRDefault="00E07ECC" w:rsidP="00FD4F49">
      <w:pPr>
        <w:pStyle w:val="TableTitle"/>
      </w:pPr>
      <w:bookmarkStart w:id="156" w:name="_Toc326646581"/>
      <w:r>
        <w:t xml:space="preserve">Table </w:t>
      </w:r>
      <w:r w:rsidR="00423552">
        <w:fldChar w:fldCharType="begin"/>
      </w:r>
      <w:r w:rsidR="00FC3F50">
        <w:instrText xml:space="preserve"> SEQ Table \* ARABIC </w:instrText>
      </w:r>
      <w:r w:rsidR="00423552">
        <w:fldChar w:fldCharType="separate"/>
      </w:r>
      <w:r w:rsidR="002E4F77">
        <w:rPr>
          <w:noProof/>
        </w:rPr>
        <w:t>36</w:t>
      </w:r>
      <w:r w:rsidR="00423552">
        <w:fldChar w:fldCharType="end"/>
      </w:r>
      <w:r w:rsidR="005303DE">
        <w:t>.</w:t>
      </w:r>
      <w:r>
        <w:t xml:space="preserve"> Treatment-Emergent Adverse Events That Led to Withdrawal (Safety Population)</w:t>
      </w:r>
      <w:bookmarkEnd w:id="156"/>
    </w:p>
    <w:p w:rsidR="00E07ECC" w:rsidRDefault="00E07ECC" w:rsidP="00081C6D">
      <w:pPr>
        <w:keepLines/>
        <w:autoSpaceDE w:val="0"/>
        <w:autoSpaceDN w:val="0"/>
        <w:adjustRightInd w:val="0"/>
      </w:pPr>
      <w:r>
        <w:rPr>
          <w:noProof/>
          <w:lang w:eastAsia="en-AU"/>
        </w:rPr>
        <w:drawing>
          <wp:inline distT="0" distB="0" distL="0" distR="0">
            <wp:extent cx="4305300" cy="4140913"/>
            <wp:effectExtent l="19050" t="0" r="0" b="0"/>
            <wp:docPr id="50" name="Picture 50" descr="Table 36. Treatment-Emergent Adverse Events That Led to Withdrawal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cstate="print"/>
                    <a:srcRect b="1717"/>
                    <a:stretch>
                      <a:fillRect/>
                    </a:stretch>
                  </pic:blipFill>
                  <pic:spPr bwMode="auto">
                    <a:xfrm>
                      <a:off x="0" y="0"/>
                      <a:ext cx="4306550" cy="4142115"/>
                    </a:xfrm>
                    <a:prstGeom prst="rect">
                      <a:avLst/>
                    </a:prstGeom>
                    <a:noFill/>
                    <a:ln w="9525">
                      <a:noFill/>
                      <a:miter lim="800000"/>
                      <a:headEnd/>
                      <a:tailEnd/>
                    </a:ln>
                  </pic:spPr>
                </pic:pic>
              </a:graphicData>
            </a:graphic>
          </wp:inline>
        </w:drawing>
      </w:r>
    </w:p>
    <w:p w:rsidR="00A20931" w:rsidRDefault="00081C6D" w:rsidP="00A20931">
      <w:pPr>
        <w:keepLines/>
        <w:autoSpaceDE w:val="0"/>
        <w:autoSpaceDN w:val="0"/>
        <w:adjustRightInd w:val="0"/>
      </w:pPr>
      <w:r>
        <w:rPr>
          <w:noProof/>
          <w:lang w:eastAsia="en-AU"/>
        </w:rPr>
        <w:drawing>
          <wp:inline distT="0" distB="0" distL="0" distR="0">
            <wp:extent cx="4305300" cy="2193298"/>
            <wp:effectExtent l="19050" t="0" r="0" b="0"/>
            <wp:docPr id="63" name="Picture 51" descr="Table 36 continued. Treatment-Emergent Adverse Events That Led to Withdrawal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cstate="print"/>
                    <a:srcRect/>
                    <a:stretch>
                      <a:fillRect/>
                    </a:stretch>
                  </pic:blipFill>
                  <pic:spPr bwMode="auto">
                    <a:xfrm>
                      <a:off x="0" y="0"/>
                      <a:ext cx="4312874" cy="2197157"/>
                    </a:xfrm>
                    <a:prstGeom prst="rect">
                      <a:avLst/>
                    </a:prstGeom>
                    <a:noFill/>
                    <a:ln w="9525">
                      <a:noFill/>
                      <a:miter lim="800000"/>
                      <a:headEnd/>
                      <a:tailEnd/>
                    </a:ln>
                  </pic:spPr>
                </pic:pic>
              </a:graphicData>
            </a:graphic>
          </wp:inline>
        </w:drawing>
      </w:r>
    </w:p>
    <w:p w:rsidR="00E07ECC" w:rsidRPr="00A20931" w:rsidRDefault="00E07ECC" w:rsidP="00A20931">
      <w:pPr>
        <w:keepLines/>
        <w:autoSpaceDE w:val="0"/>
        <w:autoSpaceDN w:val="0"/>
        <w:adjustRightInd w:val="0"/>
      </w:pPr>
      <w:r w:rsidRPr="00081C6D">
        <w:rPr>
          <w:bCs/>
          <w:sz w:val="18"/>
          <w:szCs w:val="18"/>
        </w:rPr>
        <w:t>[Number (%) of Subjects]</w:t>
      </w:r>
      <w:r w:rsidR="005303DE" w:rsidRPr="00081C6D">
        <w:rPr>
          <w:bCs/>
          <w:sz w:val="18"/>
          <w:szCs w:val="18"/>
        </w:rPr>
        <w:t xml:space="preserve">. </w:t>
      </w:r>
      <w:r w:rsidRPr="00081C6D">
        <w:rPr>
          <w:sz w:val="18"/>
          <w:szCs w:val="18"/>
          <w:vertAlign w:val="superscript"/>
        </w:rPr>
        <w:t>a</w:t>
      </w:r>
      <w:r w:rsidRPr="00081C6D">
        <w:rPr>
          <w:sz w:val="18"/>
          <w:szCs w:val="18"/>
        </w:rPr>
        <w:t xml:space="preserve"> This number does not include Subjects 501 or 6804, both of whom are included in the calculation of time to withdrawal due to AEs for the efficacy section (see Table 10). The study completion CRF for Subject 501 indicates withdrawal due to AE; however, none of the AEs reported for Subject 501 had an action of discontinued. Subject 6804 died due to an accidental injury; discontinuation was not recorded on the AE CRF for Subject 6804.</w:t>
      </w:r>
      <w:r w:rsidR="005303DE" w:rsidRPr="00081C6D">
        <w:rPr>
          <w:sz w:val="18"/>
          <w:szCs w:val="18"/>
        </w:rPr>
        <w:t xml:space="preserve"> </w:t>
      </w:r>
      <w:r w:rsidRPr="00081C6D">
        <w:rPr>
          <w:sz w:val="18"/>
          <w:szCs w:val="18"/>
          <w:vertAlign w:val="superscript"/>
        </w:rPr>
        <w:t>b</w:t>
      </w:r>
      <w:r w:rsidRPr="00081C6D">
        <w:rPr>
          <w:sz w:val="18"/>
          <w:szCs w:val="18"/>
        </w:rPr>
        <w:t xml:space="preserve"> Treatment-related.</w:t>
      </w:r>
    </w:p>
    <w:p w:rsidR="00E07ECC" w:rsidRDefault="00E07ECC" w:rsidP="00081C6D">
      <w:pPr>
        <w:autoSpaceDE w:val="0"/>
        <w:autoSpaceDN w:val="0"/>
        <w:adjustRightInd w:val="0"/>
        <w:spacing w:after="60"/>
      </w:pPr>
      <w:r>
        <w:lastRenderedPageBreak/>
        <w:t xml:space="preserve">Based on preliminary, unaudited data in the Study 314 clinical database as of 31 Dec 2010, of 133 subjects in the zonisamide group, and 150 subjects in the carbamazapine group, 8.3% of zonisamide treated subjects and 11.3% of carbamazapine treated subjects discontinued from the study. The most common reason for discontinuation was withdrawal of consent (on zonisamide 1 withdrew due to depressed mood AE, 1 other AE NOS, 2 on carbamazapine withdrew doe to AEs). </w:t>
      </w:r>
    </w:p>
    <w:p w:rsidR="00E07ECC" w:rsidRDefault="00E07ECC" w:rsidP="005303DE">
      <w:pPr>
        <w:pStyle w:val="Heading3"/>
      </w:pPr>
      <w:bookmarkStart w:id="157" w:name="_Toc241374321"/>
      <w:bookmarkStart w:id="158" w:name="_Ref271044780"/>
      <w:bookmarkStart w:id="159" w:name="_Ref271196640"/>
      <w:bookmarkStart w:id="160" w:name="_Ref272333085"/>
      <w:bookmarkStart w:id="161" w:name="_Toc272414668"/>
      <w:bookmarkStart w:id="162" w:name="_Toc290846306"/>
      <w:bookmarkStart w:id="163" w:name="_Toc290888843"/>
      <w:bookmarkStart w:id="164" w:name="_Toc326646527"/>
      <w:bookmarkStart w:id="165" w:name="_Toc359237260"/>
      <w:r>
        <w:t>Laboratory tests</w:t>
      </w:r>
      <w:bookmarkEnd w:id="157"/>
      <w:bookmarkEnd w:id="158"/>
      <w:bookmarkEnd w:id="159"/>
      <w:bookmarkEnd w:id="160"/>
      <w:bookmarkEnd w:id="161"/>
      <w:bookmarkEnd w:id="162"/>
      <w:bookmarkEnd w:id="163"/>
      <w:bookmarkEnd w:id="164"/>
      <w:bookmarkEnd w:id="165"/>
    </w:p>
    <w:p w:rsidR="00E07ECC" w:rsidRDefault="00E07ECC" w:rsidP="005303DE">
      <w:pPr>
        <w:pStyle w:val="Heading4"/>
      </w:pPr>
      <w:bookmarkStart w:id="166" w:name="_Toc272414672"/>
      <w:bookmarkStart w:id="167" w:name="_Toc290846310"/>
      <w:bookmarkStart w:id="168" w:name="_Toc290888847"/>
      <w:bookmarkStart w:id="169" w:name="_Toc326646528"/>
      <w:r>
        <w:t>Haematology</w:t>
      </w:r>
      <w:bookmarkEnd w:id="166"/>
      <w:bookmarkEnd w:id="167"/>
      <w:bookmarkEnd w:id="168"/>
      <w:bookmarkEnd w:id="169"/>
    </w:p>
    <w:p w:rsidR="00E07ECC" w:rsidRDefault="00E07ECC" w:rsidP="005303DE">
      <w:r>
        <w:t>There were no findings inconsistent with normal laboratory patterns over time.</w:t>
      </w:r>
    </w:p>
    <w:p w:rsidR="00E07ECC" w:rsidRDefault="00E07ECC" w:rsidP="005303DE">
      <w:pPr>
        <w:pStyle w:val="Heading4"/>
      </w:pPr>
      <w:bookmarkStart w:id="170" w:name="_Toc272414671"/>
      <w:bookmarkStart w:id="171" w:name="_Toc290846309"/>
      <w:bookmarkStart w:id="172" w:name="_Toc290888846"/>
      <w:bookmarkStart w:id="173" w:name="_Toc326646529"/>
      <w:r>
        <w:t>Other clinical chemistry</w:t>
      </w:r>
      <w:bookmarkEnd w:id="170"/>
      <w:bookmarkEnd w:id="171"/>
      <w:bookmarkEnd w:id="172"/>
      <w:bookmarkEnd w:id="173"/>
    </w:p>
    <w:p w:rsidR="00E07ECC" w:rsidRDefault="00E07ECC" w:rsidP="00E72353">
      <w:r>
        <w:t xml:space="preserve">There were no findings inconsistent with normal laboratory patterns over time with the exception of bicarbonate. In </w:t>
      </w:r>
      <w:r w:rsidR="00E72353">
        <w:t>Study 3</w:t>
      </w:r>
      <w:r w:rsidRPr="005936F3">
        <w:rPr>
          <w:rFonts w:ascii="TimesNewRomanPSMT" w:hAnsi="TimesNewRomanPSMT" w:cs="TimesNewRomanPSMT"/>
          <w:color w:val="000000"/>
          <w:sz w:val="24"/>
        </w:rPr>
        <w:t xml:space="preserve"> </w:t>
      </w:r>
      <w:r w:rsidRPr="005936F3">
        <w:t xml:space="preserve">the decreases (mean −2.8 mmol/L at </w:t>
      </w:r>
      <w:r>
        <w:t xml:space="preserve">final visit </w:t>
      </w:r>
      <w:r w:rsidRPr="005936F3">
        <w:t>were generally small to moderate, similar to what has been described in previous</w:t>
      </w:r>
      <w:r>
        <w:t xml:space="preserve"> </w:t>
      </w:r>
      <w:r w:rsidRPr="005936F3">
        <w:t>Trials</w:t>
      </w:r>
      <w:r>
        <w:t xml:space="preserve">. </w:t>
      </w:r>
      <w:r w:rsidRPr="005936F3">
        <w:t xml:space="preserve">Decreases from Baseline of </w:t>
      </w:r>
      <w:r w:rsidR="00E72353">
        <w:t>≥</w:t>
      </w:r>
      <w:r w:rsidRPr="005936F3">
        <w:t xml:space="preserve"> 3.5 mmol/L were </w:t>
      </w:r>
      <w:r>
        <w:t xml:space="preserve">seen in 121 subjects </w:t>
      </w:r>
      <w:r w:rsidRPr="005936F3">
        <w:t xml:space="preserve">(51.1%) in the </w:t>
      </w:r>
      <w:r>
        <w:t xml:space="preserve">zonisamide </w:t>
      </w:r>
      <w:r w:rsidRPr="005936F3">
        <w:t xml:space="preserve">group and 45 subjects (17.4%) in the </w:t>
      </w:r>
      <w:r>
        <w:t xml:space="preserve">carbamazapine </w:t>
      </w:r>
      <w:r w:rsidRPr="005936F3">
        <w:t xml:space="preserve">group. Nine </w:t>
      </w:r>
      <w:r>
        <w:t xml:space="preserve">zonisamide </w:t>
      </w:r>
      <w:r w:rsidRPr="005936F3">
        <w:t xml:space="preserve">treated subjects (3.8%) and 1 </w:t>
      </w:r>
      <w:r>
        <w:t xml:space="preserve">carbamazapine treated subject (0.4%) had a </w:t>
      </w:r>
      <w:r w:rsidRPr="005936F3">
        <w:t xml:space="preserve">bicarbonate value of </w:t>
      </w:r>
      <w:r w:rsidR="00E72353">
        <w:t>≤</w:t>
      </w:r>
      <w:r w:rsidRPr="005936F3">
        <w:t xml:space="preserve"> 16 mmol/L and a decrease from Baseline of</w:t>
      </w:r>
      <w:r w:rsidR="00E72353">
        <w:t xml:space="preserve"> ≥</w:t>
      </w:r>
      <w:r w:rsidRPr="005936F3">
        <w:t xml:space="preserve"> 6 mmol/L.</w:t>
      </w:r>
    </w:p>
    <w:p w:rsidR="00E07ECC" w:rsidRDefault="00E07ECC" w:rsidP="00E72353">
      <w:r>
        <w:t xml:space="preserve">In </w:t>
      </w:r>
      <w:r w:rsidR="00A20931">
        <w:t>Study 30</w:t>
      </w:r>
      <w:r>
        <w:t xml:space="preserve">4 subjects who had a baseline serum bicarbonate level </w:t>
      </w:r>
      <w:r w:rsidR="00E72353">
        <w:t>≥</w:t>
      </w:r>
      <w:r>
        <w:t xml:space="preserve"> 17 mEq/L, the incidence of subjects with post baseline levels &lt; 17 mEq/L with a corresponding decrease from baseline &gt; 5 mEq/L) at any visit was 3.8% in the 25-mg/d group, 4.2% in the 100-mg/d group, and 15.7% in the 300-mg/d group</w:t>
      </w:r>
    </w:p>
    <w:p w:rsidR="00E07ECC" w:rsidRDefault="00E07ECC" w:rsidP="00E72353">
      <w:r w:rsidRPr="00D659F9">
        <w:t>Two subjects, both in the 300-mg/day group, had post baseline serum chloride levels over</w:t>
      </w:r>
      <w:r>
        <w:t xml:space="preserve"> </w:t>
      </w:r>
      <w:r w:rsidRPr="00D659F9">
        <w:t>115 mEq/L; both subjects had serum chloride levels within the normal range at Week 40.</w:t>
      </w:r>
    </w:p>
    <w:p w:rsidR="00E07ECC" w:rsidRDefault="00E07ECC" w:rsidP="00E72353">
      <w:r>
        <w:t xml:space="preserve">In the extension study </w:t>
      </w:r>
      <w:r w:rsidRPr="00D659F9">
        <w:t>355</w:t>
      </w:r>
      <w:r>
        <w:t xml:space="preserve"> clinically notable decreases in serum calcium were detected in 3 subjects on 10</w:t>
      </w:r>
      <w:r w:rsidR="000A6651">
        <w:t>0 mg</w:t>
      </w:r>
      <w:r>
        <w:t xml:space="preserve"> of zonisamide . Five subjects on 10</w:t>
      </w:r>
      <w:r w:rsidR="000A6651">
        <w:t>0 mg</w:t>
      </w:r>
      <w:r>
        <w:t xml:space="preserve"> had clinically notable elevations in serum alkaline phosphatase, remaining abnormal at the final visit in 3 cases. </w:t>
      </w:r>
    </w:p>
    <w:p w:rsidR="00E07ECC" w:rsidRDefault="00E07ECC" w:rsidP="00E72353">
      <w:pPr>
        <w:pStyle w:val="Heading4"/>
      </w:pPr>
      <w:bookmarkStart w:id="174" w:name="_Toc272414676"/>
      <w:bookmarkStart w:id="175" w:name="_Toc290846314"/>
      <w:bookmarkStart w:id="176" w:name="_Toc290888851"/>
      <w:bookmarkStart w:id="177" w:name="_Toc326646530"/>
      <w:r w:rsidRPr="006D7CD0">
        <w:t>Vital signs</w:t>
      </w:r>
      <w:bookmarkStart w:id="178" w:name="_Toc272414675"/>
      <w:bookmarkStart w:id="179" w:name="_Toc290846313"/>
      <w:bookmarkStart w:id="180" w:name="_Toc290888850"/>
      <w:bookmarkEnd w:id="174"/>
      <w:bookmarkEnd w:id="175"/>
      <w:bookmarkEnd w:id="176"/>
      <w:r w:rsidRPr="006D7CD0">
        <w:t>, Electrocardiograph</w:t>
      </w:r>
      <w:bookmarkEnd w:id="178"/>
      <w:bookmarkEnd w:id="179"/>
      <w:bookmarkEnd w:id="180"/>
      <w:r w:rsidR="00A20931">
        <w:t xml:space="preserve">, </w:t>
      </w:r>
      <w:r w:rsidRPr="006D7CD0">
        <w:t xml:space="preserve"> </w:t>
      </w:r>
      <w:r w:rsidR="00A20931">
        <w:t>P</w:t>
      </w:r>
      <w:r w:rsidRPr="006D7CD0">
        <w:t>hysical signs</w:t>
      </w:r>
      <w:bookmarkEnd w:id="177"/>
      <w:r>
        <w:t xml:space="preserve"> </w:t>
      </w:r>
    </w:p>
    <w:p w:rsidR="00E07ECC" w:rsidRDefault="00E07ECC" w:rsidP="00E07ECC">
      <w:pPr>
        <w:spacing w:after="60"/>
      </w:pPr>
      <w:r w:rsidRPr="006D7CD0">
        <w:t>There were no unexpected findings</w:t>
      </w:r>
      <w:r>
        <w:t>.</w:t>
      </w:r>
    </w:p>
    <w:p w:rsidR="00E07ECC" w:rsidRDefault="00E07ECC" w:rsidP="00E07ECC">
      <w:pPr>
        <w:spacing w:after="60"/>
      </w:pPr>
      <w:r>
        <w:t xml:space="preserve">In </w:t>
      </w:r>
      <w:r w:rsidR="00E72353">
        <w:t>Study 3</w:t>
      </w:r>
      <w:r>
        <w:t>, 36 zonisamide subjects (13.2%) and 4 carbamazapine subjects (1.4%) had &gt; 10% body weight loss at any post-Baseline visit, but only 6.8% (zonisamide only) of subjects reported as TEAEs.</w:t>
      </w:r>
      <w:r w:rsidRPr="002A07A2">
        <w:t xml:space="preserve"> Two subjects, both on </w:t>
      </w:r>
      <w:r>
        <w:t xml:space="preserve">zonisamide </w:t>
      </w:r>
      <w:r w:rsidRPr="002A07A2">
        <w:t>treatment, had &gt; 20% body weight loss.</w:t>
      </w:r>
    </w:p>
    <w:p w:rsidR="00E07ECC" w:rsidRDefault="00E07ECC" w:rsidP="00E07ECC">
      <w:pPr>
        <w:spacing w:after="60"/>
      </w:pPr>
      <w:r>
        <w:t xml:space="preserve">In </w:t>
      </w:r>
      <w:r w:rsidR="00A20931">
        <w:t>Study 30</w:t>
      </w:r>
      <w:r>
        <w:t>4, 7 subjects lost 10 – 19% body weight.</w:t>
      </w:r>
    </w:p>
    <w:p w:rsidR="00E07ECC" w:rsidRDefault="00E07ECC" w:rsidP="00E72353">
      <w:pPr>
        <w:pStyle w:val="Heading3"/>
      </w:pPr>
      <w:bookmarkStart w:id="181" w:name="_Toc241374326"/>
      <w:bookmarkStart w:id="182" w:name="_Ref272333048"/>
      <w:bookmarkStart w:id="183" w:name="_Toc272414679"/>
      <w:bookmarkStart w:id="184" w:name="_Toc290846317"/>
      <w:bookmarkStart w:id="185" w:name="_Toc290888854"/>
      <w:bookmarkStart w:id="186" w:name="_Toc326646531"/>
      <w:bookmarkStart w:id="187" w:name="_Toc359237261"/>
      <w:r>
        <w:t>Postmarketing experience</w:t>
      </w:r>
      <w:bookmarkEnd w:id="181"/>
      <w:bookmarkEnd w:id="182"/>
      <w:bookmarkEnd w:id="183"/>
      <w:bookmarkEnd w:id="184"/>
      <w:bookmarkEnd w:id="185"/>
      <w:bookmarkEnd w:id="186"/>
      <w:bookmarkEnd w:id="187"/>
    </w:p>
    <w:p w:rsidR="00E07ECC" w:rsidRDefault="00E07ECC" w:rsidP="00E72353">
      <w:r>
        <w:t>Not submitted. The only data was in the Clinical Overview:</w:t>
      </w:r>
    </w:p>
    <w:p w:rsidR="00E07ECC" w:rsidRPr="0099771D" w:rsidRDefault="00E07ECC" w:rsidP="00E72353">
      <w:r w:rsidRPr="0099771D">
        <w:t xml:space="preserve">In the 8th PSUR of 01 April 2010 to 31 March 2011, it is estimated that there have been over 52,970,000 patient-days of exposure to </w:t>
      </w:r>
      <w:r>
        <w:t xml:space="preserve">zonisamide </w:t>
      </w:r>
      <w:r w:rsidRPr="0099771D">
        <w:t>(including over 100,000 patient-days of exposure in clinical trials), based on consumption data from the US, Japan, EU, and Korea.</w:t>
      </w:r>
    </w:p>
    <w:p w:rsidR="00E07ECC" w:rsidRDefault="00E07ECC" w:rsidP="00E72353">
      <w:pPr>
        <w:pStyle w:val="Heading3"/>
      </w:pPr>
      <w:bookmarkStart w:id="188" w:name="_Toc241374328"/>
      <w:bookmarkStart w:id="189" w:name="_Toc272414691"/>
      <w:bookmarkStart w:id="190" w:name="_Toc290846329"/>
      <w:bookmarkStart w:id="191" w:name="_Toc290888866"/>
      <w:bookmarkStart w:id="192" w:name="_Toc326646532"/>
      <w:bookmarkStart w:id="193" w:name="_Toc359237262"/>
      <w:r>
        <w:t>Evaluator’s overall conclusions on clinical safety</w:t>
      </w:r>
      <w:bookmarkEnd w:id="188"/>
      <w:bookmarkEnd w:id="189"/>
      <w:bookmarkEnd w:id="190"/>
      <w:bookmarkEnd w:id="191"/>
      <w:bookmarkEnd w:id="192"/>
      <w:bookmarkEnd w:id="193"/>
    </w:p>
    <w:p w:rsidR="00E07ECC" w:rsidRDefault="00E07ECC" w:rsidP="00E07ECC">
      <w:r>
        <w:t>While the submission does not raise any new concerns regarding safety. Any risks of the new once daily regime for titration were not reviewed in the submission.</w:t>
      </w:r>
    </w:p>
    <w:p w:rsidR="00C22678" w:rsidRDefault="00C22678" w:rsidP="00E72353">
      <w:pPr>
        <w:pStyle w:val="Heading2"/>
      </w:pPr>
      <w:bookmarkStart w:id="194" w:name="_Toc359237263"/>
      <w:r>
        <w:lastRenderedPageBreak/>
        <w:t>First round benefit-risk assessment</w:t>
      </w:r>
      <w:bookmarkEnd w:id="194"/>
    </w:p>
    <w:p w:rsidR="00E07ECC" w:rsidRDefault="00E07ECC" w:rsidP="00E72353">
      <w:pPr>
        <w:pStyle w:val="Heading3"/>
      </w:pPr>
      <w:bookmarkStart w:id="195" w:name="_Toc236802592"/>
      <w:bookmarkStart w:id="196" w:name="_Toc241374331"/>
      <w:bookmarkStart w:id="197" w:name="_Ref272160836"/>
      <w:bookmarkStart w:id="198" w:name="_Toc272414693"/>
      <w:bookmarkStart w:id="199" w:name="_Toc290846331"/>
      <w:bookmarkStart w:id="200" w:name="_Toc290888868"/>
      <w:bookmarkStart w:id="201" w:name="_Toc326646534"/>
      <w:bookmarkStart w:id="202" w:name="_Toc359237264"/>
      <w:r>
        <w:t>First round assessment of benefits</w:t>
      </w:r>
      <w:bookmarkEnd w:id="195"/>
      <w:bookmarkEnd w:id="196"/>
      <w:bookmarkEnd w:id="197"/>
      <w:bookmarkEnd w:id="198"/>
      <w:bookmarkEnd w:id="199"/>
      <w:bookmarkEnd w:id="200"/>
      <w:bookmarkEnd w:id="201"/>
      <w:bookmarkEnd w:id="202"/>
    </w:p>
    <w:p w:rsidR="00E07ECC" w:rsidRDefault="00E07ECC" w:rsidP="00E07ECC">
      <w:pPr>
        <w:spacing w:after="60"/>
      </w:pPr>
      <w:r>
        <w:t>The benefits of zonisamide in the proposed usage are:</w:t>
      </w:r>
    </w:p>
    <w:p w:rsidR="00E07ECC" w:rsidRDefault="00E07ECC" w:rsidP="00E72353">
      <w:pPr>
        <w:pStyle w:val="ListBullet"/>
      </w:pPr>
      <w:r>
        <w:t>The provision of an alternative monotherapy antiepileptic drug, that appears to have a different mode of action</w:t>
      </w:r>
      <w:r w:rsidR="00640C21">
        <w:t xml:space="preserve">. </w:t>
      </w:r>
      <w:r>
        <w:t xml:space="preserve">However this was subject to the acceptance of the amended non- inferiority margin in </w:t>
      </w:r>
      <w:r w:rsidR="00E72353">
        <w:t>Study 3</w:t>
      </w:r>
      <w:r>
        <w:t>, and then only applied to the population of that study not that of the proposed Indication.</w:t>
      </w:r>
    </w:p>
    <w:p w:rsidR="00E07ECC" w:rsidRDefault="00E07ECC" w:rsidP="00E72353">
      <w:pPr>
        <w:pStyle w:val="ListBullet"/>
      </w:pPr>
      <w:r>
        <w:t>The change to a once daily regime for titration.</w:t>
      </w:r>
    </w:p>
    <w:p w:rsidR="00E07ECC" w:rsidRDefault="00E07ECC" w:rsidP="00E72353">
      <w:pPr>
        <w:pStyle w:val="Heading3"/>
      </w:pPr>
      <w:bookmarkStart w:id="203" w:name="_Toc236802596"/>
      <w:bookmarkStart w:id="204" w:name="_Toc241374334"/>
      <w:bookmarkStart w:id="205" w:name="_Ref272160964"/>
      <w:bookmarkStart w:id="206" w:name="_Toc272414694"/>
      <w:bookmarkStart w:id="207" w:name="_Toc290846332"/>
      <w:bookmarkStart w:id="208" w:name="_Toc290888869"/>
      <w:bookmarkStart w:id="209" w:name="_Toc326646535"/>
      <w:bookmarkStart w:id="210" w:name="_Toc359237265"/>
      <w:r>
        <w:t>First round assessment of risks</w:t>
      </w:r>
      <w:bookmarkEnd w:id="203"/>
      <w:bookmarkEnd w:id="204"/>
      <w:bookmarkEnd w:id="205"/>
      <w:bookmarkEnd w:id="206"/>
      <w:bookmarkEnd w:id="207"/>
      <w:bookmarkEnd w:id="208"/>
      <w:bookmarkEnd w:id="209"/>
      <w:bookmarkEnd w:id="210"/>
    </w:p>
    <w:p w:rsidR="00E07ECC" w:rsidRDefault="00E07ECC" w:rsidP="00E72353">
      <w:r>
        <w:t>The risks of zonisamide in the proposed usage are:</w:t>
      </w:r>
    </w:p>
    <w:p w:rsidR="00E07ECC" w:rsidRDefault="00E07ECC" w:rsidP="00E72353">
      <w:pPr>
        <w:pStyle w:val="ListBullet"/>
      </w:pPr>
      <w:r>
        <w:t xml:space="preserve">The tolerability of the new once daily regime for titration has not been clarified </w:t>
      </w:r>
      <w:r w:rsidRPr="00144B20">
        <w:t xml:space="preserve">in that adverse reactions in that period have not been </w:t>
      </w:r>
      <w:r>
        <w:t xml:space="preserve">separately </w:t>
      </w:r>
      <w:r w:rsidRPr="00144B20">
        <w:t>reviewed</w:t>
      </w:r>
      <w:r>
        <w:t>.</w:t>
      </w:r>
    </w:p>
    <w:p w:rsidR="00E07ECC" w:rsidRDefault="00E07ECC" w:rsidP="00E72353">
      <w:pPr>
        <w:pStyle w:val="ListBullet"/>
      </w:pPr>
      <w:r>
        <w:t>The established risks in the current Indication.</w:t>
      </w:r>
    </w:p>
    <w:p w:rsidR="00E07ECC" w:rsidRDefault="00E07ECC" w:rsidP="00E72353">
      <w:pPr>
        <w:pStyle w:val="Heading2"/>
      </w:pPr>
      <w:bookmarkStart w:id="211" w:name="_Toc236802597"/>
      <w:bookmarkStart w:id="212" w:name="_Toc241374335"/>
      <w:bookmarkStart w:id="213" w:name="_Toc272414695"/>
      <w:bookmarkStart w:id="214" w:name="_Toc290846333"/>
      <w:bookmarkStart w:id="215" w:name="_Toc290888870"/>
      <w:bookmarkStart w:id="216" w:name="_Toc326646536"/>
      <w:bookmarkStart w:id="217" w:name="_Toc359237266"/>
      <w:r>
        <w:t>First round assessment of benefit-risk balance</w:t>
      </w:r>
      <w:bookmarkEnd w:id="211"/>
      <w:bookmarkEnd w:id="212"/>
      <w:bookmarkEnd w:id="213"/>
      <w:bookmarkEnd w:id="214"/>
      <w:bookmarkEnd w:id="215"/>
      <w:bookmarkEnd w:id="216"/>
      <w:bookmarkEnd w:id="217"/>
    </w:p>
    <w:p w:rsidR="00E07ECC" w:rsidRDefault="00E07ECC" w:rsidP="00E72353">
      <w:r>
        <w:t>The benefit-risk balance of zonisamide, given the proposed usage, is unfavourable.</w:t>
      </w:r>
    </w:p>
    <w:p w:rsidR="00C22678" w:rsidRDefault="00C22678" w:rsidP="00C22678">
      <w:pPr>
        <w:pStyle w:val="Heading2"/>
      </w:pPr>
      <w:bookmarkStart w:id="218" w:name="_Toc359237267"/>
      <w:r>
        <w:t>First round recommendation regarding authorisation</w:t>
      </w:r>
      <w:bookmarkEnd w:id="218"/>
    </w:p>
    <w:p w:rsidR="00E07ECC" w:rsidRDefault="00E07ECC" w:rsidP="00E72353">
      <w:r>
        <w:t>It is not recommended that authorisation be made without justification by the sponsor of:</w:t>
      </w:r>
    </w:p>
    <w:p w:rsidR="00E07ECC" w:rsidRDefault="00E07ECC" w:rsidP="00E72353">
      <w:pPr>
        <w:pStyle w:val="ListBullet"/>
      </w:pPr>
      <w:r>
        <w:t>Efficacy in the population in the proposed Indication.</w:t>
      </w:r>
      <w:r w:rsidRPr="00144B20">
        <w:rPr>
          <w:rFonts w:ascii="Times New Roman" w:eastAsiaTheme="minorHAnsi" w:hAnsi="Times New Roman"/>
          <w:sz w:val="24"/>
        </w:rPr>
        <w:t xml:space="preserve"> </w:t>
      </w:r>
      <w:r w:rsidRPr="00144B20">
        <w:t>The population in the pivotal efficacy study was not the same as the population in whom the monotherapy regimen is proposed.</w:t>
      </w:r>
      <w:r w:rsidR="003C2B8A">
        <w:t xml:space="preserve"> </w:t>
      </w:r>
      <w:r w:rsidRPr="00144B20">
        <w:t xml:space="preserve">The sponsor should justify the inclusion of subjects with </w:t>
      </w:r>
      <w:r w:rsidRPr="00144B20">
        <w:rPr>
          <w:b/>
        </w:rPr>
        <w:t>generalized tonic-clonic seizures</w:t>
      </w:r>
      <w:r w:rsidRPr="00144B20">
        <w:t xml:space="preserve"> (without clear focal origin) in the study population or this group should be specifically excluded in the indications for monotherapy Zonegran.</w:t>
      </w:r>
    </w:p>
    <w:p w:rsidR="00E07ECC" w:rsidRDefault="00E07ECC" w:rsidP="00E72353">
      <w:pPr>
        <w:pStyle w:val="ListBullet"/>
      </w:pPr>
      <w:r>
        <w:t>The once daily regime for titration with regard to tolerability.</w:t>
      </w:r>
    </w:p>
    <w:p w:rsidR="00C22678" w:rsidRDefault="00C22678" w:rsidP="00E72353">
      <w:pPr>
        <w:pStyle w:val="Heading2"/>
      </w:pPr>
      <w:bookmarkStart w:id="219" w:name="_Toc359237268"/>
      <w:r>
        <w:t>Clinical questions</w:t>
      </w:r>
      <w:bookmarkEnd w:id="219"/>
    </w:p>
    <w:p w:rsidR="00C618F7" w:rsidRDefault="00C618F7" w:rsidP="00E72353">
      <w:pPr>
        <w:pStyle w:val="Heading3"/>
      </w:pPr>
      <w:bookmarkStart w:id="220" w:name="_Toc359237269"/>
      <w:r>
        <w:t>Efficacy</w:t>
      </w:r>
      <w:bookmarkEnd w:id="220"/>
    </w:p>
    <w:p w:rsidR="00E07ECC" w:rsidRPr="006B268C" w:rsidRDefault="00E07ECC" w:rsidP="00E72353">
      <w:pPr>
        <w:pStyle w:val="ListParagraph"/>
        <w:numPr>
          <w:ilvl w:val="0"/>
          <w:numId w:val="24"/>
        </w:numPr>
        <w:spacing w:after="60"/>
      </w:pPr>
      <w:r>
        <w:t xml:space="preserve">Please provide for </w:t>
      </w:r>
      <w:r w:rsidRPr="006B268C">
        <w:t>Study E2090-E044-310</w:t>
      </w:r>
      <w:r>
        <w:t xml:space="preserve"> an analysis </w:t>
      </w:r>
      <w:r w:rsidRPr="002D142C">
        <w:t xml:space="preserve">of the primary </w:t>
      </w:r>
      <w:r>
        <w:t>efficacy parameter (the proportion of subjects seizure-free for 26 weeks) that excludes</w:t>
      </w:r>
      <w:r w:rsidRPr="002D142C">
        <w:t xml:space="preserve"> subjects with generalised tonic-clonic seizures that had not been confirmed as local in origin</w:t>
      </w:r>
      <w:r>
        <w:t>(</w:t>
      </w:r>
      <w:r w:rsidR="002E4F77">
        <w:t xml:space="preserve">that is, </w:t>
      </w:r>
      <w:r>
        <w:t>as defined in the study: all partial seizures and</w:t>
      </w:r>
      <w:r w:rsidRPr="002D142C">
        <w:t xml:space="preserve"> secondary generalized tonic clonic seizur</w:t>
      </w:r>
      <w:r w:rsidRPr="006B268C">
        <w:t>es</w:t>
      </w:r>
      <w:r>
        <w:t xml:space="preserve"> but not </w:t>
      </w:r>
      <w:r w:rsidRPr="006B268C">
        <w:t>generalized tonic-clonic seizures)</w:t>
      </w:r>
      <w:r>
        <w:t xml:space="preserve">. The analysis to include </w:t>
      </w:r>
      <w:r w:rsidRPr="0011147E">
        <w:t>calculation of the 95% CI for the difference between treatments</w:t>
      </w:r>
      <w:r>
        <w:t>.</w:t>
      </w:r>
    </w:p>
    <w:p w:rsidR="00C618F7" w:rsidRDefault="00C618F7" w:rsidP="00E72353">
      <w:pPr>
        <w:pStyle w:val="Heading2"/>
      </w:pPr>
      <w:bookmarkStart w:id="221" w:name="_Toc359237270"/>
      <w:r>
        <w:lastRenderedPageBreak/>
        <w:t>Second round evaluation of clinical data submitted in response to questions</w:t>
      </w:r>
      <w:bookmarkEnd w:id="221"/>
    </w:p>
    <w:p w:rsidR="008D770F" w:rsidRPr="00AE01C2" w:rsidRDefault="00E07ECC" w:rsidP="008B5A3E">
      <w:pPr>
        <w:rPr>
          <w:lang w:eastAsia="ja-JP"/>
        </w:rPr>
      </w:pPr>
      <w:r>
        <w:rPr>
          <w:lang w:eastAsia="ja-JP"/>
        </w:rPr>
        <w:t>Not applicable.</w:t>
      </w:r>
      <w:bookmarkEnd w:id="1"/>
      <w:bookmarkEnd w:id="0"/>
      <w:bookmarkEnd w:id="2"/>
    </w:p>
    <w:p w:rsidR="003D1E62" w:rsidRPr="001D043B" w:rsidRDefault="008E7846" w:rsidP="002666AC">
      <w:pPr>
        <w:sectPr w:rsidR="003D1E62" w:rsidRPr="001D043B" w:rsidSect="008D770F">
          <w:headerReference w:type="even" r:id="rId58"/>
          <w:headerReference w:type="default" r:id="rId59"/>
          <w:headerReference w:type="first" r:id="rId60"/>
          <w:footerReference w:type="first" r:id="rId61"/>
          <w:pgSz w:w="11906" w:h="16838" w:code="9"/>
          <w:pgMar w:top="1440" w:right="1440" w:bottom="1440" w:left="1440" w:header="907" w:footer="216" w:gutter="0"/>
          <w:cols w:space="708"/>
          <w:docGrid w:linePitch="360"/>
        </w:sectPr>
      </w:pPr>
      <w:r>
        <w:br w:type="page"/>
      </w:r>
    </w:p>
    <w:p w:rsidR="00774E1D" w:rsidRPr="008A5E0B" w:rsidRDefault="00774E1D" w:rsidP="008A5E0B"/>
    <w:sectPr w:rsidR="00774E1D" w:rsidRPr="008A5E0B" w:rsidSect="008D770F">
      <w:headerReference w:type="even" r:id="rId62"/>
      <w:headerReference w:type="default" r:id="rId63"/>
      <w:footerReference w:type="default" r:id="rId64"/>
      <w:headerReference w:type="first" r:id="rId65"/>
      <w:footerReference w:type="first" r:id="rId66"/>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1C6D" w:rsidRDefault="00081C6D" w:rsidP="00C40A36">
      <w:pPr>
        <w:spacing w:after="0"/>
      </w:pPr>
      <w:r>
        <w:separator/>
      </w:r>
    </w:p>
  </w:endnote>
  <w:endnote w:type="continuationSeparator" w:id="0">
    <w:p w:rsidR="00081C6D" w:rsidRDefault="00081C6D"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081C6D" w:rsidRPr="00487162" w:rsidTr="0053625B">
      <w:trPr>
        <w:trHeight w:val="269"/>
      </w:trPr>
      <w:tc>
        <w:tcPr>
          <w:tcW w:w="7938" w:type="dxa"/>
          <w:tcMar>
            <w:top w:w="142" w:type="dxa"/>
            <w:bottom w:w="0" w:type="dxa"/>
          </w:tcMar>
        </w:tcPr>
        <w:p w:rsidR="00081C6D" w:rsidRPr="00487162" w:rsidRDefault="00081C6D" w:rsidP="00E07ECC">
          <w:pPr>
            <w:ind w:left="3119" w:hanging="3119"/>
          </w:pPr>
          <w:r w:rsidRPr="00E07ECC">
            <w:rPr>
              <w:sz w:val="16"/>
              <w:szCs w:val="16"/>
            </w:rPr>
            <w:t xml:space="preserve">Submission </w:t>
          </w:r>
          <w:r w:rsidRPr="00E07ECC">
            <w:rPr>
              <w:rFonts w:cs="Arial"/>
              <w:sz w:val="16"/>
              <w:szCs w:val="16"/>
            </w:rPr>
            <w:t>PM-2011-03861</w:t>
          </w:r>
          <w:r w:rsidR="00A20931">
            <w:rPr>
              <w:rFonts w:cs="Arial"/>
              <w:sz w:val="16"/>
              <w:szCs w:val="16"/>
            </w:rPr>
            <w:t>-3-1</w:t>
          </w:r>
          <w:r w:rsidRPr="00E07ECC">
            <w:rPr>
              <w:rFonts w:cs="Arial"/>
              <w:sz w:val="16"/>
              <w:szCs w:val="16"/>
            </w:rPr>
            <w:t xml:space="preserve"> </w:t>
          </w:r>
          <w:r w:rsidRPr="00E07ECC">
            <w:rPr>
              <w:sz w:val="16"/>
              <w:szCs w:val="16"/>
            </w:rPr>
            <w:t xml:space="preserve">Extract from the Clinical Evaluation Report for </w:t>
          </w:r>
          <w:proofErr w:type="spellStart"/>
          <w:r w:rsidRPr="00E07ECC">
            <w:rPr>
              <w:sz w:val="16"/>
              <w:szCs w:val="16"/>
            </w:rPr>
            <w:t>Zonegran</w:t>
          </w:r>
          <w:proofErr w:type="spellEnd"/>
        </w:p>
      </w:tc>
      <w:tc>
        <w:tcPr>
          <w:tcW w:w="923" w:type="dxa"/>
          <w:tcMar>
            <w:top w:w="142" w:type="dxa"/>
            <w:bottom w:w="0" w:type="dxa"/>
          </w:tcMar>
        </w:tcPr>
        <w:p w:rsidR="00081C6D" w:rsidRPr="00487162" w:rsidRDefault="00081C6D" w:rsidP="00D855D4">
          <w:pPr>
            <w:pStyle w:val="Footer"/>
            <w:jc w:val="right"/>
          </w:pPr>
          <w:r w:rsidRPr="00487162">
            <w:t xml:space="preserve">Page </w:t>
          </w:r>
          <w:r>
            <w:t>2</w:t>
          </w:r>
          <w:r w:rsidRPr="00487162">
            <w:t xml:space="preserve"> of </w:t>
          </w:r>
          <w:fldSimple w:instr=" NUMPAGES  \* Arabic ">
            <w:r w:rsidR="00720928">
              <w:rPr>
                <w:noProof/>
              </w:rPr>
              <w:t>4</w:t>
            </w:r>
          </w:fldSimple>
        </w:p>
      </w:tc>
    </w:tr>
  </w:tbl>
  <w:p w:rsidR="00081C6D" w:rsidRDefault="00081C6D"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C6D" w:rsidRDefault="00081C6D">
    <w:pPr>
      <w:pStyle w:val="Footer"/>
      <w:rPr>
        <w:szCs w:val="20"/>
      </w:rPr>
    </w:pPr>
    <w:r w:rsidRPr="007356D9">
      <w:rPr>
        <w:szCs w:val="20"/>
      </w:rPr>
      <w:t>Submission PM-</w:t>
    </w:r>
    <w:r>
      <w:rPr>
        <w:szCs w:val="20"/>
      </w:rPr>
      <w:t>2011-03861</w:t>
    </w:r>
    <w:r w:rsidR="00A20931">
      <w:rPr>
        <w:szCs w:val="20"/>
      </w:rPr>
      <w:t>-3-1</w:t>
    </w:r>
    <w:r w:rsidRPr="007356D9">
      <w:rPr>
        <w:szCs w:val="20"/>
      </w:rPr>
      <w:t xml:space="preserve"> Clinical Evaluation Report</w:t>
    </w:r>
    <w:r w:rsidR="00A20931">
      <w:rPr>
        <w:szCs w:val="20"/>
      </w:rPr>
      <w:t xml:space="preserve"> for </w:t>
    </w:r>
    <w:proofErr w:type="spellStart"/>
    <w:r w:rsidR="00A20931">
      <w:rPr>
        <w:szCs w:val="20"/>
      </w:rPr>
      <w:t>Zonegran</w:t>
    </w:r>
    <w:proofErr w:type="spellEnd"/>
    <w:r>
      <w:rPr>
        <w:szCs w:val="20"/>
      </w:rPr>
      <w:t xml:space="preserve">, </w:t>
    </w:r>
    <w:r w:rsidRPr="00D866EE">
      <w:rPr>
        <w:szCs w:val="20"/>
      </w:rPr>
      <w:t xml:space="preserve">page </w:t>
    </w:r>
    <w:r w:rsidR="00423552" w:rsidRPr="00D866EE">
      <w:rPr>
        <w:rStyle w:val="PageNumber"/>
      </w:rPr>
      <w:fldChar w:fldCharType="begin"/>
    </w:r>
    <w:r w:rsidRPr="00D866EE">
      <w:rPr>
        <w:rStyle w:val="PageNumber"/>
      </w:rPr>
      <w:instrText xml:space="preserve"> PAGE </w:instrText>
    </w:r>
    <w:r w:rsidR="00423552" w:rsidRPr="00D866EE">
      <w:rPr>
        <w:rStyle w:val="PageNumber"/>
      </w:rPr>
      <w:fldChar w:fldCharType="separate"/>
    </w:r>
    <w:r w:rsidR="00720928">
      <w:rPr>
        <w:rStyle w:val="PageNumber"/>
        <w:noProof/>
      </w:rPr>
      <w:t>50</w:t>
    </w:r>
    <w:r w:rsidR="00423552" w:rsidRPr="00D866EE">
      <w:rPr>
        <w:rStyle w:val="PageNumber"/>
      </w:rPr>
      <w:fldChar w:fldCharType="end"/>
    </w:r>
    <w:r w:rsidRPr="00D866EE">
      <w:rPr>
        <w:szCs w:val="20"/>
      </w:rPr>
      <w:t xml:space="preserve"> of </w:t>
    </w:r>
    <w:r w:rsidR="00423552" w:rsidRPr="00D866EE">
      <w:rPr>
        <w:rStyle w:val="PageNumber"/>
      </w:rPr>
      <w:fldChar w:fldCharType="begin"/>
    </w:r>
    <w:r w:rsidRPr="00D866EE">
      <w:rPr>
        <w:rStyle w:val="PageNumber"/>
      </w:rPr>
      <w:instrText xml:space="preserve"> NUMPAGES </w:instrText>
    </w:r>
    <w:r w:rsidR="00423552" w:rsidRPr="00D866EE">
      <w:rPr>
        <w:rStyle w:val="PageNumber"/>
      </w:rPr>
      <w:fldChar w:fldCharType="separate"/>
    </w:r>
    <w:r w:rsidR="00720928">
      <w:rPr>
        <w:rStyle w:val="PageNumber"/>
        <w:noProof/>
      </w:rPr>
      <w:t>51</w:t>
    </w:r>
    <w:r w:rsidR="00423552" w:rsidRPr="00D866EE">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081C6D" w:rsidRPr="00487162" w:rsidTr="00E45619">
      <w:trPr>
        <w:trHeight w:val="269"/>
      </w:trPr>
      <w:tc>
        <w:tcPr>
          <w:tcW w:w="4519" w:type="dxa"/>
          <w:tcBorders>
            <w:top w:val="single" w:sz="4" w:space="0" w:color="auto"/>
          </w:tcBorders>
          <w:tcMar>
            <w:top w:w="142" w:type="dxa"/>
            <w:bottom w:w="0" w:type="dxa"/>
          </w:tcMar>
        </w:tcPr>
        <w:p w:rsidR="00081C6D" w:rsidRPr="00487162" w:rsidRDefault="00081C6D" w:rsidP="00FE1DEE">
          <w:pPr>
            <w:pStyle w:val="Footer"/>
          </w:pPr>
          <w:r w:rsidRPr="00487162">
            <w:t>Document title, Part #, Section # - Section title</w:t>
          </w:r>
        </w:p>
        <w:p w:rsidR="00081C6D" w:rsidRPr="00487162" w:rsidRDefault="00081C6D" w:rsidP="00FE1DEE">
          <w:pPr>
            <w:pStyle w:val="Footer"/>
          </w:pPr>
          <w:r w:rsidRPr="00487162">
            <w:t>V1.0 October 2010</w:t>
          </w:r>
        </w:p>
      </w:tc>
      <w:tc>
        <w:tcPr>
          <w:tcW w:w="4342" w:type="dxa"/>
          <w:tcBorders>
            <w:top w:val="single" w:sz="4" w:space="0" w:color="auto"/>
          </w:tcBorders>
          <w:tcMar>
            <w:top w:w="142" w:type="dxa"/>
            <w:bottom w:w="0" w:type="dxa"/>
          </w:tcMar>
        </w:tcPr>
        <w:p w:rsidR="00081C6D" w:rsidRPr="00487162" w:rsidRDefault="00081C6D"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sidR="002E4F77">
              <w:rPr>
                <w:noProof/>
              </w:rPr>
              <w:t>3</w:t>
            </w:r>
          </w:fldSimple>
        </w:p>
      </w:tc>
    </w:tr>
  </w:tbl>
  <w:p w:rsidR="00081C6D" w:rsidRDefault="00081C6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081C6D" w:rsidRPr="00487162" w:rsidTr="008D770F">
              <w:trPr>
                <w:trHeight w:hRule="exact" w:val="564"/>
              </w:trPr>
              <w:tc>
                <w:tcPr>
                  <w:tcW w:w="9175" w:type="dxa"/>
                </w:tcPr>
                <w:p w:rsidR="00081C6D" w:rsidRPr="00487162" w:rsidRDefault="00081C6D" w:rsidP="008E7846">
                  <w:pPr>
                    <w:pStyle w:val="TGASignoff"/>
                  </w:pPr>
                  <w:r w:rsidRPr="00487162">
                    <w:t>Therapeutic Goods Administration</w:t>
                  </w:r>
                </w:p>
              </w:tc>
            </w:tr>
            <w:tr w:rsidR="00081C6D" w:rsidRPr="00487162" w:rsidTr="00E45619">
              <w:trPr>
                <w:trHeight w:val="1221"/>
              </w:trPr>
              <w:tc>
                <w:tcPr>
                  <w:tcW w:w="9175" w:type="dxa"/>
                  <w:tcMar>
                    <w:top w:w="28" w:type="dxa"/>
                  </w:tcMar>
                </w:tcPr>
                <w:p w:rsidR="00081C6D" w:rsidRPr="00487162" w:rsidRDefault="00081C6D" w:rsidP="00E45619">
                  <w:pPr>
                    <w:pStyle w:val="Address"/>
                  </w:pPr>
                  <w:r w:rsidRPr="00487162">
                    <w:t>PO Box 100 Woden ACT 2606 Australia</w:t>
                  </w:r>
                </w:p>
                <w:p w:rsidR="00081C6D" w:rsidRPr="00487162" w:rsidRDefault="00081C6D" w:rsidP="00E45619">
                  <w:pPr>
                    <w:pStyle w:val="Address"/>
                  </w:pPr>
                  <w:r w:rsidRPr="00487162">
                    <w:t xml:space="preserve">Email: </w:t>
                  </w:r>
                  <w:hyperlink r:id="rId1" w:history="1">
                    <w:r w:rsidRPr="008D770F">
                      <w:rPr>
                        <w:rStyle w:val="Hyperlink"/>
                      </w:rPr>
                      <w:t>info@tga.gov.au</w:t>
                    </w:r>
                  </w:hyperlink>
                  <w:r>
                    <w:t xml:space="preserve"> </w:t>
                  </w:r>
                  <w:r w:rsidRPr="00487162">
                    <w:t>Phone: 1800 020 653</w:t>
                  </w:r>
                  <w:r>
                    <w:t xml:space="preserve"> </w:t>
                  </w:r>
                  <w:r w:rsidRPr="00487162">
                    <w:t>Fax: 02 6232 8605</w:t>
                  </w:r>
                </w:p>
                <w:p w:rsidR="00081C6D" w:rsidRPr="008D770F" w:rsidRDefault="00423552" w:rsidP="008D770F">
                  <w:pPr>
                    <w:pStyle w:val="Address"/>
                    <w:spacing w:line="260" w:lineRule="atLeast"/>
                    <w:rPr>
                      <w:b/>
                      <w:color w:val="0000FF"/>
                      <w:u w:val="single"/>
                    </w:rPr>
                  </w:pPr>
                  <w:hyperlink r:id="rId2" w:history="1">
                    <w:r w:rsidR="00081C6D" w:rsidRPr="007C06C7">
                      <w:rPr>
                        <w:rStyle w:val="Hyperlink"/>
                        <w:b/>
                      </w:rPr>
                      <w:t>http://www.tga.gov.au</w:t>
                    </w:r>
                  </w:hyperlink>
                </w:p>
              </w:tc>
            </w:tr>
          </w:tbl>
          <w:p w:rsidR="00081C6D" w:rsidRDefault="00423552"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081C6D" w:rsidTr="0010601F">
      <w:trPr>
        <w:trHeight w:val="108"/>
      </w:trPr>
      <w:tc>
        <w:tcPr>
          <w:tcW w:w="8875" w:type="dxa"/>
          <w:gridSpan w:val="2"/>
          <w:tcBorders>
            <w:bottom w:val="single" w:sz="4" w:space="0" w:color="auto"/>
          </w:tcBorders>
          <w:tcMar>
            <w:right w:w="284" w:type="dxa"/>
          </w:tcMar>
        </w:tcPr>
        <w:p w:rsidR="00081C6D" w:rsidRDefault="00081C6D" w:rsidP="006E08B3">
          <w:pPr>
            <w:pStyle w:val="Heading3"/>
          </w:pPr>
          <w:r>
            <w:t>Copyright</w:t>
          </w:r>
        </w:p>
        <w:p w:rsidR="00081C6D" w:rsidRDefault="00081C6D" w:rsidP="006E08B3">
          <w:r>
            <w:rPr>
              <w:rFonts w:cs="Arial"/>
            </w:rPr>
            <w:t>©</w:t>
          </w:r>
          <w:r>
            <w:t xml:space="preserve"> Commonwealth of Australia [add year]</w:t>
          </w:r>
        </w:p>
        <w:p w:rsidR="00081C6D" w:rsidRDefault="00081C6D" w:rsidP="006E08B3"/>
        <w:p w:rsidR="00081C6D" w:rsidRDefault="00081C6D"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081C6D" w:rsidRDefault="00081C6D" w:rsidP="006E08B3"/>
        <w:p w:rsidR="00081C6D" w:rsidRDefault="00081C6D" w:rsidP="006E08B3">
          <w:pPr>
            <w:pStyle w:val="Heading3"/>
          </w:pPr>
          <w:r>
            <w:t>Confidentiality</w:t>
          </w:r>
        </w:p>
        <w:p w:rsidR="00081C6D" w:rsidRDefault="00081C6D"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081C6D" w:rsidRDefault="00081C6D" w:rsidP="006E08B3"/>
        <w:p w:rsidR="00081C6D" w:rsidRDefault="00081C6D" w:rsidP="006E08B3">
          <w:r>
            <w:t>For submission made by individuals, all personal details, other than your name, will be removed from your submission before it is published on the TGA’s Internet site.</w:t>
          </w:r>
        </w:p>
        <w:p w:rsidR="00081C6D" w:rsidRDefault="00081C6D" w:rsidP="006E08B3"/>
        <w:p w:rsidR="00081C6D" w:rsidRDefault="00081C6D"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081C6D" w:rsidTr="0010601F">
      <w:trPr>
        <w:trHeight w:val="417"/>
      </w:trPr>
      <w:tc>
        <w:tcPr>
          <w:tcW w:w="4519" w:type="dxa"/>
          <w:tcBorders>
            <w:top w:val="single" w:sz="4" w:space="0" w:color="auto"/>
          </w:tcBorders>
          <w:tcMar>
            <w:top w:w="142" w:type="dxa"/>
            <w:bottom w:w="0" w:type="dxa"/>
          </w:tcMar>
        </w:tcPr>
        <w:p w:rsidR="00081C6D" w:rsidRDefault="00081C6D" w:rsidP="006E08B3">
          <w:r>
            <w:t>Document title, Part #, Section # - Section title</w:t>
          </w:r>
        </w:p>
        <w:p w:rsidR="00081C6D" w:rsidRDefault="00081C6D" w:rsidP="006E08B3">
          <w:r>
            <w:t>V1.0 October 2010</w:t>
          </w:r>
        </w:p>
      </w:tc>
      <w:tc>
        <w:tcPr>
          <w:tcW w:w="4356" w:type="dxa"/>
          <w:tcBorders>
            <w:top w:val="single" w:sz="4" w:space="0" w:color="auto"/>
          </w:tcBorders>
          <w:tcMar>
            <w:top w:w="142" w:type="dxa"/>
            <w:bottom w:w="0" w:type="dxa"/>
          </w:tcMar>
        </w:tcPr>
        <w:p w:rsidR="00081C6D" w:rsidRDefault="00081C6D" w:rsidP="006E08B3">
          <w:pPr>
            <w:jc w:val="right"/>
          </w:pPr>
          <w:r>
            <w:t xml:space="preserve">Page </w:t>
          </w:r>
          <w:fldSimple w:instr=" PAGE   \* MERGEFORMAT ">
            <w:r>
              <w:rPr>
                <w:noProof/>
              </w:rPr>
              <w:t>1</w:t>
            </w:r>
          </w:fldSimple>
          <w:r>
            <w:t xml:space="preserve"> of </w:t>
          </w:r>
          <w:fldSimple w:instr=" NUMPAGES  \* Arabic ">
            <w:r w:rsidR="002E4F77">
              <w:rPr>
                <w:noProof/>
              </w:rPr>
              <w:t>3</w:t>
            </w:r>
          </w:fldSimple>
          <w:r>
            <w:t xml:space="preserve"> </w:t>
          </w:r>
        </w:p>
      </w:tc>
    </w:tr>
  </w:tbl>
  <w:p w:rsidR="00081C6D" w:rsidRDefault="00081C6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1C6D" w:rsidRDefault="00081C6D" w:rsidP="00C40A36">
      <w:pPr>
        <w:spacing w:after="0"/>
      </w:pPr>
      <w:r>
        <w:separator/>
      </w:r>
    </w:p>
  </w:footnote>
  <w:footnote w:type="continuationSeparator" w:id="0">
    <w:p w:rsidR="00081C6D" w:rsidRDefault="00081C6D" w:rsidP="00C40A36">
      <w:pPr>
        <w:spacing w:after="0"/>
      </w:pPr>
      <w:r>
        <w:continuationSeparator/>
      </w:r>
    </w:p>
  </w:footnote>
  <w:footnote w:id="1">
    <w:p w:rsidR="00081C6D" w:rsidRPr="00111588" w:rsidRDefault="00081C6D" w:rsidP="00111588">
      <w:pPr>
        <w:pStyle w:val="FootnoteText"/>
        <w:ind w:left="142" w:hanging="142"/>
        <w:rPr>
          <w:sz w:val="18"/>
          <w:szCs w:val="18"/>
        </w:rPr>
      </w:pPr>
      <w:r>
        <w:rPr>
          <w:rStyle w:val="FootnoteReference"/>
          <w:rFonts w:eastAsia="Cambria"/>
        </w:rPr>
        <w:footnoteRef/>
      </w:r>
      <w:r>
        <w:t xml:space="preserve"> </w:t>
      </w:r>
      <w:r w:rsidRPr="00111588">
        <w:rPr>
          <w:sz w:val="18"/>
          <w:szCs w:val="18"/>
        </w:rPr>
        <w:t>Subjects recruited in India, South Korea, and Taiwan, and subjects of Asian ancestry recruited in other countries, were tested for the HLA B1502 allele.</w:t>
      </w:r>
    </w:p>
  </w:footnote>
  <w:footnote w:id="2">
    <w:p w:rsidR="00081C6D" w:rsidRPr="00111588" w:rsidRDefault="00081C6D" w:rsidP="00111588">
      <w:pPr>
        <w:pStyle w:val="FootnoteText"/>
        <w:ind w:left="142" w:hanging="142"/>
        <w:rPr>
          <w:sz w:val="18"/>
          <w:szCs w:val="18"/>
        </w:rPr>
      </w:pPr>
      <w:r w:rsidRPr="00111588">
        <w:rPr>
          <w:rStyle w:val="FootnoteReference"/>
          <w:rFonts w:eastAsia="Cambria"/>
          <w:sz w:val="18"/>
          <w:szCs w:val="18"/>
        </w:rPr>
        <w:footnoteRef/>
      </w:r>
      <w:r w:rsidRPr="00111588">
        <w:rPr>
          <w:sz w:val="18"/>
          <w:szCs w:val="18"/>
        </w:rPr>
        <w:t xml:space="preserve"> For the primary efficacy analysis, a subject was classified as having achieved a 26-week seizure-free period if they were free of all seizures, regardless of seizure type, for 26 weeks while receiving the same dose. </w:t>
      </w:r>
    </w:p>
  </w:footnote>
  <w:footnote w:id="3">
    <w:p w:rsidR="00081C6D" w:rsidRPr="00111588" w:rsidRDefault="00081C6D" w:rsidP="00111588">
      <w:pPr>
        <w:pStyle w:val="FootnoteText"/>
        <w:ind w:left="142" w:hanging="142"/>
        <w:rPr>
          <w:sz w:val="18"/>
          <w:szCs w:val="18"/>
        </w:rPr>
      </w:pPr>
      <w:r w:rsidRPr="00111588">
        <w:rPr>
          <w:rStyle w:val="FootnoteReference"/>
          <w:rFonts w:eastAsia="Cambria"/>
          <w:sz w:val="18"/>
          <w:szCs w:val="18"/>
        </w:rPr>
        <w:footnoteRef/>
      </w:r>
      <w:r w:rsidRPr="00111588">
        <w:rPr>
          <w:sz w:val="18"/>
          <w:szCs w:val="18"/>
        </w:rPr>
        <w:t xml:space="preserve"> A subject was classified as having achieved a 52-week seizure-free period if they were free of all seizures, regardless of seizure type, for 52 weeks receiving the same dose. </w:t>
      </w:r>
    </w:p>
  </w:footnote>
  <w:footnote w:id="4">
    <w:p w:rsidR="00081C6D" w:rsidRPr="005C225B" w:rsidRDefault="00081C6D" w:rsidP="00111588">
      <w:pPr>
        <w:pStyle w:val="FootnoteText"/>
        <w:ind w:left="142" w:hanging="142"/>
      </w:pPr>
      <w:r>
        <w:rPr>
          <w:rStyle w:val="FootnoteReference"/>
          <w:rFonts w:eastAsia="Cambria"/>
        </w:rPr>
        <w:footnoteRef/>
      </w:r>
      <w:r>
        <w:t xml:space="preserve"> Criteria for class I classification were a double-blind randomized controlled trial (RCT) design, ≥ 48-week treatment duration without forced exit criteria, information on ≥ 24-week seizure freedom data (efficacy) or ≥ 48-week retention data (effectiveness), demonstration of superiority or </w:t>
      </w:r>
      <w:r w:rsidRPr="005C225B">
        <w:rPr>
          <w:b/>
        </w:rPr>
        <w:t>80% power to detect a ≤</w:t>
      </w:r>
      <w:r>
        <w:rPr>
          <w:b/>
        </w:rPr>
        <w:t xml:space="preserve"> </w:t>
      </w:r>
      <w:r w:rsidRPr="005C225B">
        <w:rPr>
          <w:b/>
        </w:rPr>
        <w:t>20% relative difference in efficacy/effectiveness versus an adequate comparator, and appropriate statistical analysis</w:t>
      </w:r>
      <w:r>
        <w:rPr>
          <w:b/>
        </w:rPr>
        <w:t xml:space="preserve">. </w:t>
      </w:r>
      <w:r>
        <w:t>After “</w:t>
      </w:r>
      <w:r w:rsidRPr="006A4422">
        <w:t>extensive discussion</w:t>
      </w:r>
      <w:r>
        <w:t>”</w:t>
      </w:r>
      <w:r w:rsidRPr="006A4422">
        <w:t>,</w:t>
      </w:r>
      <w:r>
        <w:t xml:space="preserve"> came from a 10-member </w:t>
      </w:r>
      <w:proofErr w:type="spellStart"/>
      <w:r>
        <w:t>subcommission</w:t>
      </w:r>
      <w:proofErr w:type="spellEnd"/>
      <w:r>
        <w:t xml:space="preserve"> of the Commission on Therapeutic Strategies of The International League Against Epilepsy (ILAE), including adult and paediatric </w:t>
      </w:r>
      <w:proofErr w:type="spellStart"/>
      <w:r>
        <w:t>epileptologists</w:t>
      </w:r>
      <w:proofErr w:type="spellEnd"/>
      <w:r>
        <w:t xml:space="preserve">, clinical pharmacologists, clinical </w:t>
      </w:r>
      <w:proofErr w:type="spellStart"/>
      <w:r>
        <w:t>trialists</w:t>
      </w:r>
      <w:proofErr w:type="spellEnd"/>
      <w:r>
        <w:t>, and a statistician who evaluated available evidence found through a structured literature review.</w:t>
      </w:r>
      <w:r w:rsidRPr="005C225B">
        <w:t xml:space="preserve"> </w:t>
      </w:r>
      <w:r>
        <w:t xml:space="preserve">ILAE Treatment Guidelines: Evidence-based Analysis of Antiepileptic Drug Efficacy and Effectiveness as Initial </w:t>
      </w:r>
      <w:proofErr w:type="spellStart"/>
      <w:r>
        <w:t>Monotherapy</w:t>
      </w:r>
      <w:proofErr w:type="spellEnd"/>
      <w:r>
        <w:t xml:space="preserve"> for Epileptic Seizures and Syndromes; </w:t>
      </w:r>
      <w:proofErr w:type="spellStart"/>
      <w:r>
        <w:t>Glauser</w:t>
      </w:r>
      <w:proofErr w:type="spellEnd"/>
      <w:r>
        <w:t xml:space="preserve"> et al; </w:t>
      </w:r>
      <w:proofErr w:type="spellStart"/>
      <w:r w:rsidRPr="005C225B">
        <w:t>Epilepsia</w:t>
      </w:r>
      <w:proofErr w:type="spellEnd"/>
      <w:r w:rsidRPr="005C225B">
        <w:t>, Vol. 47, No. 7, 2006</w:t>
      </w:r>
    </w:p>
  </w:footnote>
  <w:footnote w:id="5">
    <w:p w:rsidR="00081C6D" w:rsidRPr="00081C6D" w:rsidRDefault="00081C6D" w:rsidP="00E07ECC">
      <w:pPr>
        <w:pStyle w:val="FootnoteText"/>
        <w:rPr>
          <w:sz w:val="18"/>
          <w:szCs w:val="18"/>
        </w:rPr>
      </w:pPr>
      <w:r w:rsidRPr="00081C6D">
        <w:rPr>
          <w:rStyle w:val="FootnoteReference"/>
          <w:rFonts w:eastAsia="Cambria"/>
          <w:sz w:val="18"/>
          <w:szCs w:val="18"/>
        </w:rPr>
        <w:footnoteRef/>
      </w:r>
      <w:r w:rsidRPr="00081C6D">
        <w:rPr>
          <w:sz w:val="18"/>
          <w:szCs w:val="18"/>
        </w:rPr>
        <w:t xml:space="preserve"> Study Report Page 94</w:t>
      </w:r>
    </w:p>
  </w:footnote>
  <w:footnote w:id="6">
    <w:p w:rsidR="00081C6D" w:rsidRPr="00081C6D" w:rsidRDefault="00081C6D" w:rsidP="00E07ECC">
      <w:pPr>
        <w:pStyle w:val="FootnoteText"/>
        <w:rPr>
          <w:bCs/>
          <w:sz w:val="18"/>
          <w:szCs w:val="18"/>
        </w:rPr>
      </w:pPr>
      <w:r w:rsidRPr="00081C6D">
        <w:rPr>
          <w:rStyle w:val="FootnoteReference"/>
          <w:rFonts w:eastAsia="Cambria"/>
          <w:sz w:val="18"/>
          <w:szCs w:val="18"/>
        </w:rPr>
        <w:footnoteRef/>
      </w:r>
      <w:r w:rsidRPr="00081C6D">
        <w:rPr>
          <w:sz w:val="18"/>
          <w:szCs w:val="18"/>
        </w:rPr>
        <w:t xml:space="preserve"> </w:t>
      </w:r>
      <w:r w:rsidRPr="00081C6D">
        <w:rPr>
          <w:bCs/>
          <w:sz w:val="18"/>
          <w:szCs w:val="18"/>
        </w:rPr>
        <w:t>EMEA/CPMP/EWP/2158/99 Guideline on the Choice of the Non-Inferiority Margin contains these quotes:</w:t>
      </w:r>
    </w:p>
    <w:p w:rsidR="00081C6D" w:rsidRPr="00081C6D" w:rsidRDefault="00081C6D" w:rsidP="00E07ECC">
      <w:pPr>
        <w:pStyle w:val="FootnoteText"/>
        <w:rPr>
          <w:sz w:val="18"/>
          <w:szCs w:val="18"/>
        </w:rPr>
      </w:pPr>
      <w:r w:rsidRPr="00081C6D">
        <w:rPr>
          <w:bCs/>
          <w:sz w:val="18"/>
          <w:szCs w:val="18"/>
        </w:rPr>
        <w:t>2.GENERAL CONSIDERATIONS</w:t>
      </w:r>
    </w:p>
    <w:p w:rsidR="00081C6D" w:rsidRPr="00081C6D" w:rsidRDefault="00081C6D" w:rsidP="00081C6D">
      <w:pPr>
        <w:pStyle w:val="ListBullet"/>
        <w:rPr>
          <w:sz w:val="18"/>
          <w:szCs w:val="18"/>
        </w:rPr>
      </w:pPr>
      <w:r w:rsidRPr="00081C6D">
        <w:rPr>
          <w:sz w:val="18"/>
          <w:szCs w:val="18"/>
        </w:rPr>
        <w:t xml:space="preserve">Usually the primary focus of a non-inferiority trial is the relative efficacy of the test and reference products, not simply demonstration that the test product has an effect. In these cases an appropriate choice of margin will, in addition to proving that the product has an effect, also provide assurance that the test product is not substantially inferior to the reference, resulting in a tighter margin </w:t>
      </w:r>
    </w:p>
    <w:p w:rsidR="00081C6D" w:rsidRPr="00081C6D" w:rsidRDefault="00081C6D" w:rsidP="00081C6D">
      <w:pPr>
        <w:pStyle w:val="ListBullet"/>
        <w:rPr>
          <w:sz w:val="18"/>
          <w:szCs w:val="18"/>
        </w:rPr>
      </w:pPr>
      <w:r w:rsidRPr="00081C6D">
        <w:rPr>
          <w:sz w:val="18"/>
          <w:szCs w:val="18"/>
        </w:rPr>
        <w:t>The choice of non-inferiority margin should be justified in the study protocol,</w:t>
      </w:r>
    </w:p>
    <w:p w:rsidR="00081C6D" w:rsidRPr="00081C6D" w:rsidRDefault="00081C6D" w:rsidP="00081C6D">
      <w:pPr>
        <w:pStyle w:val="ListBullet"/>
        <w:rPr>
          <w:sz w:val="18"/>
          <w:szCs w:val="18"/>
        </w:rPr>
      </w:pPr>
      <w:r w:rsidRPr="00081C6D">
        <w:rPr>
          <w:sz w:val="18"/>
          <w:szCs w:val="18"/>
        </w:rPr>
        <w:t>It is not appropriate to define the non-inferiority margin as a proportion of the difference between active comparator and placebo. Such ideas were formulated with the aim of ensuring that the test product was superior to (a putative) placebo; however they may not achieve this purpose. If the reference product has a large advantage over placebo this does not mean that large differences are unimportant, it just means that the reference product is very efficacious.</w:t>
      </w:r>
    </w:p>
    <w:p w:rsidR="00081C6D" w:rsidRPr="00081C6D" w:rsidRDefault="00081C6D" w:rsidP="00081C6D">
      <w:pPr>
        <w:pStyle w:val="ListBullet"/>
        <w:rPr>
          <w:sz w:val="18"/>
          <w:szCs w:val="18"/>
        </w:rPr>
      </w:pPr>
      <w:r w:rsidRPr="00081C6D">
        <w:rPr>
          <w:sz w:val="18"/>
          <w:szCs w:val="18"/>
        </w:rPr>
        <w:t>If the performance of the reference product in a trial is very different from what was assumed when defining the non-inferiority margin then the chosen margin may no longer be appropriate. The implications of this should be considered at the planning stage.</w:t>
      </w:r>
    </w:p>
    <w:p w:rsidR="00081C6D" w:rsidRPr="00081C6D" w:rsidRDefault="00081C6D" w:rsidP="00E07ECC">
      <w:pPr>
        <w:pStyle w:val="FootnoteText"/>
        <w:rPr>
          <w:sz w:val="18"/>
          <w:szCs w:val="18"/>
        </w:rPr>
      </w:pPr>
      <w:r w:rsidRPr="00081C6D">
        <w:rPr>
          <w:bCs/>
          <w:sz w:val="18"/>
          <w:szCs w:val="18"/>
        </w:rPr>
        <w:t>3.2 Two arm trials: test and reference</w:t>
      </w:r>
    </w:p>
    <w:p w:rsidR="00081C6D" w:rsidRPr="00081C6D" w:rsidRDefault="00081C6D" w:rsidP="00E07ECC">
      <w:pPr>
        <w:pStyle w:val="FootnoteText"/>
        <w:rPr>
          <w:sz w:val="18"/>
          <w:szCs w:val="18"/>
        </w:rPr>
      </w:pPr>
      <w:r w:rsidRPr="00081C6D">
        <w:rPr>
          <w:sz w:val="18"/>
          <w:szCs w:val="18"/>
        </w:rPr>
        <w:t xml:space="preserve">A systematic review should be conducted to identify studies relevant to the comparison of the reference treatment with placebo in the condition being considered. These can be used for estimating the difference between the reference and placebo in the intended patient population. </w:t>
      </w:r>
    </w:p>
    <w:p w:rsidR="00081C6D" w:rsidRPr="00081C6D" w:rsidRDefault="00081C6D" w:rsidP="00E07ECC">
      <w:pPr>
        <w:pStyle w:val="FootnoteText"/>
        <w:rPr>
          <w:sz w:val="18"/>
          <w:szCs w:val="18"/>
        </w:rPr>
      </w:pPr>
      <w:r w:rsidRPr="00081C6D">
        <w:rPr>
          <w:sz w:val="18"/>
          <w:szCs w:val="18"/>
        </w:rPr>
        <w:t xml:space="preserve">If the performance of the active comparator in the trial is very different to what was anticipated a priori there may be difficulty in interpreting the meaning of the differences between test and reference and the pre-defined delta may no longer seem appropriate. In this situation it may not be possible to draw positive conclusions from the trial. </w:t>
      </w:r>
    </w:p>
  </w:footnote>
  <w:footnote w:id="7">
    <w:p w:rsidR="00081C6D" w:rsidRPr="00081C6D" w:rsidRDefault="00081C6D" w:rsidP="00E07ECC">
      <w:pPr>
        <w:pStyle w:val="FootnoteText"/>
        <w:rPr>
          <w:sz w:val="18"/>
          <w:szCs w:val="18"/>
        </w:rPr>
      </w:pPr>
      <w:r w:rsidRPr="00081C6D">
        <w:rPr>
          <w:rStyle w:val="FootnoteReference"/>
          <w:rFonts w:eastAsia="Cambria"/>
          <w:sz w:val="18"/>
          <w:szCs w:val="18"/>
        </w:rPr>
        <w:footnoteRef/>
      </w:r>
      <w:r w:rsidRPr="00081C6D">
        <w:rPr>
          <w:sz w:val="18"/>
          <w:szCs w:val="18"/>
        </w:rPr>
        <w:t xml:space="preserve"> </w:t>
      </w:r>
      <w:proofErr w:type="spellStart"/>
      <w:r w:rsidRPr="00081C6D">
        <w:rPr>
          <w:sz w:val="18"/>
          <w:szCs w:val="18"/>
        </w:rPr>
        <w:t>Shorvon</w:t>
      </w:r>
      <w:proofErr w:type="spellEnd"/>
      <w:r w:rsidRPr="00081C6D">
        <w:rPr>
          <w:sz w:val="18"/>
          <w:szCs w:val="18"/>
        </w:rPr>
        <w:t xml:space="preserve"> SD. Epilepsy Octet: Epidemiology, classification, natural history and genetics of epilepsy. Lancet 1990; 336:93 - 96.</w:t>
      </w:r>
    </w:p>
  </w:footnote>
  <w:footnote w:id="8">
    <w:p w:rsidR="00081C6D" w:rsidRDefault="00081C6D" w:rsidP="00111588">
      <w:pPr>
        <w:pStyle w:val="FootnoteText"/>
        <w:ind w:left="142" w:hanging="142"/>
      </w:pPr>
      <w:r>
        <w:rPr>
          <w:rStyle w:val="FootnoteReference"/>
          <w:rFonts w:eastAsia="Cambria"/>
        </w:rPr>
        <w:footnoteRef/>
      </w:r>
      <w:r>
        <w:t xml:space="preserve"> A new diagnosis of epilepsy included a subject for whom this was the first diagnosis of epilepsy or a subject who had a previous diagnosis of epilepsy but had not received AED therapy for that previous diagnosis for at least 2 years.</w:t>
      </w:r>
    </w:p>
  </w:footnote>
  <w:footnote w:id="9">
    <w:p w:rsidR="00081C6D" w:rsidRDefault="00081C6D" w:rsidP="00111588">
      <w:pPr>
        <w:pStyle w:val="FootnoteText"/>
        <w:ind w:left="142" w:hanging="142"/>
      </w:pPr>
      <w:r>
        <w:rPr>
          <w:rStyle w:val="FootnoteReference"/>
          <w:rFonts w:eastAsia="Cambria"/>
        </w:rPr>
        <w:footnoteRef/>
      </w:r>
      <w:r>
        <w:t xml:space="preserve"> </w:t>
      </w:r>
      <w:r w:rsidRPr="003E3AE3">
        <w:t>Note: patients who experienced 1 complex partial seizure during study AN46046-304 were only permitted to experience one further complex partial seizure during ELN46046-355 in order to meet the exit criteria. However, seizures occurring during the first four weeks of the extension study did not c</w:t>
      </w:r>
      <w:r>
        <w:t>ount towards the exit criteria.</w:t>
      </w:r>
    </w:p>
  </w:footnote>
  <w:footnote w:id="10">
    <w:p w:rsidR="00081C6D" w:rsidRDefault="00081C6D" w:rsidP="00111588">
      <w:pPr>
        <w:pStyle w:val="FootnoteText"/>
        <w:ind w:left="142" w:hanging="142"/>
      </w:pPr>
      <w:r>
        <w:rPr>
          <w:rStyle w:val="FootnoteReference"/>
          <w:rFonts w:eastAsia="Cambria"/>
        </w:rPr>
        <w:footnoteRef/>
      </w:r>
      <w:r>
        <w:t xml:space="preserve"> </w:t>
      </w:r>
      <w:r w:rsidRPr="004C44D4">
        <w:t>4 weeks + &lt; 14 days</w:t>
      </w:r>
      <w:r>
        <w:t xml:space="preserve"> from 355 baseline</w:t>
      </w:r>
      <w:r w:rsidRPr="004C44D4">
        <w:t>.</w:t>
      </w:r>
    </w:p>
  </w:footnote>
  <w:footnote w:id="11">
    <w:p w:rsidR="00081C6D" w:rsidRPr="00111588" w:rsidRDefault="00081C6D" w:rsidP="00E07ECC">
      <w:pPr>
        <w:pStyle w:val="FootnoteText"/>
        <w:rPr>
          <w:sz w:val="18"/>
          <w:szCs w:val="18"/>
        </w:rPr>
      </w:pPr>
      <w:r w:rsidRPr="00111588">
        <w:rPr>
          <w:rStyle w:val="FootnoteReference"/>
          <w:rFonts w:eastAsia="Cambria"/>
          <w:sz w:val="18"/>
          <w:szCs w:val="18"/>
        </w:rPr>
        <w:footnoteRef/>
      </w:r>
      <w:r w:rsidRPr="00111588">
        <w:rPr>
          <w:sz w:val="18"/>
          <w:szCs w:val="18"/>
        </w:rPr>
        <w:t xml:space="preserve"> Page 22.</w:t>
      </w:r>
    </w:p>
  </w:footnote>
  <w:footnote w:id="12">
    <w:p w:rsidR="00081C6D" w:rsidRDefault="00081C6D" w:rsidP="00E07ECC">
      <w:pPr>
        <w:pStyle w:val="FootnoteText"/>
      </w:pPr>
      <w:r>
        <w:rPr>
          <w:rStyle w:val="FootnoteReference"/>
          <w:rFonts w:eastAsia="Cambria"/>
        </w:rPr>
        <w:footnoteRef/>
      </w:r>
      <w:r>
        <w:t xml:space="preserve"> Clinical Overview page 53.</w:t>
      </w:r>
    </w:p>
  </w:footnote>
  <w:footnote w:id="13">
    <w:p w:rsidR="00081C6D" w:rsidRDefault="00081C6D" w:rsidP="00E07ECC">
      <w:pPr>
        <w:pStyle w:val="FootnoteText"/>
      </w:pPr>
      <w:r>
        <w:rPr>
          <w:rStyle w:val="FootnoteReference"/>
          <w:rFonts w:eastAsia="Cambria"/>
        </w:rPr>
        <w:footnoteRef/>
      </w:r>
      <w:r>
        <w:t xml:space="preserve"> PI.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C6D" w:rsidRDefault="00081C6D"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C6D" w:rsidRDefault="00423552">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081C6D" w:rsidRDefault="00720928" w:rsidP="00593AD1">
    <w:pPr>
      <w:pStyle w:val="HeaderNoLine"/>
    </w:pPr>
    <w:r>
      <w:rPr>
        <w:noProof/>
        <w:lang w:eastAsia="en-AU"/>
      </w:rPr>
      <w:pict>
        <v:shape id="_x0000_i1025" type="#_x0000_t75" alt="Lightblue.jpg" style="width:425.25pt;height:601.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C6D" w:rsidRDefault="00081C6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C6D" w:rsidRDefault="00081C6D">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C6D" w:rsidRDefault="00081C6D">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C6D" w:rsidRDefault="00081C6D">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C6D" w:rsidRDefault="00081C6D"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C6D" w:rsidRDefault="00081C6D" w:rsidP="006E08B3">
    <w:r>
      <w:t>Therapeutic Goods Administration</w:t>
    </w:r>
  </w:p>
  <w:p w:rsidR="00081C6D" w:rsidRDefault="00081C6D"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
    <w:nsid w:val="0E3B2763"/>
    <w:multiLevelType w:val="hybridMultilevel"/>
    <w:tmpl w:val="95E63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E6E3200"/>
    <w:multiLevelType w:val="hybridMultilevel"/>
    <w:tmpl w:val="F07C6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25E91787"/>
    <w:multiLevelType w:val="hybridMultilevel"/>
    <w:tmpl w:val="82567B8A"/>
    <w:lvl w:ilvl="0" w:tplc="97BEF02C">
      <w:start w:val="1"/>
      <w:numFmt w:val="bullet"/>
      <w:lvlText w:val=""/>
      <w:lvlJc w:val="left"/>
      <w:pPr>
        <w:ind w:left="720" w:hanging="360"/>
      </w:pPr>
      <w:rPr>
        <w:rFonts w:ascii="Symbol" w:hAnsi="Symbol" w:hint="default"/>
      </w:rPr>
    </w:lvl>
    <w:lvl w:ilvl="1" w:tplc="8EE6AF64" w:tentative="1">
      <w:start w:val="1"/>
      <w:numFmt w:val="bullet"/>
      <w:lvlText w:val="o"/>
      <w:lvlJc w:val="left"/>
      <w:pPr>
        <w:ind w:left="1440" w:hanging="360"/>
      </w:pPr>
      <w:rPr>
        <w:rFonts w:ascii="Courier New" w:hAnsi="Courier New" w:cs="Courier New" w:hint="default"/>
      </w:rPr>
    </w:lvl>
    <w:lvl w:ilvl="2" w:tplc="002CE652" w:tentative="1">
      <w:start w:val="1"/>
      <w:numFmt w:val="bullet"/>
      <w:lvlText w:val=""/>
      <w:lvlJc w:val="left"/>
      <w:pPr>
        <w:ind w:left="2160" w:hanging="360"/>
      </w:pPr>
      <w:rPr>
        <w:rFonts w:ascii="Wingdings" w:hAnsi="Wingdings" w:hint="default"/>
      </w:rPr>
    </w:lvl>
    <w:lvl w:ilvl="3" w:tplc="7BE22AD8" w:tentative="1">
      <w:start w:val="1"/>
      <w:numFmt w:val="bullet"/>
      <w:lvlText w:val=""/>
      <w:lvlJc w:val="left"/>
      <w:pPr>
        <w:ind w:left="2880" w:hanging="360"/>
      </w:pPr>
      <w:rPr>
        <w:rFonts w:ascii="Symbol" w:hAnsi="Symbol" w:hint="default"/>
      </w:rPr>
    </w:lvl>
    <w:lvl w:ilvl="4" w:tplc="1D500664" w:tentative="1">
      <w:start w:val="1"/>
      <w:numFmt w:val="bullet"/>
      <w:lvlText w:val="o"/>
      <w:lvlJc w:val="left"/>
      <w:pPr>
        <w:ind w:left="3600" w:hanging="360"/>
      </w:pPr>
      <w:rPr>
        <w:rFonts w:ascii="Courier New" w:hAnsi="Courier New" w:cs="Courier New" w:hint="default"/>
      </w:rPr>
    </w:lvl>
    <w:lvl w:ilvl="5" w:tplc="94A067D8" w:tentative="1">
      <w:start w:val="1"/>
      <w:numFmt w:val="bullet"/>
      <w:lvlText w:val=""/>
      <w:lvlJc w:val="left"/>
      <w:pPr>
        <w:ind w:left="4320" w:hanging="360"/>
      </w:pPr>
      <w:rPr>
        <w:rFonts w:ascii="Wingdings" w:hAnsi="Wingdings" w:hint="default"/>
      </w:rPr>
    </w:lvl>
    <w:lvl w:ilvl="6" w:tplc="4D3A02C8" w:tentative="1">
      <w:start w:val="1"/>
      <w:numFmt w:val="bullet"/>
      <w:lvlText w:val=""/>
      <w:lvlJc w:val="left"/>
      <w:pPr>
        <w:ind w:left="5040" w:hanging="360"/>
      </w:pPr>
      <w:rPr>
        <w:rFonts w:ascii="Symbol" w:hAnsi="Symbol" w:hint="default"/>
      </w:rPr>
    </w:lvl>
    <w:lvl w:ilvl="7" w:tplc="F7646074" w:tentative="1">
      <w:start w:val="1"/>
      <w:numFmt w:val="bullet"/>
      <w:lvlText w:val="o"/>
      <w:lvlJc w:val="left"/>
      <w:pPr>
        <w:ind w:left="5760" w:hanging="360"/>
      </w:pPr>
      <w:rPr>
        <w:rFonts w:ascii="Courier New" w:hAnsi="Courier New" w:cs="Courier New" w:hint="default"/>
      </w:rPr>
    </w:lvl>
    <w:lvl w:ilvl="8" w:tplc="B0B4A0A8" w:tentative="1">
      <w:start w:val="1"/>
      <w:numFmt w:val="bullet"/>
      <w:lvlText w:val=""/>
      <w:lvlJc w:val="left"/>
      <w:pPr>
        <w:ind w:left="6480" w:hanging="360"/>
      </w:pPr>
      <w:rPr>
        <w:rFonts w:ascii="Wingdings" w:hAnsi="Wingdings" w:hint="default"/>
      </w:rPr>
    </w:lvl>
  </w:abstractNum>
  <w:abstractNum w:abstractNumId="6">
    <w:nsid w:val="2928166D"/>
    <w:multiLevelType w:val="hybridMultilevel"/>
    <w:tmpl w:val="14682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066740A"/>
    <w:multiLevelType w:val="hybridMultilevel"/>
    <w:tmpl w:val="32A09876"/>
    <w:lvl w:ilvl="0" w:tplc="0C090001">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8">
    <w:nsid w:val="3AC02909"/>
    <w:multiLevelType w:val="hybridMultilevel"/>
    <w:tmpl w:val="A5A8AF8A"/>
    <w:lvl w:ilvl="0" w:tplc="8BB87700">
      <w:start w:val="1"/>
      <w:numFmt w:val="bullet"/>
      <w:pStyle w:val="Bullet2"/>
      <w:lvlText w:val="-"/>
      <w:lvlJc w:val="left"/>
      <w:pPr>
        <w:tabs>
          <w:tab w:val="num" w:pos="567"/>
        </w:tabs>
        <w:ind w:left="567" w:hanging="283"/>
      </w:pPr>
      <w:rPr>
        <w:rFonts w:ascii="Arial" w:hAnsi="Arial" w:hint="default"/>
      </w:rPr>
    </w:lvl>
    <w:lvl w:ilvl="1" w:tplc="C7523B88" w:tentative="1">
      <w:start w:val="1"/>
      <w:numFmt w:val="bullet"/>
      <w:lvlText w:val="o"/>
      <w:lvlJc w:val="left"/>
      <w:pPr>
        <w:tabs>
          <w:tab w:val="num" w:pos="1724"/>
        </w:tabs>
        <w:ind w:left="1724" w:hanging="360"/>
      </w:pPr>
      <w:rPr>
        <w:rFonts w:ascii="Courier New" w:hAnsi="Courier New" w:cs="Courier New" w:hint="default"/>
      </w:rPr>
    </w:lvl>
    <w:lvl w:ilvl="2" w:tplc="5C6613D4" w:tentative="1">
      <w:start w:val="1"/>
      <w:numFmt w:val="bullet"/>
      <w:lvlText w:val=""/>
      <w:lvlJc w:val="left"/>
      <w:pPr>
        <w:tabs>
          <w:tab w:val="num" w:pos="2444"/>
        </w:tabs>
        <w:ind w:left="2444" w:hanging="360"/>
      </w:pPr>
      <w:rPr>
        <w:rFonts w:ascii="Wingdings" w:hAnsi="Wingdings" w:hint="default"/>
      </w:rPr>
    </w:lvl>
    <w:lvl w:ilvl="3" w:tplc="2D54437C" w:tentative="1">
      <w:start w:val="1"/>
      <w:numFmt w:val="bullet"/>
      <w:lvlText w:val=""/>
      <w:lvlJc w:val="left"/>
      <w:pPr>
        <w:tabs>
          <w:tab w:val="num" w:pos="3164"/>
        </w:tabs>
        <w:ind w:left="3164" w:hanging="360"/>
      </w:pPr>
      <w:rPr>
        <w:rFonts w:ascii="Symbol" w:hAnsi="Symbol" w:hint="default"/>
      </w:rPr>
    </w:lvl>
    <w:lvl w:ilvl="4" w:tplc="41864212" w:tentative="1">
      <w:start w:val="1"/>
      <w:numFmt w:val="bullet"/>
      <w:lvlText w:val="o"/>
      <w:lvlJc w:val="left"/>
      <w:pPr>
        <w:tabs>
          <w:tab w:val="num" w:pos="3884"/>
        </w:tabs>
        <w:ind w:left="3884" w:hanging="360"/>
      </w:pPr>
      <w:rPr>
        <w:rFonts w:ascii="Courier New" w:hAnsi="Courier New" w:cs="Courier New" w:hint="default"/>
      </w:rPr>
    </w:lvl>
    <w:lvl w:ilvl="5" w:tplc="FE3839C8" w:tentative="1">
      <w:start w:val="1"/>
      <w:numFmt w:val="bullet"/>
      <w:lvlText w:val=""/>
      <w:lvlJc w:val="left"/>
      <w:pPr>
        <w:tabs>
          <w:tab w:val="num" w:pos="4604"/>
        </w:tabs>
        <w:ind w:left="4604" w:hanging="360"/>
      </w:pPr>
      <w:rPr>
        <w:rFonts w:ascii="Wingdings" w:hAnsi="Wingdings" w:hint="default"/>
      </w:rPr>
    </w:lvl>
    <w:lvl w:ilvl="6" w:tplc="2DC41034" w:tentative="1">
      <w:start w:val="1"/>
      <w:numFmt w:val="bullet"/>
      <w:lvlText w:val=""/>
      <w:lvlJc w:val="left"/>
      <w:pPr>
        <w:tabs>
          <w:tab w:val="num" w:pos="5324"/>
        </w:tabs>
        <w:ind w:left="5324" w:hanging="360"/>
      </w:pPr>
      <w:rPr>
        <w:rFonts w:ascii="Symbol" w:hAnsi="Symbol" w:hint="default"/>
      </w:rPr>
    </w:lvl>
    <w:lvl w:ilvl="7" w:tplc="E3E8E20C" w:tentative="1">
      <w:start w:val="1"/>
      <w:numFmt w:val="bullet"/>
      <w:lvlText w:val="o"/>
      <w:lvlJc w:val="left"/>
      <w:pPr>
        <w:tabs>
          <w:tab w:val="num" w:pos="6044"/>
        </w:tabs>
        <w:ind w:left="6044" w:hanging="360"/>
      </w:pPr>
      <w:rPr>
        <w:rFonts w:ascii="Courier New" w:hAnsi="Courier New" w:cs="Courier New" w:hint="default"/>
      </w:rPr>
    </w:lvl>
    <w:lvl w:ilvl="8" w:tplc="64DCAAC8" w:tentative="1">
      <w:start w:val="1"/>
      <w:numFmt w:val="bullet"/>
      <w:lvlText w:val=""/>
      <w:lvlJc w:val="left"/>
      <w:pPr>
        <w:tabs>
          <w:tab w:val="num" w:pos="6764"/>
        </w:tabs>
        <w:ind w:left="6764" w:hanging="360"/>
      </w:pPr>
      <w:rPr>
        <w:rFonts w:ascii="Wingdings" w:hAnsi="Wingdings" w:hint="default"/>
      </w:rPr>
    </w:lvl>
  </w:abstractNum>
  <w:abstractNum w:abstractNumId="9">
    <w:nsid w:val="3C5B3116"/>
    <w:multiLevelType w:val="hybridMultilevel"/>
    <w:tmpl w:val="55202C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D2C088B"/>
    <w:multiLevelType w:val="hybridMultilevel"/>
    <w:tmpl w:val="D122B6B0"/>
    <w:lvl w:ilvl="0" w:tplc="BA084578">
      <w:start w:val="1"/>
      <w:numFmt w:val="bullet"/>
      <w:lvlText w:val=""/>
      <w:lvlJc w:val="left"/>
      <w:pPr>
        <w:ind w:left="720" w:hanging="360"/>
      </w:pPr>
      <w:rPr>
        <w:rFonts w:ascii="Symbol" w:hAnsi="Symbol" w:hint="default"/>
      </w:rPr>
    </w:lvl>
    <w:lvl w:ilvl="1" w:tplc="5958EC50" w:tentative="1">
      <w:start w:val="1"/>
      <w:numFmt w:val="bullet"/>
      <w:lvlText w:val="o"/>
      <w:lvlJc w:val="left"/>
      <w:pPr>
        <w:ind w:left="1440" w:hanging="360"/>
      </w:pPr>
      <w:rPr>
        <w:rFonts w:ascii="Courier New" w:hAnsi="Courier New" w:cs="Courier New" w:hint="default"/>
      </w:rPr>
    </w:lvl>
    <w:lvl w:ilvl="2" w:tplc="5FE8C0BE" w:tentative="1">
      <w:start w:val="1"/>
      <w:numFmt w:val="bullet"/>
      <w:lvlText w:val=""/>
      <w:lvlJc w:val="left"/>
      <w:pPr>
        <w:ind w:left="2160" w:hanging="360"/>
      </w:pPr>
      <w:rPr>
        <w:rFonts w:ascii="Wingdings" w:hAnsi="Wingdings" w:hint="default"/>
      </w:rPr>
    </w:lvl>
    <w:lvl w:ilvl="3" w:tplc="EC7AC18A" w:tentative="1">
      <w:start w:val="1"/>
      <w:numFmt w:val="bullet"/>
      <w:lvlText w:val=""/>
      <w:lvlJc w:val="left"/>
      <w:pPr>
        <w:ind w:left="2880" w:hanging="360"/>
      </w:pPr>
      <w:rPr>
        <w:rFonts w:ascii="Symbol" w:hAnsi="Symbol" w:hint="default"/>
      </w:rPr>
    </w:lvl>
    <w:lvl w:ilvl="4" w:tplc="55E237F0" w:tentative="1">
      <w:start w:val="1"/>
      <w:numFmt w:val="bullet"/>
      <w:lvlText w:val="o"/>
      <w:lvlJc w:val="left"/>
      <w:pPr>
        <w:ind w:left="3600" w:hanging="360"/>
      </w:pPr>
      <w:rPr>
        <w:rFonts w:ascii="Courier New" w:hAnsi="Courier New" w:cs="Courier New" w:hint="default"/>
      </w:rPr>
    </w:lvl>
    <w:lvl w:ilvl="5" w:tplc="5E2A0CEC" w:tentative="1">
      <w:start w:val="1"/>
      <w:numFmt w:val="bullet"/>
      <w:lvlText w:val=""/>
      <w:lvlJc w:val="left"/>
      <w:pPr>
        <w:ind w:left="4320" w:hanging="360"/>
      </w:pPr>
      <w:rPr>
        <w:rFonts w:ascii="Wingdings" w:hAnsi="Wingdings" w:hint="default"/>
      </w:rPr>
    </w:lvl>
    <w:lvl w:ilvl="6" w:tplc="0BCCD43A" w:tentative="1">
      <w:start w:val="1"/>
      <w:numFmt w:val="bullet"/>
      <w:lvlText w:val=""/>
      <w:lvlJc w:val="left"/>
      <w:pPr>
        <w:ind w:left="5040" w:hanging="360"/>
      </w:pPr>
      <w:rPr>
        <w:rFonts w:ascii="Symbol" w:hAnsi="Symbol" w:hint="default"/>
      </w:rPr>
    </w:lvl>
    <w:lvl w:ilvl="7" w:tplc="49BE7580" w:tentative="1">
      <w:start w:val="1"/>
      <w:numFmt w:val="bullet"/>
      <w:lvlText w:val="o"/>
      <w:lvlJc w:val="left"/>
      <w:pPr>
        <w:ind w:left="5760" w:hanging="360"/>
      </w:pPr>
      <w:rPr>
        <w:rFonts w:ascii="Courier New" w:hAnsi="Courier New" w:cs="Courier New" w:hint="default"/>
      </w:rPr>
    </w:lvl>
    <w:lvl w:ilvl="8" w:tplc="2FEE1516" w:tentative="1">
      <w:start w:val="1"/>
      <w:numFmt w:val="bullet"/>
      <w:lvlText w:val=""/>
      <w:lvlJc w:val="left"/>
      <w:pPr>
        <w:ind w:left="6480" w:hanging="360"/>
      </w:pPr>
      <w:rPr>
        <w:rFonts w:ascii="Wingdings" w:hAnsi="Wingdings" w:hint="default"/>
      </w:rPr>
    </w:lvl>
  </w:abstractNum>
  <w:abstractNum w:abstractNumId="11">
    <w:nsid w:val="4A043CDC"/>
    <w:multiLevelType w:val="hybridMultilevel"/>
    <w:tmpl w:val="0292D2C0"/>
    <w:lvl w:ilvl="0" w:tplc="7CCAF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70773ED"/>
    <w:multiLevelType w:val="hybridMultilevel"/>
    <w:tmpl w:val="2024886A"/>
    <w:lvl w:ilvl="0" w:tplc="8F50515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D0B31E4"/>
    <w:multiLevelType w:val="hybridMultilevel"/>
    <w:tmpl w:val="6AF80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04B75E6"/>
    <w:multiLevelType w:val="hybridMultilevel"/>
    <w:tmpl w:val="B6DCCD4C"/>
    <w:lvl w:ilvl="0" w:tplc="25522D5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50E0CA1"/>
    <w:multiLevelType w:val="hybridMultilevel"/>
    <w:tmpl w:val="5F78FE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63F595D"/>
    <w:multiLevelType w:val="hybridMultilevel"/>
    <w:tmpl w:val="86B69502"/>
    <w:lvl w:ilvl="0" w:tplc="0C09000F">
      <w:start w:val="1"/>
      <w:numFmt w:val="bullet"/>
      <w:pStyle w:val="Instructions2"/>
      <w:lvlText w:val="­"/>
      <w:lvlJc w:val="left"/>
      <w:pPr>
        <w:ind w:left="644" w:hanging="360"/>
      </w:pPr>
      <w:rPr>
        <w:rFonts w:ascii="Calibri" w:hAnsi="Calibri" w:hint="default"/>
      </w:rPr>
    </w:lvl>
    <w:lvl w:ilvl="1" w:tplc="04090019" w:tentative="1">
      <w:start w:val="1"/>
      <w:numFmt w:val="bullet"/>
      <w:lvlText w:val="o"/>
      <w:lvlJc w:val="left"/>
      <w:pPr>
        <w:ind w:left="1610" w:hanging="360"/>
      </w:pPr>
      <w:rPr>
        <w:rFonts w:ascii="Courier New" w:hAnsi="Courier New" w:cs="Courier New" w:hint="default"/>
      </w:rPr>
    </w:lvl>
    <w:lvl w:ilvl="2" w:tplc="0409001B" w:tentative="1">
      <w:start w:val="1"/>
      <w:numFmt w:val="bullet"/>
      <w:lvlText w:val=""/>
      <w:lvlJc w:val="left"/>
      <w:pPr>
        <w:ind w:left="2330" w:hanging="360"/>
      </w:pPr>
      <w:rPr>
        <w:rFonts w:ascii="Wingdings" w:hAnsi="Wingdings" w:hint="default"/>
      </w:rPr>
    </w:lvl>
    <w:lvl w:ilvl="3" w:tplc="0409000F" w:tentative="1">
      <w:start w:val="1"/>
      <w:numFmt w:val="bullet"/>
      <w:lvlText w:val=""/>
      <w:lvlJc w:val="left"/>
      <w:pPr>
        <w:ind w:left="3050" w:hanging="360"/>
      </w:pPr>
      <w:rPr>
        <w:rFonts w:ascii="Symbol" w:hAnsi="Symbol" w:hint="default"/>
      </w:rPr>
    </w:lvl>
    <w:lvl w:ilvl="4" w:tplc="04090019" w:tentative="1">
      <w:start w:val="1"/>
      <w:numFmt w:val="bullet"/>
      <w:lvlText w:val="o"/>
      <w:lvlJc w:val="left"/>
      <w:pPr>
        <w:ind w:left="3770" w:hanging="360"/>
      </w:pPr>
      <w:rPr>
        <w:rFonts w:ascii="Courier New" w:hAnsi="Courier New" w:cs="Courier New" w:hint="default"/>
      </w:rPr>
    </w:lvl>
    <w:lvl w:ilvl="5" w:tplc="0409001B" w:tentative="1">
      <w:start w:val="1"/>
      <w:numFmt w:val="bullet"/>
      <w:lvlText w:val=""/>
      <w:lvlJc w:val="left"/>
      <w:pPr>
        <w:ind w:left="4490" w:hanging="360"/>
      </w:pPr>
      <w:rPr>
        <w:rFonts w:ascii="Wingdings" w:hAnsi="Wingdings" w:hint="default"/>
      </w:rPr>
    </w:lvl>
    <w:lvl w:ilvl="6" w:tplc="0409000F" w:tentative="1">
      <w:start w:val="1"/>
      <w:numFmt w:val="bullet"/>
      <w:lvlText w:val=""/>
      <w:lvlJc w:val="left"/>
      <w:pPr>
        <w:ind w:left="5210" w:hanging="360"/>
      </w:pPr>
      <w:rPr>
        <w:rFonts w:ascii="Symbol" w:hAnsi="Symbol" w:hint="default"/>
      </w:rPr>
    </w:lvl>
    <w:lvl w:ilvl="7" w:tplc="04090019" w:tentative="1">
      <w:start w:val="1"/>
      <w:numFmt w:val="bullet"/>
      <w:lvlText w:val="o"/>
      <w:lvlJc w:val="left"/>
      <w:pPr>
        <w:ind w:left="5930" w:hanging="360"/>
      </w:pPr>
      <w:rPr>
        <w:rFonts w:ascii="Courier New" w:hAnsi="Courier New" w:cs="Courier New" w:hint="default"/>
      </w:rPr>
    </w:lvl>
    <w:lvl w:ilvl="8" w:tplc="0409001B" w:tentative="1">
      <w:start w:val="1"/>
      <w:numFmt w:val="bullet"/>
      <w:lvlText w:val=""/>
      <w:lvlJc w:val="left"/>
      <w:pPr>
        <w:ind w:left="6650" w:hanging="360"/>
      </w:pPr>
      <w:rPr>
        <w:rFonts w:ascii="Wingdings" w:hAnsi="Wingdings" w:hint="default"/>
      </w:rPr>
    </w:lvl>
  </w:abstractNum>
  <w:abstractNum w:abstractNumId="17">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8">
    <w:nsid w:val="6D214E8B"/>
    <w:multiLevelType w:val="hybridMultilevel"/>
    <w:tmpl w:val="A08485A4"/>
    <w:lvl w:ilvl="0" w:tplc="E5709D3A">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327C123A" w:tentative="1">
      <w:start w:val="1"/>
      <w:numFmt w:val="bullet"/>
      <w:lvlText w:val="o"/>
      <w:lvlJc w:val="left"/>
      <w:pPr>
        <w:tabs>
          <w:tab w:val="num" w:pos="1440"/>
        </w:tabs>
        <w:ind w:left="1440" w:hanging="360"/>
      </w:pPr>
      <w:rPr>
        <w:rFonts w:ascii="Courier New" w:hAnsi="Courier New" w:cs="Courier New" w:hint="default"/>
      </w:rPr>
    </w:lvl>
    <w:lvl w:ilvl="2" w:tplc="81506DC4" w:tentative="1">
      <w:start w:val="1"/>
      <w:numFmt w:val="bullet"/>
      <w:lvlText w:val=""/>
      <w:lvlJc w:val="left"/>
      <w:pPr>
        <w:tabs>
          <w:tab w:val="num" w:pos="2160"/>
        </w:tabs>
        <w:ind w:left="2160" w:hanging="360"/>
      </w:pPr>
      <w:rPr>
        <w:rFonts w:ascii="Wingdings" w:hAnsi="Wingdings" w:hint="default"/>
      </w:rPr>
    </w:lvl>
    <w:lvl w:ilvl="3" w:tplc="6F94F992" w:tentative="1">
      <w:start w:val="1"/>
      <w:numFmt w:val="bullet"/>
      <w:lvlText w:val=""/>
      <w:lvlJc w:val="left"/>
      <w:pPr>
        <w:tabs>
          <w:tab w:val="num" w:pos="2880"/>
        </w:tabs>
        <w:ind w:left="2880" w:hanging="360"/>
      </w:pPr>
      <w:rPr>
        <w:rFonts w:ascii="Symbol" w:hAnsi="Symbol" w:hint="default"/>
      </w:rPr>
    </w:lvl>
    <w:lvl w:ilvl="4" w:tplc="F92EEEB2" w:tentative="1">
      <w:start w:val="1"/>
      <w:numFmt w:val="bullet"/>
      <w:lvlText w:val="o"/>
      <w:lvlJc w:val="left"/>
      <w:pPr>
        <w:tabs>
          <w:tab w:val="num" w:pos="3600"/>
        </w:tabs>
        <w:ind w:left="3600" w:hanging="360"/>
      </w:pPr>
      <w:rPr>
        <w:rFonts w:ascii="Courier New" w:hAnsi="Courier New" w:cs="Courier New" w:hint="default"/>
      </w:rPr>
    </w:lvl>
    <w:lvl w:ilvl="5" w:tplc="CCC2B46A" w:tentative="1">
      <w:start w:val="1"/>
      <w:numFmt w:val="bullet"/>
      <w:lvlText w:val=""/>
      <w:lvlJc w:val="left"/>
      <w:pPr>
        <w:tabs>
          <w:tab w:val="num" w:pos="4320"/>
        </w:tabs>
        <w:ind w:left="4320" w:hanging="360"/>
      </w:pPr>
      <w:rPr>
        <w:rFonts w:ascii="Wingdings" w:hAnsi="Wingdings" w:hint="default"/>
      </w:rPr>
    </w:lvl>
    <w:lvl w:ilvl="6" w:tplc="B36E3A36" w:tentative="1">
      <w:start w:val="1"/>
      <w:numFmt w:val="bullet"/>
      <w:lvlText w:val=""/>
      <w:lvlJc w:val="left"/>
      <w:pPr>
        <w:tabs>
          <w:tab w:val="num" w:pos="5040"/>
        </w:tabs>
        <w:ind w:left="5040" w:hanging="360"/>
      </w:pPr>
      <w:rPr>
        <w:rFonts w:ascii="Symbol" w:hAnsi="Symbol" w:hint="default"/>
      </w:rPr>
    </w:lvl>
    <w:lvl w:ilvl="7" w:tplc="74B23D6A" w:tentative="1">
      <w:start w:val="1"/>
      <w:numFmt w:val="bullet"/>
      <w:lvlText w:val="o"/>
      <w:lvlJc w:val="left"/>
      <w:pPr>
        <w:tabs>
          <w:tab w:val="num" w:pos="5760"/>
        </w:tabs>
        <w:ind w:left="5760" w:hanging="360"/>
      </w:pPr>
      <w:rPr>
        <w:rFonts w:ascii="Courier New" w:hAnsi="Courier New" w:cs="Courier New" w:hint="default"/>
      </w:rPr>
    </w:lvl>
    <w:lvl w:ilvl="8" w:tplc="782809E4" w:tentative="1">
      <w:start w:val="1"/>
      <w:numFmt w:val="bullet"/>
      <w:lvlText w:val=""/>
      <w:lvlJc w:val="left"/>
      <w:pPr>
        <w:tabs>
          <w:tab w:val="num" w:pos="6480"/>
        </w:tabs>
        <w:ind w:left="6480" w:hanging="360"/>
      </w:pPr>
      <w:rPr>
        <w:rFonts w:ascii="Wingdings" w:hAnsi="Wingdings" w:hint="default"/>
      </w:rPr>
    </w:lvl>
  </w:abstractNum>
  <w:abstractNum w:abstractNumId="19">
    <w:nsid w:val="6D5C1E58"/>
    <w:multiLevelType w:val="hybridMultilevel"/>
    <w:tmpl w:val="7F0A2BF6"/>
    <w:lvl w:ilvl="0" w:tplc="0310CC48">
      <w:start w:val="1"/>
      <w:numFmt w:val="bullet"/>
      <w:lvlText w:val=""/>
      <w:lvlJc w:val="left"/>
      <w:pPr>
        <w:ind w:left="720" w:hanging="360"/>
      </w:pPr>
      <w:rPr>
        <w:rFonts w:ascii="Symbol" w:hAnsi="Symbol" w:hint="default"/>
      </w:rPr>
    </w:lvl>
    <w:lvl w:ilvl="1" w:tplc="0C090019">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0">
    <w:nsid w:val="76197BF1"/>
    <w:multiLevelType w:val="hybridMultilevel"/>
    <w:tmpl w:val="2FCAD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3"/>
  </w:num>
  <w:num w:numId="4">
    <w:abstractNumId w:val="4"/>
  </w:num>
  <w:num w:numId="5">
    <w:abstractNumId w:val="3"/>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6">
    <w:abstractNumId w:val="17"/>
  </w:num>
  <w:num w:numId="7">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abstractNumId w:val="18"/>
  </w:num>
  <w:num w:numId="9">
    <w:abstractNumId w:val="7"/>
  </w:num>
  <w:num w:numId="10">
    <w:abstractNumId w:val="8"/>
  </w:num>
  <w:num w:numId="11">
    <w:abstractNumId w:val="0"/>
  </w:num>
  <w:num w:numId="12">
    <w:abstractNumId w:val="16"/>
  </w:num>
  <w:num w:numId="13">
    <w:abstractNumId w:val="2"/>
  </w:num>
  <w:num w:numId="14">
    <w:abstractNumId w:val="13"/>
  </w:num>
  <w:num w:numId="15">
    <w:abstractNumId w:val="5"/>
  </w:num>
  <w:num w:numId="16">
    <w:abstractNumId w:val="11"/>
  </w:num>
  <w:num w:numId="17">
    <w:abstractNumId w:val="19"/>
  </w:num>
  <w:num w:numId="18">
    <w:abstractNumId w:val="12"/>
  </w:num>
  <w:num w:numId="19">
    <w:abstractNumId w:val="6"/>
  </w:num>
  <w:num w:numId="20">
    <w:abstractNumId w:val="14"/>
  </w:num>
  <w:num w:numId="21">
    <w:abstractNumId w:val="20"/>
  </w:num>
  <w:num w:numId="22">
    <w:abstractNumId w:val="10"/>
  </w:num>
  <w:num w:numId="23">
    <w:abstractNumId w:val="1"/>
  </w:num>
  <w:num w:numId="24">
    <w:abstractNumId w:val="15"/>
  </w:num>
  <w:num w:numId="25">
    <w:abstractNumId w:val="9"/>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attachedTemplate r:id="rId1"/>
  <w:stylePaneFormatFilter w:val="1001"/>
  <w:stylePaneSortMethod w:val="0000"/>
  <w:defaultTabStop w:val="720"/>
  <w:drawingGridHorizontalSpacing w:val="110"/>
  <w:displayHorizontalDrawingGridEvery w:val="2"/>
  <w:characterSpacingControl w:val="doNotCompress"/>
  <w:hdrShapeDefaults>
    <o:shapedefaults v:ext="edit" spidmax="47107">
      <o:colormenu v:ext="edit" fillcolor="none [3206]"/>
    </o:shapedefaults>
    <o:shapelayout v:ext="edit">
      <o:idmap v:ext="edit" data="46"/>
    </o:shapelayout>
  </w:hdrShapeDefaults>
  <w:footnotePr>
    <w:footnote w:id="-1"/>
    <w:footnote w:id="0"/>
  </w:footnotePr>
  <w:endnotePr>
    <w:endnote w:id="-1"/>
    <w:endnote w:id="0"/>
  </w:endnotePr>
  <w:compat/>
  <w:rsids>
    <w:rsidRoot w:val="00E07ECC"/>
    <w:rsid w:val="00002031"/>
    <w:rsid w:val="00004734"/>
    <w:rsid w:val="00006B22"/>
    <w:rsid w:val="0001276A"/>
    <w:rsid w:val="000246AE"/>
    <w:rsid w:val="00025C67"/>
    <w:rsid w:val="00040ACB"/>
    <w:rsid w:val="0005559E"/>
    <w:rsid w:val="00077775"/>
    <w:rsid w:val="00081C6D"/>
    <w:rsid w:val="00090471"/>
    <w:rsid w:val="000A3AED"/>
    <w:rsid w:val="000A63AF"/>
    <w:rsid w:val="000A6651"/>
    <w:rsid w:val="000B3532"/>
    <w:rsid w:val="000B3A75"/>
    <w:rsid w:val="000C690F"/>
    <w:rsid w:val="000D0180"/>
    <w:rsid w:val="000D1295"/>
    <w:rsid w:val="000D19BC"/>
    <w:rsid w:val="000D391B"/>
    <w:rsid w:val="000D3D6D"/>
    <w:rsid w:val="000D4FC7"/>
    <w:rsid w:val="000F02F9"/>
    <w:rsid w:val="000F4869"/>
    <w:rsid w:val="000F5B42"/>
    <w:rsid w:val="000F6E6F"/>
    <w:rsid w:val="00104613"/>
    <w:rsid w:val="0010601F"/>
    <w:rsid w:val="0010788A"/>
    <w:rsid w:val="00107A31"/>
    <w:rsid w:val="00110EA5"/>
    <w:rsid w:val="00111588"/>
    <w:rsid w:val="00112F56"/>
    <w:rsid w:val="00125318"/>
    <w:rsid w:val="001305A2"/>
    <w:rsid w:val="00133238"/>
    <w:rsid w:val="0014197B"/>
    <w:rsid w:val="001447CD"/>
    <w:rsid w:val="001516B1"/>
    <w:rsid w:val="00154EBB"/>
    <w:rsid w:val="00156316"/>
    <w:rsid w:val="00165389"/>
    <w:rsid w:val="0017078F"/>
    <w:rsid w:val="0017693F"/>
    <w:rsid w:val="0018110E"/>
    <w:rsid w:val="00181684"/>
    <w:rsid w:val="001843C6"/>
    <w:rsid w:val="001850E0"/>
    <w:rsid w:val="001A2158"/>
    <w:rsid w:val="001A2E35"/>
    <w:rsid w:val="001A525F"/>
    <w:rsid w:val="001B09F9"/>
    <w:rsid w:val="001B6448"/>
    <w:rsid w:val="001E07CF"/>
    <w:rsid w:val="001E59F1"/>
    <w:rsid w:val="001F49EB"/>
    <w:rsid w:val="001F6CBA"/>
    <w:rsid w:val="00201D4E"/>
    <w:rsid w:val="002076C9"/>
    <w:rsid w:val="00220B8A"/>
    <w:rsid w:val="002257F3"/>
    <w:rsid w:val="00233456"/>
    <w:rsid w:val="002339A5"/>
    <w:rsid w:val="00257848"/>
    <w:rsid w:val="002666AC"/>
    <w:rsid w:val="0027084A"/>
    <w:rsid w:val="00286434"/>
    <w:rsid w:val="00286C59"/>
    <w:rsid w:val="00292113"/>
    <w:rsid w:val="002942D1"/>
    <w:rsid w:val="0029501A"/>
    <w:rsid w:val="002B1638"/>
    <w:rsid w:val="002C63ED"/>
    <w:rsid w:val="002D6161"/>
    <w:rsid w:val="002E4C9A"/>
    <w:rsid w:val="002E4F77"/>
    <w:rsid w:val="002F11F8"/>
    <w:rsid w:val="002F3F56"/>
    <w:rsid w:val="002F44B5"/>
    <w:rsid w:val="00311AC0"/>
    <w:rsid w:val="0032583B"/>
    <w:rsid w:val="00327883"/>
    <w:rsid w:val="00335504"/>
    <w:rsid w:val="003521E8"/>
    <w:rsid w:val="003728F3"/>
    <w:rsid w:val="0037496E"/>
    <w:rsid w:val="0037623D"/>
    <w:rsid w:val="0037663D"/>
    <w:rsid w:val="00386150"/>
    <w:rsid w:val="003874CE"/>
    <w:rsid w:val="00390900"/>
    <w:rsid w:val="003A7F6C"/>
    <w:rsid w:val="003B1113"/>
    <w:rsid w:val="003B4D60"/>
    <w:rsid w:val="003B634F"/>
    <w:rsid w:val="003B7E39"/>
    <w:rsid w:val="003C2B8A"/>
    <w:rsid w:val="003C58DC"/>
    <w:rsid w:val="003D0A3B"/>
    <w:rsid w:val="003D1E62"/>
    <w:rsid w:val="003E2486"/>
    <w:rsid w:val="003E3208"/>
    <w:rsid w:val="003F0B04"/>
    <w:rsid w:val="003F242E"/>
    <w:rsid w:val="0040134E"/>
    <w:rsid w:val="00415D59"/>
    <w:rsid w:val="00423552"/>
    <w:rsid w:val="0043797D"/>
    <w:rsid w:val="00440656"/>
    <w:rsid w:val="00440A2D"/>
    <w:rsid w:val="004510A5"/>
    <w:rsid w:val="004564A7"/>
    <w:rsid w:val="004617BF"/>
    <w:rsid w:val="00463658"/>
    <w:rsid w:val="004722CC"/>
    <w:rsid w:val="004936E4"/>
    <w:rsid w:val="00494E60"/>
    <w:rsid w:val="00497487"/>
    <w:rsid w:val="004A7E13"/>
    <w:rsid w:val="004B7B76"/>
    <w:rsid w:val="004C2DCA"/>
    <w:rsid w:val="004F0F38"/>
    <w:rsid w:val="00501921"/>
    <w:rsid w:val="00530354"/>
    <w:rsid w:val="005303DE"/>
    <w:rsid w:val="0053625B"/>
    <w:rsid w:val="005434C6"/>
    <w:rsid w:val="00543B39"/>
    <w:rsid w:val="00550096"/>
    <w:rsid w:val="00557FF9"/>
    <w:rsid w:val="00576378"/>
    <w:rsid w:val="00577945"/>
    <w:rsid w:val="00577E38"/>
    <w:rsid w:val="00585322"/>
    <w:rsid w:val="005857C6"/>
    <w:rsid w:val="00586F98"/>
    <w:rsid w:val="00592F6E"/>
    <w:rsid w:val="00593AD1"/>
    <w:rsid w:val="005A68B6"/>
    <w:rsid w:val="005C5570"/>
    <w:rsid w:val="005C79A4"/>
    <w:rsid w:val="005D5442"/>
    <w:rsid w:val="00603F32"/>
    <w:rsid w:val="00625969"/>
    <w:rsid w:val="00632398"/>
    <w:rsid w:val="00640C21"/>
    <w:rsid w:val="00640FC3"/>
    <w:rsid w:val="00642020"/>
    <w:rsid w:val="00646206"/>
    <w:rsid w:val="0065337B"/>
    <w:rsid w:val="0065419D"/>
    <w:rsid w:val="006604D8"/>
    <w:rsid w:val="00664A5B"/>
    <w:rsid w:val="006763D2"/>
    <w:rsid w:val="00680C08"/>
    <w:rsid w:val="006931B1"/>
    <w:rsid w:val="006A14BE"/>
    <w:rsid w:val="006A15C0"/>
    <w:rsid w:val="006C130C"/>
    <w:rsid w:val="006C3E2A"/>
    <w:rsid w:val="006C642F"/>
    <w:rsid w:val="006D03E5"/>
    <w:rsid w:val="006D5D3E"/>
    <w:rsid w:val="006E08B3"/>
    <w:rsid w:val="006F17AC"/>
    <w:rsid w:val="006F1D37"/>
    <w:rsid w:val="006F2796"/>
    <w:rsid w:val="006F572E"/>
    <w:rsid w:val="007046D6"/>
    <w:rsid w:val="00705DB0"/>
    <w:rsid w:val="00720928"/>
    <w:rsid w:val="00722B57"/>
    <w:rsid w:val="0074253D"/>
    <w:rsid w:val="0074429B"/>
    <w:rsid w:val="007513B4"/>
    <w:rsid w:val="00753BAA"/>
    <w:rsid w:val="007615BC"/>
    <w:rsid w:val="00762F05"/>
    <w:rsid w:val="007652FF"/>
    <w:rsid w:val="00770EF1"/>
    <w:rsid w:val="00773EF7"/>
    <w:rsid w:val="00774E1D"/>
    <w:rsid w:val="0077675A"/>
    <w:rsid w:val="00780355"/>
    <w:rsid w:val="0078498C"/>
    <w:rsid w:val="00785721"/>
    <w:rsid w:val="00793A59"/>
    <w:rsid w:val="007B6E9F"/>
    <w:rsid w:val="007C1216"/>
    <w:rsid w:val="007C1AF7"/>
    <w:rsid w:val="007D2C16"/>
    <w:rsid w:val="007E6E27"/>
    <w:rsid w:val="00805D27"/>
    <w:rsid w:val="00821776"/>
    <w:rsid w:val="008321F5"/>
    <w:rsid w:val="00832369"/>
    <w:rsid w:val="00834660"/>
    <w:rsid w:val="00836BC2"/>
    <w:rsid w:val="008414A0"/>
    <w:rsid w:val="008527A6"/>
    <w:rsid w:val="0085641B"/>
    <w:rsid w:val="00857136"/>
    <w:rsid w:val="00886D15"/>
    <w:rsid w:val="00887DD8"/>
    <w:rsid w:val="00896018"/>
    <w:rsid w:val="008960DD"/>
    <w:rsid w:val="0089635C"/>
    <w:rsid w:val="00896E8E"/>
    <w:rsid w:val="008A2B9D"/>
    <w:rsid w:val="008A5E0B"/>
    <w:rsid w:val="008A6D59"/>
    <w:rsid w:val="008B07CC"/>
    <w:rsid w:val="008B4B03"/>
    <w:rsid w:val="008B596F"/>
    <w:rsid w:val="008B5A3E"/>
    <w:rsid w:val="008C159F"/>
    <w:rsid w:val="008C1623"/>
    <w:rsid w:val="008C1850"/>
    <w:rsid w:val="008C51A9"/>
    <w:rsid w:val="008D770F"/>
    <w:rsid w:val="008E7846"/>
    <w:rsid w:val="008F1CCC"/>
    <w:rsid w:val="008F2967"/>
    <w:rsid w:val="008F6943"/>
    <w:rsid w:val="00902A21"/>
    <w:rsid w:val="00920330"/>
    <w:rsid w:val="009219D7"/>
    <w:rsid w:val="00922D53"/>
    <w:rsid w:val="00923B70"/>
    <w:rsid w:val="00924482"/>
    <w:rsid w:val="00930237"/>
    <w:rsid w:val="00946EA5"/>
    <w:rsid w:val="0095160F"/>
    <w:rsid w:val="00963C08"/>
    <w:rsid w:val="0098585A"/>
    <w:rsid w:val="0098669D"/>
    <w:rsid w:val="009A4CED"/>
    <w:rsid w:val="009A690D"/>
    <w:rsid w:val="009B1D12"/>
    <w:rsid w:val="009B416B"/>
    <w:rsid w:val="009C4BD5"/>
    <w:rsid w:val="009D7B77"/>
    <w:rsid w:val="009E0BB0"/>
    <w:rsid w:val="009E3FBB"/>
    <w:rsid w:val="00A102E4"/>
    <w:rsid w:val="00A12C42"/>
    <w:rsid w:val="00A14DF7"/>
    <w:rsid w:val="00A20931"/>
    <w:rsid w:val="00A235D9"/>
    <w:rsid w:val="00A239FA"/>
    <w:rsid w:val="00A3246D"/>
    <w:rsid w:val="00A36FA7"/>
    <w:rsid w:val="00A475B7"/>
    <w:rsid w:val="00A47AF7"/>
    <w:rsid w:val="00A47C3E"/>
    <w:rsid w:val="00A50226"/>
    <w:rsid w:val="00A60BAD"/>
    <w:rsid w:val="00A964D1"/>
    <w:rsid w:val="00AA0ED0"/>
    <w:rsid w:val="00AA3499"/>
    <w:rsid w:val="00AC2B40"/>
    <w:rsid w:val="00AC2BB2"/>
    <w:rsid w:val="00AC2C3C"/>
    <w:rsid w:val="00AC512D"/>
    <w:rsid w:val="00AE01C2"/>
    <w:rsid w:val="00AE65EB"/>
    <w:rsid w:val="00AE67A7"/>
    <w:rsid w:val="00AF1D94"/>
    <w:rsid w:val="00AF60C5"/>
    <w:rsid w:val="00AF774B"/>
    <w:rsid w:val="00B009C6"/>
    <w:rsid w:val="00B01548"/>
    <w:rsid w:val="00B02208"/>
    <w:rsid w:val="00B1425E"/>
    <w:rsid w:val="00B21D29"/>
    <w:rsid w:val="00B25034"/>
    <w:rsid w:val="00B33588"/>
    <w:rsid w:val="00B33863"/>
    <w:rsid w:val="00B37D17"/>
    <w:rsid w:val="00B4175E"/>
    <w:rsid w:val="00B452CE"/>
    <w:rsid w:val="00B54C25"/>
    <w:rsid w:val="00B76B91"/>
    <w:rsid w:val="00B77EB1"/>
    <w:rsid w:val="00B811C6"/>
    <w:rsid w:val="00B85A87"/>
    <w:rsid w:val="00B92E08"/>
    <w:rsid w:val="00B96EBE"/>
    <w:rsid w:val="00BC622A"/>
    <w:rsid w:val="00BD45E3"/>
    <w:rsid w:val="00BE0A78"/>
    <w:rsid w:val="00BE6252"/>
    <w:rsid w:val="00BE79F0"/>
    <w:rsid w:val="00BF046D"/>
    <w:rsid w:val="00BF1190"/>
    <w:rsid w:val="00BF5D04"/>
    <w:rsid w:val="00C1164D"/>
    <w:rsid w:val="00C16861"/>
    <w:rsid w:val="00C22678"/>
    <w:rsid w:val="00C404A6"/>
    <w:rsid w:val="00C40A36"/>
    <w:rsid w:val="00C44419"/>
    <w:rsid w:val="00C45E7B"/>
    <w:rsid w:val="00C471B1"/>
    <w:rsid w:val="00C618F7"/>
    <w:rsid w:val="00C6316B"/>
    <w:rsid w:val="00C634A9"/>
    <w:rsid w:val="00C64586"/>
    <w:rsid w:val="00C70D53"/>
    <w:rsid w:val="00C73D0B"/>
    <w:rsid w:val="00C772FF"/>
    <w:rsid w:val="00C801AF"/>
    <w:rsid w:val="00C80256"/>
    <w:rsid w:val="00C811C0"/>
    <w:rsid w:val="00CB6BC0"/>
    <w:rsid w:val="00CC1B7C"/>
    <w:rsid w:val="00CC727F"/>
    <w:rsid w:val="00CF15C3"/>
    <w:rsid w:val="00CF2B6F"/>
    <w:rsid w:val="00CF58B6"/>
    <w:rsid w:val="00D017ED"/>
    <w:rsid w:val="00D040D3"/>
    <w:rsid w:val="00D04C65"/>
    <w:rsid w:val="00D224FE"/>
    <w:rsid w:val="00D53A31"/>
    <w:rsid w:val="00D6493E"/>
    <w:rsid w:val="00D7301E"/>
    <w:rsid w:val="00D83AE1"/>
    <w:rsid w:val="00D855D4"/>
    <w:rsid w:val="00D93466"/>
    <w:rsid w:val="00DA1124"/>
    <w:rsid w:val="00DB75B7"/>
    <w:rsid w:val="00DC6E02"/>
    <w:rsid w:val="00DE02AE"/>
    <w:rsid w:val="00DF1D7F"/>
    <w:rsid w:val="00DF4BE4"/>
    <w:rsid w:val="00E02FB4"/>
    <w:rsid w:val="00E07ECC"/>
    <w:rsid w:val="00E07F15"/>
    <w:rsid w:val="00E20571"/>
    <w:rsid w:val="00E235F7"/>
    <w:rsid w:val="00E23659"/>
    <w:rsid w:val="00E239D4"/>
    <w:rsid w:val="00E26130"/>
    <w:rsid w:val="00E2741C"/>
    <w:rsid w:val="00E40B22"/>
    <w:rsid w:val="00E45619"/>
    <w:rsid w:val="00E4588F"/>
    <w:rsid w:val="00E46DA3"/>
    <w:rsid w:val="00E51BB1"/>
    <w:rsid w:val="00E624A5"/>
    <w:rsid w:val="00E72353"/>
    <w:rsid w:val="00E7344E"/>
    <w:rsid w:val="00E936E3"/>
    <w:rsid w:val="00EB0798"/>
    <w:rsid w:val="00EB40AD"/>
    <w:rsid w:val="00EB586E"/>
    <w:rsid w:val="00EB5FC8"/>
    <w:rsid w:val="00ED3CAD"/>
    <w:rsid w:val="00ED5A41"/>
    <w:rsid w:val="00EE1DE8"/>
    <w:rsid w:val="00F033EC"/>
    <w:rsid w:val="00F04F68"/>
    <w:rsid w:val="00F12670"/>
    <w:rsid w:val="00F14B27"/>
    <w:rsid w:val="00F3148D"/>
    <w:rsid w:val="00F325C5"/>
    <w:rsid w:val="00F32FE0"/>
    <w:rsid w:val="00F35298"/>
    <w:rsid w:val="00F47333"/>
    <w:rsid w:val="00F47E37"/>
    <w:rsid w:val="00F53C07"/>
    <w:rsid w:val="00F54B65"/>
    <w:rsid w:val="00F640B6"/>
    <w:rsid w:val="00F80E40"/>
    <w:rsid w:val="00F848D9"/>
    <w:rsid w:val="00FA5B82"/>
    <w:rsid w:val="00FA639E"/>
    <w:rsid w:val="00FC0DB8"/>
    <w:rsid w:val="00FC25E4"/>
    <w:rsid w:val="00FC3F50"/>
    <w:rsid w:val="00FC4EF7"/>
    <w:rsid w:val="00FD4F49"/>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6"/>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6"/>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6"/>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6"/>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E07ECC"/>
    <w:pPr>
      <w:keepNext/>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outlineLvl w:val="7"/>
    </w:pPr>
    <w:rPr>
      <w:rFonts w:eastAsia="Times New Roman"/>
      <w:i/>
      <w:iCs/>
      <w:kern w:val="16"/>
      <w:szCs w:val="24"/>
      <w:u w:val="single"/>
      <w:lang w:eastAsia="en-AU"/>
    </w:rPr>
  </w:style>
  <w:style w:type="paragraph" w:styleId="Heading9">
    <w:name w:val="heading 9"/>
    <w:basedOn w:val="Normal"/>
    <w:next w:val="Normal"/>
    <w:link w:val="Heading9Char"/>
    <w:qFormat/>
    <w:rsid w:val="00E07EC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outlineLvl w:val="8"/>
    </w:pPr>
    <w:rPr>
      <w:rFonts w:eastAsia="Times New Roman" w:cs="Arial"/>
      <w:i/>
      <w:kern w:val="1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4"/>
      </w:numPr>
    </w:pPr>
  </w:style>
  <w:style w:type="paragraph" w:styleId="ListBullet2">
    <w:name w:val="List Bullet 2"/>
    <w:basedOn w:val="Normal"/>
    <w:uiPriority w:val="99"/>
    <w:qFormat/>
    <w:rsid w:val="004C2DCA"/>
    <w:pPr>
      <w:numPr>
        <w:ilvl w:val="1"/>
        <w:numId w:val="4"/>
      </w:numPr>
    </w:pPr>
  </w:style>
  <w:style w:type="paragraph" w:styleId="ListBullet3">
    <w:name w:val="List Bullet 3"/>
    <w:basedOn w:val="Normal"/>
    <w:uiPriority w:val="99"/>
    <w:qFormat/>
    <w:rsid w:val="004C2DCA"/>
    <w:pPr>
      <w:numPr>
        <w:ilvl w:val="2"/>
        <w:numId w:val="4"/>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5"/>
      </w:numPr>
    </w:pPr>
  </w:style>
  <w:style w:type="paragraph" w:customStyle="1" w:styleId="Numberbullet2">
    <w:name w:val="Number bullet 2"/>
    <w:basedOn w:val="ListBullet2"/>
    <w:qFormat/>
    <w:rsid w:val="004C2DCA"/>
    <w:pPr>
      <w:numPr>
        <w:numId w:val="5"/>
      </w:numPr>
    </w:pPr>
  </w:style>
  <w:style w:type="paragraph" w:customStyle="1" w:styleId="Numberbullet3">
    <w:name w:val="Number bullet 3"/>
    <w:basedOn w:val="ListBullet3"/>
    <w:qFormat/>
    <w:rsid w:val="004C2DCA"/>
    <w:pPr>
      <w:numPr>
        <w:numId w:val="5"/>
      </w:numPr>
    </w:pPr>
  </w:style>
  <w:style w:type="numbering" w:customStyle="1" w:styleId="NumberBullet">
    <w:name w:val="NumberBullet"/>
    <w:uiPriority w:val="99"/>
    <w:locked/>
    <w:rsid w:val="00F3148D"/>
    <w:pPr>
      <w:numPr>
        <w:numId w:val="3"/>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Heading0inTOC">
    <w:name w:val="Heading 0 (in TOC)"/>
    <w:basedOn w:val="Heading1"/>
    <w:next w:val="Normal"/>
    <w:rsid w:val="00E07ECC"/>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Abbreviations">
    <w:name w:val="Abbreviations"/>
    <w:basedOn w:val="Normal"/>
    <w:rsid w:val="00E07ECC"/>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character" w:styleId="PageNumber">
    <w:name w:val="page number"/>
    <w:basedOn w:val="DefaultParagraphFont"/>
    <w:rsid w:val="00E07ECC"/>
    <w:rPr>
      <w:sz w:val="20"/>
    </w:rPr>
  </w:style>
  <w:style w:type="character" w:customStyle="1" w:styleId="Heading8Char">
    <w:name w:val="Heading 8 Char"/>
    <w:basedOn w:val="DefaultParagraphFont"/>
    <w:link w:val="Heading8"/>
    <w:rsid w:val="00E07ECC"/>
    <w:rPr>
      <w:rFonts w:ascii="Cambria" w:eastAsia="Times New Roman" w:hAnsi="Cambria" w:cs="Times New Roman"/>
      <w:i/>
      <w:iCs/>
      <w:kern w:val="16"/>
      <w:szCs w:val="24"/>
      <w:u w:val="single"/>
      <w:lang w:eastAsia="en-AU"/>
    </w:rPr>
  </w:style>
  <w:style w:type="character" w:customStyle="1" w:styleId="Heading9Char">
    <w:name w:val="Heading 9 Char"/>
    <w:basedOn w:val="DefaultParagraphFont"/>
    <w:link w:val="Heading9"/>
    <w:rsid w:val="00E07ECC"/>
    <w:rPr>
      <w:rFonts w:ascii="Cambria" w:eastAsia="Times New Roman" w:hAnsi="Cambria" w:cs="Arial"/>
      <w:i/>
      <w:kern w:val="16"/>
      <w:lang w:eastAsia="en-AU"/>
    </w:rPr>
  </w:style>
  <w:style w:type="paragraph" w:customStyle="1" w:styleId="Bullet1">
    <w:name w:val="Bullet 1"/>
    <w:basedOn w:val="Normal"/>
    <w:rsid w:val="00E07ECC"/>
    <w:pPr>
      <w:numPr>
        <w:numId w:val="9"/>
      </w:numPr>
      <w:spacing w:after="0" w:line="240" w:lineRule="auto"/>
    </w:pPr>
    <w:rPr>
      <w:rFonts w:eastAsia="Times New Roman"/>
      <w:kern w:val="24"/>
      <w:szCs w:val="24"/>
      <w:lang w:eastAsia="en-AU"/>
    </w:rPr>
  </w:style>
  <w:style w:type="paragraph" w:customStyle="1" w:styleId="Bullet2">
    <w:name w:val="Bullet 2"/>
    <w:basedOn w:val="Bullet1"/>
    <w:rsid w:val="00E07ECC"/>
    <w:pPr>
      <w:numPr>
        <w:numId w:val="10"/>
      </w:numPr>
    </w:pPr>
  </w:style>
  <w:style w:type="paragraph" w:customStyle="1" w:styleId="TableBullet">
    <w:name w:val="Table Bullet"/>
    <w:basedOn w:val="Normal"/>
    <w:rsid w:val="00E07ECC"/>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E07ECC"/>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E07ECC"/>
    <w:pPr>
      <w:spacing w:before="0" w:after="0" w:line="240" w:lineRule="auto"/>
      <w:ind w:left="960"/>
    </w:pPr>
    <w:rPr>
      <w:rFonts w:eastAsia="Times New Roman"/>
      <w:kern w:val="16"/>
      <w:sz w:val="20"/>
      <w:szCs w:val="24"/>
      <w:lang w:eastAsia="en-AU"/>
    </w:rPr>
  </w:style>
  <w:style w:type="paragraph" w:styleId="TOC6">
    <w:name w:val="toc 6"/>
    <w:basedOn w:val="Normal"/>
    <w:next w:val="Normal"/>
    <w:uiPriority w:val="39"/>
    <w:rsid w:val="00E07ECC"/>
    <w:pPr>
      <w:spacing w:before="0" w:after="0" w:line="240" w:lineRule="auto"/>
      <w:ind w:left="1200"/>
    </w:pPr>
    <w:rPr>
      <w:rFonts w:eastAsia="Times New Roman"/>
      <w:kern w:val="16"/>
      <w:sz w:val="20"/>
      <w:szCs w:val="24"/>
      <w:lang w:eastAsia="en-AU"/>
    </w:rPr>
  </w:style>
  <w:style w:type="paragraph" w:styleId="TOC7">
    <w:name w:val="toc 7"/>
    <w:basedOn w:val="Normal"/>
    <w:next w:val="Normal"/>
    <w:uiPriority w:val="39"/>
    <w:rsid w:val="00E07ECC"/>
    <w:pPr>
      <w:spacing w:before="0" w:after="0" w:line="240" w:lineRule="auto"/>
      <w:ind w:left="1440"/>
    </w:pPr>
    <w:rPr>
      <w:rFonts w:eastAsia="Times New Roman"/>
      <w:kern w:val="16"/>
      <w:sz w:val="20"/>
      <w:szCs w:val="24"/>
      <w:lang w:eastAsia="en-AU"/>
    </w:rPr>
  </w:style>
  <w:style w:type="paragraph" w:styleId="TOC8">
    <w:name w:val="toc 8"/>
    <w:basedOn w:val="Normal"/>
    <w:next w:val="Normal"/>
    <w:uiPriority w:val="39"/>
    <w:rsid w:val="00E07ECC"/>
    <w:pPr>
      <w:spacing w:before="0" w:after="0" w:line="240" w:lineRule="auto"/>
      <w:ind w:left="1680"/>
    </w:pPr>
    <w:rPr>
      <w:rFonts w:eastAsia="Times New Roman"/>
      <w:kern w:val="16"/>
      <w:sz w:val="20"/>
      <w:szCs w:val="24"/>
      <w:lang w:eastAsia="en-AU"/>
    </w:rPr>
  </w:style>
  <w:style w:type="paragraph" w:styleId="TOC9">
    <w:name w:val="toc 9"/>
    <w:basedOn w:val="Normal"/>
    <w:next w:val="Normal"/>
    <w:uiPriority w:val="39"/>
    <w:rsid w:val="00E07ECC"/>
    <w:pPr>
      <w:spacing w:before="0" w:after="0" w:line="240" w:lineRule="auto"/>
      <w:ind w:left="1920"/>
    </w:pPr>
    <w:rPr>
      <w:rFonts w:eastAsia="Times New Roman"/>
      <w:kern w:val="16"/>
      <w:sz w:val="20"/>
      <w:szCs w:val="24"/>
      <w:lang w:eastAsia="en-AU"/>
    </w:rPr>
  </w:style>
  <w:style w:type="paragraph" w:styleId="EndnoteText">
    <w:name w:val="endnote text"/>
    <w:basedOn w:val="Normal"/>
    <w:link w:val="EndnoteTextChar"/>
    <w:semiHidden/>
    <w:rsid w:val="00E07E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E07ECC"/>
    <w:rPr>
      <w:rFonts w:ascii="Cambria" w:eastAsia="Times New Roman" w:hAnsi="Cambria" w:cs="Times New Roman"/>
      <w:kern w:val="16"/>
      <w:sz w:val="20"/>
      <w:szCs w:val="20"/>
      <w:lang w:eastAsia="en-AU"/>
    </w:rPr>
  </w:style>
  <w:style w:type="character" w:styleId="EndnoteReference">
    <w:name w:val="endnote reference"/>
    <w:basedOn w:val="DefaultParagraphFont"/>
    <w:semiHidden/>
    <w:rsid w:val="00E07ECC"/>
    <w:rPr>
      <w:dstrike w:val="0"/>
      <w:vertAlign w:val="baseline"/>
    </w:rPr>
  </w:style>
  <w:style w:type="paragraph" w:styleId="FootnoteText">
    <w:name w:val="footnote text"/>
    <w:basedOn w:val="Normal"/>
    <w:link w:val="FootnoteTextChar"/>
    <w:semiHidden/>
    <w:rsid w:val="00E07E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E07ECC"/>
    <w:rPr>
      <w:rFonts w:ascii="Cambria" w:eastAsia="Times New Roman" w:hAnsi="Cambria" w:cs="Times New Roman"/>
      <w:kern w:val="16"/>
      <w:sz w:val="20"/>
      <w:szCs w:val="20"/>
      <w:lang w:eastAsia="en-AU"/>
    </w:rPr>
  </w:style>
  <w:style w:type="character" w:styleId="FootnoteReference">
    <w:name w:val="footnote reference"/>
    <w:basedOn w:val="DefaultParagraphFont"/>
    <w:uiPriority w:val="99"/>
    <w:semiHidden/>
    <w:rsid w:val="00E07ECC"/>
    <w:rPr>
      <w:vertAlign w:val="superscript"/>
    </w:rPr>
  </w:style>
  <w:style w:type="paragraph" w:customStyle="1" w:styleId="Tablenormal0">
    <w:name w:val="Table normal"/>
    <w:basedOn w:val="Normal"/>
    <w:rsid w:val="00E07E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pPr>
    <w:rPr>
      <w:rFonts w:eastAsia="Times New Roman"/>
      <w:kern w:val="16"/>
      <w:sz w:val="20"/>
      <w:szCs w:val="20"/>
      <w:lang w:eastAsia="en-AU"/>
    </w:rPr>
  </w:style>
  <w:style w:type="paragraph" w:styleId="TableofFigures">
    <w:name w:val="table of figures"/>
    <w:basedOn w:val="Normal"/>
    <w:next w:val="Normal"/>
    <w:uiPriority w:val="99"/>
    <w:rsid w:val="00E07ECC"/>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E07ECC"/>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Arial" w:eastAsia="Times New Roman" w:hAnsi="Arial" w:cs="Arial"/>
      <w:kern w:val="16"/>
      <w:sz w:val="20"/>
      <w:lang w:eastAsia="en-AU"/>
    </w:rPr>
  </w:style>
  <w:style w:type="paragraph" w:customStyle="1" w:styleId="Comment1">
    <w:name w:val="Comment 1"/>
    <w:basedOn w:val="Normal"/>
    <w:next w:val="Comment2"/>
    <w:qFormat/>
    <w:rsid w:val="00E07ECC"/>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Arial" w:eastAsia="Times New Roman" w:hAnsi="Arial" w:cs="Arial"/>
      <w:kern w:val="16"/>
      <w:sz w:val="20"/>
      <w:szCs w:val="20"/>
      <w:lang w:eastAsia="en-AU"/>
    </w:rPr>
  </w:style>
  <w:style w:type="paragraph" w:customStyle="1" w:styleId="CommentDot">
    <w:name w:val="Comment Dot"/>
    <w:basedOn w:val="Comment2"/>
    <w:qFormat/>
    <w:rsid w:val="00E07ECC"/>
    <w:pPr>
      <w:numPr>
        <w:numId w:val="11"/>
      </w:numPr>
      <w:tabs>
        <w:tab w:val="clear" w:pos="1134"/>
      </w:tabs>
      <w:spacing w:before="120"/>
      <w:ind w:left="1418" w:hanging="284"/>
    </w:pPr>
  </w:style>
  <w:style w:type="paragraph" w:customStyle="1" w:styleId="Instructions1">
    <w:name w:val="Instructions 1"/>
    <w:basedOn w:val="Normal"/>
    <w:qFormat/>
    <w:rsid w:val="00E07ECC"/>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E07ECC"/>
    <w:pPr>
      <w:numPr>
        <w:numId w:val="12"/>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E07ECC"/>
    <w:rPr>
      <w:sz w:val="16"/>
      <w:szCs w:val="16"/>
    </w:rPr>
  </w:style>
  <w:style w:type="paragraph" w:styleId="CommentText">
    <w:name w:val="annotation text"/>
    <w:basedOn w:val="Normal"/>
    <w:link w:val="CommentTextChar"/>
    <w:rsid w:val="00E07E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CommentTextChar">
    <w:name w:val="Comment Text Char"/>
    <w:basedOn w:val="DefaultParagraphFont"/>
    <w:link w:val="CommentText"/>
    <w:rsid w:val="00E07ECC"/>
    <w:rPr>
      <w:rFonts w:ascii="Cambria" w:eastAsia="Times New Roman" w:hAnsi="Cambria" w:cs="Times New Roman"/>
      <w:kern w:val="16"/>
      <w:sz w:val="20"/>
      <w:szCs w:val="20"/>
      <w:lang w:eastAsia="en-AU"/>
    </w:rPr>
  </w:style>
  <w:style w:type="paragraph" w:styleId="CommentSubject">
    <w:name w:val="annotation subject"/>
    <w:basedOn w:val="CommentText"/>
    <w:next w:val="CommentText"/>
    <w:link w:val="CommentSubjectChar"/>
    <w:rsid w:val="00E07ECC"/>
    <w:rPr>
      <w:b/>
      <w:bCs/>
    </w:rPr>
  </w:style>
  <w:style w:type="character" w:customStyle="1" w:styleId="CommentSubjectChar">
    <w:name w:val="Comment Subject Char"/>
    <w:basedOn w:val="CommentTextChar"/>
    <w:link w:val="CommentSubject"/>
    <w:rsid w:val="00E07ECC"/>
    <w:rPr>
      <w:b/>
      <w:bCs/>
    </w:rPr>
  </w:style>
  <w:style w:type="paragraph" w:customStyle="1" w:styleId="Contentslist1">
    <w:name w:val="Contents list 1"/>
    <w:basedOn w:val="Normal"/>
    <w:qFormat/>
    <w:rsid w:val="00E07ECC"/>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E07ECC"/>
  </w:style>
  <w:style w:type="character" w:styleId="Emphasis">
    <w:name w:val="Emphasis"/>
    <w:basedOn w:val="DefaultParagraphFont"/>
    <w:qFormat/>
    <w:rsid w:val="00E07ECC"/>
    <w:rPr>
      <w:rFonts w:ascii="Calibri" w:hAnsi="Calibri"/>
      <w:i/>
      <w:iCs/>
    </w:rPr>
  </w:style>
  <w:style w:type="paragraph" w:styleId="DocumentMap">
    <w:name w:val="Document Map"/>
    <w:basedOn w:val="Normal"/>
    <w:link w:val="DocumentMapChar"/>
    <w:rsid w:val="00E07E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ahoma" w:eastAsia="Times New Roman" w:hAnsi="Tahoma" w:cs="Tahoma"/>
      <w:kern w:val="16"/>
      <w:sz w:val="16"/>
      <w:szCs w:val="16"/>
      <w:lang w:eastAsia="en-AU"/>
    </w:rPr>
  </w:style>
  <w:style w:type="character" w:customStyle="1" w:styleId="DocumentMapChar">
    <w:name w:val="Document Map Char"/>
    <w:basedOn w:val="DefaultParagraphFont"/>
    <w:link w:val="DocumentMap"/>
    <w:rsid w:val="00E07ECC"/>
    <w:rPr>
      <w:rFonts w:ascii="Tahoma" w:eastAsia="Times New Roman" w:hAnsi="Tahoma" w:cs="Tahoma"/>
      <w:kern w:val="16"/>
      <w:sz w:val="16"/>
      <w:szCs w:val="16"/>
      <w:lang w:eastAsia="en-AU"/>
    </w:rPr>
  </w:style>
  <w:style w:type="paragraph" w:styleId="ListParagraph">
    <w:name w:val="List Paragraph"/>
    <w:basedOn w:val="Normal"/>
    <w:uiPriority w:val="34"/>
    <w:rsid w:val="00E72353"/>
    <w:pPr>
      <w:ind w:left="720"/>
      <w:contextualSpacing/>
    </w:pPr>
  </w:style>
</w:styles>
</file>

<file path=word/webSettings.xml><?xml version="1.0" encoding="utf-8"?>
<w:webSettings xmlns:r="http://schemas.openxmlformats.org/officeDocument/2006/relationships" xmlns:w="http://schemas.openxmlformats.org/wordprocessingml/2006/main">
  <w:divs>
    <w:div w:id="1058019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header" Target="header7.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header" Target="header3.xml"/><Relationship Id="rId66"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footer" Target="footer3.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eader" Target="header5.xml"/><Relationship Id="rId65"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footer" Target="footer4.xml"/><Relationship Id="rId8" Type="http://schemas.openxmlformats.org/officeDocument/2006/relationships/hyperlink" Target="http://www.tga.gov.au" TargetMode="Externa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eader" Target="header4.xml"/><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eader" Target="header6.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4312\t0N7LRLH.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15C1A-7DF5-4912-8DBE-E35A8CB24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t0N7LRLH.DOTX</Template>
  <TotalTime>13</TotalTime>
  <Pages>51</Pages>
  <Words>11652</Words>
  <Characters>64440</Characters>
  <Application>Microsoft Office Word</Application>
  <DocSecurity>0</DocSecurity>
  <Lines>1498</Lines>
  <Paragraphs>916</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Zonisamide</vt:lpstr>
    </vt:vector>
  </TitlesOfParts>
  <Company>TGA</Company>
  <LinksUpToDate>false</LinksUpToDate>
  <CharactersWithSpaces>75176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Zonisamide</dc:title>
  <dc:subject>prescription medicine regulation</dc:subject>
  <dc:creator>Therapeutic Goods Administration</dc:creator>
  <cp:keywords>clinical, evaluation, report, medicine, assessment, regulation, australia, zonisamide, zonegran, scigen australia, zonisamide, zonegran, scigen australia</cp:keywords>
  <dc:description/>
  <cp:lastModifiedBy>Bird, Gail</cp:lastModifiedBy>
  <cp:revision>8</cp:revision>
  <cp:lastPrinted>2010-12-20T22:59:00Z</cp:lastPrinted>
  <dcterms:created xsi:type="dcterms:W3CDTF">2013-08-19T01:04:00Z</dcterms:created>
  <dcterms:modified xsi:type="dcterms:W3CDTF">2013-10-09T04:51:00Z</dcterms:modified>
</cp:coreProperties>
</file>