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14:paraId="6EA59E4B" w14:textId="77777777" w:rsidTr="00ED0C8B">
        <w:tc>
          <w:tcPr>
            <w:tcW w:w="8720" w:type="dxa"/>
          </w:tcPr>
          <w:p w14:paraId="3084B878" w14:textId="4646A217" w:rsidR="001D480A" w:rsidRPr="009401F6" w:rsidRDefault="00207FDD" w:rsidP="00F017D8">
            <w:pPr>
              <w:pStyle w:val="Title"/>
            </w:pPr>
            <w:bookmarkStart w:id="0" w:name="_GoBack"/>
            <w:r>
              <w:t>Consultation: Proposed amendmen</w:t>
            </w:r>
            <w:r w:rsidR="00F730CE">
              <w:t>ts to the Poisons Standard –</w:t>
            </w:r>
            <w:r w:rsidR="00F017D8">
              <w:t xml:space="preserve"> </w:t>
            </w:r>
            <w:r w:rsidR="00F730CE">
              <w:t>ACC</w:t>
            </w:r>
            <w:r>
              <w:t xml:space="preserve">S </w:t>
            </w:r>
            <w:r w:rsidR="00F017D8">
              <w:t>#31</w:t>
            </w:r>
            <w:r w:rsidR="00F730CE">
              <w:t>, June 2021</w:t>
            </w:r>
            <w:bookmarkEnd w:id="0"/>
          </w:p>
        </w:tc>
      </w:tr>
      <w:tr w:rsidR="00ED0C8B" w:rsidRPr="009401F6" w14:paraId="14361E1D" w14:textId="77777777" w:rsidTr="00ED0C8B">
        <w:trPr>
          <w:trHeight w:val="1387"/>
        </w:trPr>
        <w:tc>
          <w:tcPr>
            <w:tcW w:w="8720" w:type="dxa"/>
          </w:tcPr>
          <w:p w14:paraId="62B6A71E" w14:textId="0AC50604" w:rsidR="001D480A" w:rsidRPr="009401F6" w:rsidRDefault="005D1C23" w:rsidP="00FB4063">
            <w:pPr>
              <w:pStyle w:val="Subtitle"/>
              <w:ind w:left="0"/>
              <w:rPr>
                <w:lang w:eastAsia="en-AU"/>
              </w:rPr>
            </w:pPr>
            <w:r>
              <w:rPr>
                <w:lang w:eastAsia="en-AU"/>
              </w:rPr>
              <w:t>6</w:t>
            </w:r>
            <w:r w:rsidR="00F730CE">
              <w:rPr>
                <w:lang w:eastAsia="en-AU"/>
              </w:rPr>
              <w:t xml:space="preserve"> </w:t>
            </w:r>
            <w:r w:rsidR="00FB4063">
              <w:rPr>
                <w:lang w:eastAsia="en-AU"/>
              </w:rPr>
              <w:t>May</w:t>
            </w:r>
            <w:r w:rsidR="00F730CE">
              <w:rPr>
                <w:lang w:eastAsia="en-AU"/>
              </w:rPr>
              <w:t xml:space="preserve"> 2021</w:t>
            </w:r>
          </w:p>
        </w:tc>
      </w:tr>
      <w:tr w:rsidR="00ED0C8B" w:rsidRPr="009401F6" w14:paraId="30D49EC8" w14:textId="77777777" w:rsidTr="00ED0C8B">
        <w:tc>
          <w:tcPr>
            <w:tcW w:w="8720" w:type="dxa"/>
          </w:tcPr>
          <w:p w14:paraId="7B2E0DCE" w14:textId="44B235A3" w:rsidR="00ED0C8B" w:rsidRPr="009401F6" w:rsidRDefault="00ED0C8B" w:rsidP="00EB182C">
            <w:pPr>
              <w:pStyle w:val="Date"/>
              <w:rPr>
                <w:lang w:eastAsia="en-AU"/>
              </w:rPr>
            </w:pPr>
          </w:p>
        </w:tc>
      </w:tr>
    </w:tbl>
    <w:p w14:paraId="67DC3DBD" w14:textId="77777777" w:rsidR="00BA6FF1" w:rsidRPr="009401F6" w:rsidRDefault="00BA6FF1" w:rsidP="007C7B5B">
      <w:pPr>
        <w:rPr>
          <w:lang w:eastAsia="en-AU"/>
        </w:rPr>
      </w:pPr>
    </w:p>
    <w:p w14:paraId="073968C2" w14:textId="77777777" w:rsidR="001D480A" w:rsidRPr="009401F6" w:rsidRDefault="001D480A" w:rsidP="0054583D">
      <w:pPr>
        <w:rPr>
          <w:lang w:eastAsia="en-AU"/>
        </w:rPr>
        <w:sectPr w:rsidR="001D480A" w:rsidRPr="009401F6" w:rsidSect="00F8404D">
          <w:headerReference w:type="default" r:id="rId8"/>
          <w:footerReference w:type="default" r:id="rId9"/>
          <w:headerReference w:type="first" r:id="rId10"/>
          <w:footerReference w:type="first" r:id="rId11"/>
          <w:type w:val="continuous"/>
          <w:pgSz w:w="11906" w:h="16838" w:code="9"/>
          <w:pgMar w:top="6923" w:right="1418" w:bottom="709" w:left="1418" w:header="998" w:footer="0" w:gutter="0"/>
          <w:cols w:space="708"/>
          <w:titlePg/>
          <w:docGrid w:linePitch="360"/>
        </w:sectPr>
      </w:pPr>
    </w:p>
    <w:p w14:paraId="40749FEF" w14:textId="77777777" w:rsidR="00BA6FF1" w:rsidRPr="005D4EA1" w:rsidRDefault="00BA6FF1" w:rsidP="00FE1941">
      <w:pPr>
        <w:pStyle w:val="LegalSubheading"/>
        <w:pageBreakBefore/>
      </w:pPr>
      <w:r w:rsidRPr="00691723">
        <w:lastRenderedPageBreak/>
        <w:t>Copyright</w:t>
      </w:r>
    </w:p>
    <w:p w14:paraId="55287C46" w14:textId="32EA7B17" w:rsidR="00611B57" w:rsidRDefault="00EA453A" w:rsidP="00FE1941">
      <w:pPr>
        <w:pStyle w:val="LegalCopy"/>
        <w:spacing w:after="0"/>
      </w:pPr>
      <w:r w:rsidRPr="009401F6">
        <w:t>© Commonwealth of Australia 20</w:t>
      </w:r>
      <w:r w:rsidR="00D433BD">
        <w:t>21</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9401F6">
          <w:rPr>
            <w:rStyle w:val="Hyperlink"/>
            <w:rFonts w:cs="Arial"/>
          </w:rPr>
          <w:t>tga.copyright@tga.gov.au</w:t>
        </w:r>
      </w:hyperlink>
      <w:r w:rsidR="004169A8" w:rsidRPr="009401F6">
        <w:t>&gt;</w:t>
      </w:r>
      <w:r w:rsidR="00434592">
        <w:t>.</w:t>
      </w:r>
    </w:p>
    <w:p w14:paraId="0D346B37" w14:textId="77777777" w:rsidR="008D2B09" w:rsidRPr="009401F6" w:rsidRDefault="008D2B09" w:rsidP="00611B57">
      <w:pPr>
        <w:pStyle w:val="LegalSubheading"/>
      </w:pPr>
      <w:r w:rsidRPr="009401F6">
        <w:t>Confidentiality</w:t>
      </w:r>
    </w:p>
    <w:p w14:paraId="2F01D208" w14:textId="77777777" w:rsidR="00F8365F" w:rsidRPr="00EB182C" w:rsidRDefault="008D2B09" w:rsidP="003204DD">
      <w:pPr>
        <w:pStyle w:val="LegalCopy"/>
      </w:pPr>
      <w:r w:rsidRPr="00EB182C">
        <w:rPr>
          <w:lang w:eastAsia="en-AU"/>
        </w:rPr>
        <w:t>All submissions received will be placed on the TGA’s Internet site, unless marked confidential. Any confidential</w:t>
      </w:r>
      <w:r w:rsidR="00907ACE" w:rsidRPr="00EB182C">
        <w:rPr>
          <w:lang w:eastAsia="en-AU"/>
        </w:rPr>
        <w:t xml:space="preserve"> </w:t>
      </w:r>
      <w:r w:rsidRPr="00EB182C">
        <w:rPr>
          <w:lang w:eastAsia="en-AU"/>
        </w:rPr>
        <w:t>material contained within your submission should be provided under a separate cover and clearly marked</w:t>
      </w:r>
      <w:r w:rsidR="00907ACE" w:rsidRPr="00EB182C">
        <w:rPr>
          <w:lang w:eastAsia="en-AU"/>
        </w:rPr>
        <w:t xml:space="preserve"> </w:t>
      </w:r>
      <w:r w:rsidRPr="00EB182C">
        <w:rPr>
          <w:lang w:eastAsia="en-AU"/>
        </w:rPr>
        <w:t>“IN CONFIDENCE”. Reasons for a claim to confidentiality must be included in the space provided on the TGA</w:t>
      </w:r>
      <w:r w:rsidR="00907ACE" w:rsidRPr="00EB182C">
        <w:rPr>
          <w:lang w:eastAsia="en-AU"/>
        </w:rPr>
        <w:t xml:space="preserve"> </w:t>
      </w:r>
      <w:r w:rsidRPr="00EB182C">
        <w:rPr>
          <w:lang w:eastAsia="en-AU"/>
        </w:rPr>
        <w:t xml:space="preserve">submission </w:t>
      </w:r>
      <w:r w:rsidR="003C7461" w:rsidRPr="00EB182C">
        <w:rPr>
          <w:lang w:eastAsia="en-AU"/>
        </w:rPr>
        <w:t>form</w:t>
      </w:r>
      <w:r w:rsidRPr="00EB182C">
        <w:rPr>
          <w:lang w:eastAsia="en-AU"/>
        </w:rPr>
        <w:t>.</w:t>
      </w:r>
      <w:r w:rsidR="00611B57" w:rsidRPr="00EB182C">
        <w:rPr>
          <w:lang w:eastAsia="en-AU"/>
        </w:rPr>
        <w:t xml:space="preserve"> </w:t>
      </w:r>
      <w:r w:rsidRPr="00EB182C">
        <w:rPr>
          <w:lang w:eastAsia="en-AU"/>
        </w:rPr>
        <w:t>For submission made by individuals, all personal details, other than your name, will be removed from your</w:t>
      </w:r>
      <w:r w:rsidR="00611B57" w:rsidRPr="00EB182C">
        <w:rPr>
          <w:lang w:eastAsia="en-AU"/>
        </w:rPr>
        <w:t xml:space="preserve"> </w:t>
      </w:r>
      <w:r w:rsidRPr="00EB182C">
        <w:rPr>
          <w:lang w:eastAsia="en-AU"/>
        </w:rPr>
        <w:t>submission before it is published on the TGA’s Internet site.</w:t>
      </w:r>
      <w:r w:rsidR="00611B57" w:rsidRPr="00EB182C">
        <w:rPr>
          <w:lang w:eastAsia="en-AU"/>
        </w:rPr>
        <w:t xml:space="preserve"> </w:t>
      </w:r>
      <w:r w:rsidRPr="00EB182C">
        <w:rPr>
          <w:lang w:eastAsia="en-AU"/>
        </w:rPr>
        <w:t>In addition, a list of parties making submissions will be published. If you do not wish to be identified with your</w:t>
      </w:r>
      <w:r w:rsidR="00611B57" w:rsidRPr="00EB182C">
        <w:rPr>
          <w:lang w:eastAsia="en-AU"/>
        </w:rPr>
        <w:t xml:space="preserve"> </w:t>
      </w:r>
      <w:r w:rsidRPr="00EB182C">
        <w:rPr>
          <w:lang w:eastAsia="en-AU"/>
        </w:rPr>
        <w:t xml:space="preserve">submission you must specifically request this in the space provided on the submission </w:t>
      </w:r>
      <w:r w:rsidR="003C7461" w:rsidRPr="00EB182C">
        <w:rPr>
          <w:lang w:eastAsia="en-AU"/>
        </w:rPr>
        <w:t>form.</w:t>
      </w:r>
      <w:bookmarkStart w:id="1" w:name="_Toc323738670"/>
    </w:p>
    <w:sdt>
      <w:sdtPr>
        <w:rPr>
          <w:rFonts w:ascii="Cambria" w:hAnsi="Cambria"/>
          <w:b w:val="0"/>
          <w:sz w:val="22"/>
        </w:rPr>
        <w:id w:val="3701955"/>
        <w:docPartObj>
          <w:docPartGallery w:val="Table of Contents"/>
          <w:docPartUnique/>
        </w:docPartObj>
      </w:sdtPr>
      <w:sdtEndPr/>
      <w:sdtContent>
        <w:p w14:paraId="73E34775" w14:textId="77777777" w:rsidR="00B92C72" w:rsidRPr="009401F6" w:rsidRDefault="00B92C72" w:rsidP="00B92C72">
          <w:pPr>
            <w:pStyle w:val="NonTOCheading2"/>
          </w:pPr>
          <w:r w:rsidRPr="009401F6">
            <w:t>Contents</w:t>
          </w:r>
        </w:p>
        <w:p w14:paraId="53899CBB" w14:textId="566845A5" w:rsidR="005D1C23" w:rsidRDefault="006C626D">
          <w:pPr>
            <w:pStyle w:val="TOC1"/>
            <w:tabs>
              <w:tab w:val="left" w:pos="425"/>
            </w:tabs>
            <w:rPr>
              <w:rFonts w:asciiTheme="minorHAnsi" w:eastAsiaTheme="minorEastAsia" w:hAnsiTheme="minorHAnsi" w:cstheme="minorBidi"/>
              <w:b w:val="0"/>
              <w:noProof/>
              <w:sz w:val="22"/>
              <w:szCs w:val="22"/>
              <w:lang w:eastAsia="en-AU"/>
            </w:rPr>
          </w:pPr>
          <w:r w:rsidRPr="009401F6">
            <w:fldChar w:fldCharType="begin"/>
          </w:r>
          <w:r w:rsidR="00B92C72" w:rsidRPr="009401F6">
            <w:instrText xml:space="preserve"> TOC \h \z \u \t "Heading 2,1,Heading 3,2,Heading 4,3" </w:instrText>
          </w:r>
          <w:r w:rsidRPr="009401F6">
            <w:fldChar w:fldCharType="separate"/>
          </w:r>
          <w:hyperlink w:anchor="_Toc71182200" w:history="1">
            <w:r w:rsidR="005D1C23" w:rsidRPr="002A0D14">
              <w:rPr>
                <w:rStyle w:val="Hyperlink"/>
                <w:noProof/>
              </w:rPr>
              <w:t>1</w:t>
            </w:r>
            <w:r w:rsidR="005D1C23">
              <w:rPr>
                <w:rFonts w:asciiTheme="minorHAnsi" w:eastAsiaTheme="minorEastAsia" w:hAnsiTheme="minorHAnsi" w:cstheme="minorBidi"/>
                <w:b w:val="0"/>
                <w:noProof/>
                <w:sz w:val="22"/>
                <w:szCs w:val="22"/>
                <w:lang w:eastAsia="en-AU"/>
              </w:rPr>
              <w:tab/>
            </w:r>
            <w:r w:rsidR="005D1C23" w:rsidRPr="002A0D14">
              <w:rPr>
                <w:rStyle w:val="Hyperlink"/>
                <w:noProof/>
              </w:rPr>
              <w:t>Proposed amendments referred for scheduling advice to ACCS #31</w:t>
            </w:r>
            <w:r w:rsidR="005D1C23">
              <w:rPr>
                <w:noProof/>
                <w:webHidden/>
              </w:rPr>
              <w:tab/>
            </w:r>
            <w:r w:rsidR="005D1C23">
              <w:rPr>
                <w:noProof/>
                <w:webHidden/>
              </w:rPr>
              <w:fldChar w:fldCharType="begin"/>
            </w:r>
            <w:r w:rsidR="005D1C23">
              <w:rPr>
                <w:noProof/>
                <w:webHidden/>
              </w:rPr>
              <w:instrText xml:space="preserve"> PAGEREF _Toc71182200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614E82DB" w14:textId="008C6294" w:rsidR="005D1C23" w:rsidRDefault="00D5395A">
          <w:pPr>
            <w:pStyle w:val="TOC2"/>
            <w:tabs>
              <w:tab w:val="left" w:pos="1276"/>
            </w:tabs>
            <w:rPr>
              <w:rFonts w:asciiTheme="minorHAnsi" w:eastAsiaTheme="minorEastAsia" w:hAnsiTheme="minorHAnsi" w:cstheme="minorBidi"/>
              <w:b w:val="0"/>
              <w:noProof/>
              <w:sz w:val="22"/>
              <w:szCs w:val="22"/>
              <w:lang w:eastAsia="en-AU"/>
            </w:rPr>
          </w:pPr>
          <w:hyperlink w:anchor="_Toc71182201" w:history="1">
            <w:r w:rsidR="005D1C23" w:rsidRPr="002A0D14">
              <w:rPr>
                <w:rStyle w:val="Hyperlink"/>
                <w:noProof/>
              </w:rPr>
              <w:t>1.1</w:t>
            </w:r>
            <w:r w:rsidR="005D1C23">
              <w:rPr>
                <w:rFonts w:asciiTheme="minorHAnsi" w:eastAsiaTheme="minorEastAsia" w:hAnsiTheme="minorHAnsi" w:cstheme="minorBidi"/>
                <w:b w:val="0"/>
                <w:noProof/>
                <w:sz w:val="22"/>
                <w:szCs w:val="22"/>
                <w:lang w:eastAsia="en-AU"/>
              </w:rPr>
              <w:tab/>
            </w:r>
            <w:r w:rsidR="005D1C23" w:rsidRPr="002A0D14">
              <w:rPr>
                <w:rStyle w:val="Hyperlink"/>
                <w:noProof/>
              </w:rPr>
              <w:t>2-amino-5-methylphenol</w:t>
            </w:r>
            <w:r w:rsidR="005D1C23">
              <w:rPr>
                <w:noProof/>
                <w:webHidden/>
              </w:rPr>
              <w:tab/>
            </w:r>
            <w:r w:rsidR="005D1C23">
              <w:rPr>
                <w:noProof/>
                <w:webHidden/>
              </w:rPr>
              <w:fldChar w:fldCharType="begin"/>
            </w:r>
            <w:r w:rsidR="005D1C23">
              <w:rPr>
                <w:noProof/>
                <w:webHidden/>
              </w:rPr>
              <w:instrText xml:space="preserve"> PAGEREF _Toc71182201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1BFEEBFE" w14:textId="45C269BD" w:rsidR="005D1C23" w:rsidRDefault="00D5395A">
          <w:pPr>
            <w:pStyle w:val="TOC3"/>
            <w:rPr>
              <w:rFonts w:asciiTheme="minorHAnsi" w:eastAsiaTheme="minorEastAsia" w:hAnsiTheme="minorHAnsi" w:cstheme="minorBidi"/>
              <w:b w:val="0"/>
              <w:noProof/>
              <w:szCs w:val="22"/>
              <w:lang w:eastAsia="en-AU"/>
            </w:rPr>
          </w:pPr>
          <w:hyperlink w:anchor="_Toc71182202" w:history="1">
            <w:r w:rsidR="005D1C23" w:rsidRPr="002A0D14">
              <w:rPr>
                <w:rStyle w:val="Hyperlink"/>
                <w:noProof/>
              </w:rPr>
              <w:t>Proposal</w:t>
            </w:r>
            <w:r w:rsidR="005D1C23">
              <w:rPr>
                <w:noProof/>
                <w:webHidden/>
              </w:rPr>
              <w:tab/>
            </w:r>
            <w:r w:rsidR="005D1C23">
              <w:rPr>
                <w:noProof/>
                <w:webHidden/>
              </w:rPr>
              <w:fldChar w:fldCharType="begin"/>
            </w:r>
            <w:r w:rsidR="005D1C23">
              <w:rPr>
                <w:noProof/>
                <w:webHidden/>
              </w:rPr>
              <w:instrText xml:space="preserve"> PAGEREF _Toc71182202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1DB04059" w14:textId="2ED99942" w:rsidR="005D1C23" w:rsidRDefault="00D5395A">
          <w:pPr>
            <w:pStyle w:val="TOC3"/>
            <w:rPr>
              <w:rFonts w:asciiTheme="minorHAnsi" w:eastAsiaTheme="minorEastAsia" w:hAnsiTheme="minorHAnsi" w:cstheme="minorBidi"/>
              <w:b w:val="0"/>
              <w:noProof/>
              <w:szCs w:val="22"/>
              <w:lang w:eastAsia="en-AU"/>
            </w:rPr>
          </w:pPr>
          <w:hyperlink w:anchor="_Toc71182203" w:history="1">
            <w:r w:rsidR="005D1C23" w:rsidRPr="002A0D14">
              <w:rPr>
                <w:rStyle w:val="Hyperlink"/>
                <w:noProof/>
              </w:rPr>
              <w:t>CAS number:</w:t>
            </w:r>
            <w:r w:rsidR="005D1C23">
              <w:rPr>
                <w:noProof/>
                <w:webHidden/>
              </w:rPr>
              <w:tab/>
            </w:r>
            <w:r w:rsidR="005D1C23">
              <w:rPr>
                <w:noProof/>
                <w:webHidden/>
              </w:rPr>
              <w:fldChar w:fldCharType="begin"/>
            </w:r>
            <w:r w:rsidR="005D1C23">
              <w:rPr>
                <w:noProof/>
                <w:webHidden/>
              </w:rPr>
              <w:instrText xml:space="preserve"> PAGEREF _Toc71182203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0DA15E57" w14:textId="35FEE968" w:rsidR="005D1C23" w:rsidRDefault="00D5395A">
          <w:pPr>
            <w:pStyle w:val="TOC3"/>
            <w:rPr>
              <w:rFonts w:asciiTheme="minorHAnsi" w:eastAsiaTheme="minorEastAsia" w:hAnsiTheme="minorHAnsi" w:cstheme="minorBidi"/>
              <w:b w:val="0"/>
              <w:noProof/>
              <w:szCs w:val="22"/>
              <w:lang w:eastAsia="en-AU"/>
            </w:rPr>
          </w:pPr>
          <w:hyperlink w:anchor="_Toc71182204" w:history="1">
            <w:r w:rsidR="005D1C23" w:rsidRPr="002A0D14">
              <w:rPr>
                <w:rStyle w:val="Hyperlink"/>
                <w:noProof/>
              </w:rPr>
              <w:t>Alternative names</w:t>
            </w:r>
            <w:r w:rsidR="005D1C23">
              <w:rPr>
                <w:noProof/>
                <w:webHidden/>
              </w:rPr>
              <w:tab/>
            </w:r>
            <w:r w:rsidR="005D1C23">
              <w:rPr>
                <w:noProof/>
                <w:webHidden/>
              </w:rPr>
              <w:fldChar w:fldCharType="begin"/>
            </w:r>
            <w:r w:rsidR="005D1C23">
              <w:rPr>
                <w:noProof/>
                <w:webHidden/>
              </w:rPr>
              <w:instrText xml:space="preserve"> PAGEREF _Toc71182204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02ACF871" w14:textId="3DA6A31F" w:rsidR="005D1C23" w:rsidRDefault="00D5395A">
          <w:pPr>
            <w:pStyle w:val="TOC3"/>
            <w:rPr>
              <w:rFonts w:asciiTheme="minorHAnsi" w:eastAsiaTheme="minorEastAsia" w:hAnsiTheme="minorHAnsi" w:cstheme="minorBidi"/>
              <w:b w:val="0"/>
              <w:noProof/>
              <w:szCs w:val="22"/>
              <w:lang w:eastAsia="en-AU"/>
            </w:rPr>
          </w:pPr>
          <w:hyperlink w:anchor="_Toc71182205" w:history="1">
            <w:r w:rsidR="005D1C23" w:rsidRPr="002A0D14">
              <w:rPr>
                <w:rStyle w:val="Hyperlink"/>
                <w:noProof/>
              </w:rPr>
              <w:t>Current scheduling</w:t>
            </w:r>
            <w:r w:rsidR="005D1C23">
              <w:rPr>
                <w:noProof/>
                <w:webHidden/>
              </w:rPr>
              <w:tab/>
            </w:r>
            <w:r w:rsidR="005D1C23">
              <w:rPr>
                <w:noProof/>
                <w:webHidden/>
              </w:rPr>
              <w:fldChar w:fldCharType="begin"/>
            </w:r>
            <w:r w:rsidR="005D1C23">
              <w:rPr>
                <w:noProof/>
                <w:webHidden/>
              </w:rPr>
              <w:instrText xml:space="preserve"> PAGEREF _Toc71182205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40C3A971" w14:textId="71798FD6" w:rsidR="005D1C23" w:rsidRDefault="00D5395A">
          <w:pPr>
            <w:pStyle w:val="TOC3"/>
            <w:rPr>
              <w:rFonts w:asciiTheme="minorHAnsi" w:eastAsiaTheme="minorEastAsia" w:hAnsiTheme="minorHAnsi" w:cstheme="minorBidi"/>
              <w:b w:val="0"/>
              <w:noProof/>
              <w:szCs w:val="22"/>
              <w:lang w:eastAsia="en-AU"/>
            </w:rPr>
          </w:pPr>
          <w:hyperlink w:anchor="_Toc71182206" w:history="1">
            <w:r w:rsidR="005D1C23" w:rsidRPr="002A0D14">
              <w:rPr>
                <w:rStyle w:val="Hyperlink"/>
                <w:noProof/>
              </w:rPr>
              <w:t>Proposed scheduling</w:t>
            </w:r>
            <w:r w:rsidR="005D1C23">
              <w:rPr>
                <w:noProof/>
                <w:webHidden/>
              </w:rPr>
              <w:tab/>
            </w:r>
            <w:r w:rsidR="005D1C23">
              <w:rPr>
                <w:noProof/>
                <w:webHidden/>
              </w:rPr>
              <w:fldChar w:fldCharType="begin"/>
            </w:r>
            <w:r w:rsidR="005D1C23">
              <w:rPr>
                <w:noProof/>
                <w:webHidden/>
              </w:rPr>
              <w:instrText xml:space="preserve"> PAGEREF _Toc71182206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2D483C34" w14:textId="56E7E783" w:rsidR="005D1C23" w:rsidRDefault="00D5395A">
          <w:pPr>
            <w:pStyle w:val="TOC3"/>
            <w:rPr>
              <w:rFonts w:asciiTheme="minorHAnsi" w:eastAsiaTheme="minorEastAsia" w:hAnsiTheme="minorHAnsi" w:cstheme="minorBidi"/>
              <w:b w:val="0"/>
              <w:noProof/>
              <w:szCs w:val="22"/>
              <w:lang w:eastAsia="en-AU"/>
            </w:rPr>
          </w:pPr>
          <w:hyperlink w:anchor="_Toc71182207" w:history="1">
            <w:r w:rsidR="005D1C23" w:rsidRPr="002A0D14">
              <w:rPr>
                <w:rStyle w:val="Hyperlink"/>
                <w:noProof/>
              </w:rPr>
              <w:t>Key uses / expected use</w:t>
            </w:r>
            <w:r w:rsidR="005D1C23">
              <w:rPr>
                <w:noProof/>
                <w:webHidden/>
              </w:rPr>
              <w:tab/>
            </w:r>
            <w:r w:rsidR="005D1C23">
              <w:rPr>
                <w:noProof/>
                <w:webHidden/>
              </w:rPr>
              <w:fldChar w:fldCharType="begin"/>
            </w:r>
            <w:r w:rsidR="005D1C23">
              <w:rPr>
                <w:noProof/>
                <w:webHidden/>
              </w:rPr>
              <w:instrText xml:space="preserve"> PAGEREF _Toc71182207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473A73CD" w14:textId="292E7F03" w:rsidR="005D1C23" w:rsidRDefault="00D5395A">
          <w:pPr>
            <w:pStyle w:val="TOC3"/>
            <w:rPr>
              <w:rFonts w:asciiTheme="minorHAnsi" w:eastAsiaTheme="minorEastAsia" w:hAnsiTheme="minorHAnsi" w:cstheme="minorBidi"/>
              <w:b w:val="0"/>
              <w:noProof/>
              <w:szCs w:val="22"/>
              <w:lang w:eastAsia="en-AU"/>
            </w:rPr>
          </w:pPr>
          <w:hyperlink w:anchor="_Toc71182208" w:history="1">
            <w:r w:rsidR="005D1C23" w:rsidRPr="002A0D14">
              <w:rPr>
                <w:rStyle w:val="Hyperlink"/>
                <w:noProof/>
              </w:rPr>
              <w:t>Summary of reasons for proposal</w:t>
            </w:r>
            <w:r w:rsidR="005D1C23">
              <w:rPr>
                <w:noProof/>
                <w:webHidden/>
              </w:rPr>
              <w:tab/>
            </w:r>
            <w:r w:rsidR="005D1C23">
              <w:rPr>
                <w:noProof/>
                <w:webHidden/>
              </w:rPr>
              <w:fldChar w:fldCharType="begin"/>
            </w:r>
            <w:r w:rsidR="005D1C23">
              <w:rPr>
                <w:noProof/>
                <w:webHidden/>
              </w:rPr>
              <w:instrText xml:space="preserve"> PAGEREF _Toc71182208 \h </w:instrText>
            </w:r>
            <w:r w:rsidR="005D1C23">
              <w:rPr>
                <w:noProof/>
                <w:webHidden/>
              </w:rPr>
            </w:r>
            <w:r w:rsidR="005D1C23">
              <w:rPr>
                <w:noProof/>
                <w:webHidden/>
              </w:rPr>
              <w:fldChar w:fldCharType="separate"/>
            </w:r>
            <w:r w:rsidR="005D1C23">
              <w:rPr>
                <w:noProof/>
                <w:webHidden/>
              </w:rPr>
              <w:t>6</w:t>
            </w:r>
            <w:r w:rsidR="005D1C23">
              <w:rPr>
                <w:noProof/>
                <w:webHidden/>
              </w:rPr>
              <w:fldChar w:fldCharType="end"/>
            </w:r>
          </w:hyperlink>
        </w:p>
        <w:p w14:paraId="2879624E" w14:textId="7134401C" w:rsidR="005D1C23" w:rsidRDefault="00D5395A">
          <w:pPr>
            <w:pStyle w:val="TOC3"/>
            <w:rPr>
              <w:rFonts w:asciiTheme="minorHAnsi" w:eastAsiaTheme="minorEastAsia" w:hAnsiTheme="minorHAnsi" w:cstheme="minorBidi"/>
              <w:b w:val="0"/>
              <w:noProof/>
              <w:szCs w:val="22"/>
              <w:lang w:eastAsia="en-AU"/>
            </w:rPr>
          </w:pPr>
          <w:hyperlink w:anchor="_Toc71182209" w:history="1">
            <w:r w:rsidR="005D1C23" w:rsidRPr="002A0D14">
              <w:rPr>
                <w:rStyle w:val="Hyperlink"/>
                <w:noProof/>
              </w:rPr>
              <w:t>Australian regulations</w:t>
            </w:r>
            <w:r w:rsidR="005D1C23">
              <w:rPr>
                <w:noProof/>
                <w:webHidden/>
              </w:rPr>
              <w:tab/>
            </w:r>
            <w:r w:rsidR="005D1C23">
              <w:rPr>
                <w:noProof/>
                <w:webHidden/>
              </w:rPr>
              <w:fldChar w:fldCharType="begin"/>
            </w:r>
            <w:r w:rsidR="005D1C23">
              <w:rPr>
                <w:noProof/>
                <w:webHidden/>
              </w:rPr>
              <w:instrText xml:space="preserve"> PAGEREF _Toc71182209 \h </w:instrText>
            </w:r>
            <w:r w:rsidR="005D1C23">
              <w:rPr>
                <w:noProof/>
                <w:webHidden/>
              </w:rPr>
            </w:r>
            <w:r w:rsidR="005D1C23">
              <w:rPr>
                <w:noProof/>
                <w:webHidden/>
              </w:rPr>
              <w:fldChar w:fldCharType="separate"/>
            </w:r>
            <w:r w:rsidR="005D1C23">
              <w:rPr>
                <w:noProof/>
                <w:webHidden/>
              </w:rPr>
              <w:t>7</w:t>
            </w:r>
            <w:r w:rsidR="005D1C23">
              <w:rPr>
                <w:noProof/>
                <w:webHidden/>
              </w:rPr>
              <w:fldChar w:fldCharType="end"/>
            </w:r>
          </w:hyperlink>
        </w:p>
        <w:p w14:paraId="53BD1437" w14:textId="13EC4157" w:rsidR="005D1C23" w:rsidRDefault="00D5395A">
          <w:pPr>
            <w:pStyle w:val="TOC3"/>
            <w:rPr>
              <w:rFonts w:asciiTheme="minorHAnsi" w:eastAsiaTheme="minorEastAsia" w:hAnsiTheme="minorHAnsi" w:cstheme="minorBidi"/>
              <w:b w:val="0"/>
              <w:noProof/>
              <w:szCs w:val="22"/>
              <w:lang w:eastAsia="en-AU"/>
            </w:rPr>
          </w:pPr>
          <w:hyperlink w:anchor="_Toc71182210" w:history="1">
            <w:r w:rsidR="005D1C23" w:rsidRPr="002A0D14">
              <w:rPr>
                <w:rStyle w:val="Hyperlink"/>
                <w:noProof/>
              </w:rPr>
              <w:t>International regulations</w:t>
            </w:r>
            <w:r w:rsidR="005D1C23">
              <w:rPr>
                <w:noProof/>
                <w:webHidden/>
              </w:rPr>
              <w:tab/>
            </w:r>
            <w:r w:rsidR="005D1C23">
              <w:rPr>
                <w:noProof/>
                <w:webHidden/>
              </w:rPr>
              <w:fldChar w:fldCharType="begin"/>
            </w:r>
            <w:r w:rsidR="005D1C23">
              <w:rPr>
                <w:noProof/>
                <w:webHidden/>
              </w:rPr>
              <w:instrText xml:space="preserve"> PAGEREF _Toc71182210 \h </w:instrText>
            </w:r>
            <w:r w:rsidR="005D1C23">
              <w:rPr>
                <w:noProof/>
                <w:webHidden/>
              </w:rPr>
            </w:r>
            <w:r w:rsidR="005D1C23">
              <w:rPr>
                <w:noProof/>
                <w:webHidden/>
              </w:rPr>
              <w:fldChar w:fldCharType="separate"/>
            </w:r>
            <w:r w:rsidR="005D1C23">
              <w:rPr>
                <w:noProof/>
                <w:webHidden/>
              </w:rPr>
              <w:t>7</w:t>
            </w:r>
            <w:r w:rsidR="005D1C23">
              <w:rPr>
                <w:noProof/>
                <w:webHidden/>
              </w:rPr>
              <w:fldChar w:fldCharType="end"/>
            </w:r>
          </w:hyperlink>
        </w:p>
        <w:p w14:paraId="17BD5F92" w14:textId="261AE821" w:rsidR="005D1C23" w:rsidRDefault="00D5395A">
          <w:pPr>
            <w:pStyle w:val="TOC2"/>
            <w:tabs>
              <w:tab w:val="left" w:pos="1276"/>
            </w:tabs>
            <w:rPr>
              <w:rFonts w:asciiTheme="minorHAnsi" w:eastAsiaTheme="minorEastAsia" w:hAnsiTheme="minorHAnsi" w:cstheme="minorBidi"/>
              <w:b w:val="0"/>
              <w:noProof/>
              <w:sz w:val="22"/>
              <w:szCs w:val="22"/>
              <w:lang w:eastAsia="en-AU"/>
            </w:rPr>
          </w:pPr>
          <w:hyperlink w:anchor="_Toc71182211" w:history="1">
            <w:r w:rsidR="005D1C23" w:rsidRPr="002A0D14">
              <w:rPr>
                <w:rStyle w:val="Hyperlink"/>
                <w:noProof/>
              </w:rPr>
              <w:t>1.2</w:t>
            </w:r>
            <w:r w:rsidR="005D1C23">
              <w:rPr>
                <w:rFonts w:asciiTheme="minorHAnsi" w:eastAsiaTheme="minorEastAsia" w:hAnsiTheme="minorHAnsi" w:cstheme="minorBidi"/>
                <w:b w:val="0"/>
                <w:noProof/>
                <w:sz w:val="22"/>
                <w:szCs w:val="22"/>
                <w:lang w:eastAsia="en-AU"/>
              </w:rPr>
              <w:tab/>
            </w:r>
            <w:r w:rsidR="005D1C23" w:rsidRPr="002A0D14">
              <w:rPr>
                <w:rStyle w:val="Hyperlink"/>
                <w:noProof/>
              </w:rPr>
              <w:t>6-methoxy-N2-methyl-dihydrochloride-2,3-pyridinediamine</w:t>
            </w:r>
            <w:r w:rsidR="005D1C23">
              <w:rPr>
                <w:noProof/>
                <w:webHidden/>
              </w:rPr>
              <w:tab/>
            </w:r>
            <w:r w:rsidR="005D1C23">
              <w:rPr>
                <w:noProof/>
                <w:webHidden/>
              </w:rPr>
              <w:fldChar w:fldCharType="begin"/>
            </w:r>
            <w:r w:rsidR="005D1C23">
              <w:rPr>
                <w:noProof/>
                <w:webHidden/>
              </w:rPr>
              <w:instrText xml:space="preserve"> PAGEREF _Toc71182211 \h </w:instrText>
            </w:r>
            <w:r w:rsidR="005D1C23">
              <w:rPr>
                <w:noProof/>
                <w:webHidden/>
              </w:rPr>
            </w:r>
            <w:r w:rsidR="005D1C23">
              <w:rPr>
                <w:noProof/>
                <w:webHidden/>
              </w:rPr>
              <w:fldChar w:fldCharType="separate"/>
            </w:r>
            <w:r w:rsidR="005D1C23">
              <w:rPr>
                <w:noProof/>
                <w:webHidden/>
              </w:rPr>
              <w:t>7</w:t>
            </w:r>
            <w:r w:rsidR="005D1C23">
              <w:rPr>
                <w:noProof/>
                <w:webHidden/>
              </w:rPr>
              <w:fldChar w:fldCharType="end"/>
            </w:r>
          </w:hyperlink>
        </w:p>
        <w:p w14:paraId="5708127E" w14:textId="10AEC6D2" w:rsidR="005D1C23" w:rsidRDefault="00D5395A">
          <w:pPr>
            <w:pStyle w:val="TOC3"/>
            <w:rPr>
              <w:rFonts w:asciiTheme="minorHAnsi" w:eastAsiaTheme="minorEastAsia" w:hAnsiTheme="minorHAnsi" w:cstheme="minorBidi"/>
              <w:b w:val="0"/>
              <w:noProof/>
              <w:szCs w:val="22"/>
              <w:lang w:eastAsia="en-AU"/>
            </w:rPr>
          </w:pPr>
          <w:hyperlink w:anchor="_Toc71182212" w:history="1">
            <w:r w:rsidR="005D1C23" w:rsidRPr="002A0D14">
              <w:rPr>
                <w:rStyle w:val="Hyperlink"/>
                <w:noProof/>
              </w:rPr>
              <w:t>Proposal</w:t>
            </w:r>
            <w:r w:rsidR="005D1C23">
              <w:rPr>
                <w:noProof/>
                <w:webHidden/>
              </w:rPr>
              <w:tab/>
            </w:r>
            <w:r w:rsidR="005D1C23">
              <w:rPr>
                <w:noProof/>
                <w:webHidden/>
              </w:rPr>
              <w:fldChar w:fldCharType="begin"/>
            </w:r>
            <w:r w:rsidR="005D1C23">
              <w:rPr>
                <w:noProof/>
                <w:webHidden/>
              </w:rPr>
              <w:instrText xml:space="preserve"> PAGEREF _Toc71182212 \h </w:instrText>
            </w:r>
            <w:r w:rsidR="005D1C23">
              <w:rPr>
                <w:noProof/>
                <w:webHidden/>
              </w:rPr>
            </w:r>
            <w:r w:rsidR="005D1C23">
              <w:rPr>
                <w:noProof/>
                <w:webHidden/>
              </w:rPr>
              <w:fldChar w:fldCharType="separate"/>
            </w:r>
            <w:r w:rsidR="005D1C23">
              <w:rPr>
                <w:noProof/>
                <w:webHidden/>
              </w:rPr>
              <w:t>7</w:t>
            </w:r>
            <w:r w:rsidR="005D1C23">
              <w:rPr>
                <w:noProof/>
                <w:webHidden/>
              </w:rPr>
              <w:fldChar w:fldCharType="end"/>
            </w:r>
          </w:hyperlink>
        </w:p>
        <w:p w14:paraId="6BBA5D4A" w14:textId="642CBA11" w:rsidR="005D1C23" w:rsidRDefault="00D5395A">
          <w:pPr>
            <w:pStyle w:val="TOC3"/>
            <w:rPr>
              <w:rFonts w:asciiTheme="minorHAnsi" w:eastAsiaTheme="minorEastAsia" w:hAnsiTheme="minorHAnsi" w:cstheme="minorBidi"/>
              <w:b w:val="0"/>
              <w:noProof/>
              <w:szCs w:val="22"/>
              <w:lang w:eastAsia="en-AU"/>
            </w:rPr>
          </w:pPr>
          <w:hyperlink w:anchor="_Toc71182213" w:history="1">
            <w:r w:rsidR="005D1C23" w:rsidRPr="002A0D14">
              <w:rPr>
                <w:rStyle w:val="Hyperlink"/>
                <w:noProof/>
              </w:rPr>
              <w:t>CAS number:</w:t>
            </w:r>
            <w:r w:rsidR="005D1C23">
              <w:rPr>
                <w:noProof/>
                <w:webHidden/>
              </w:rPr>
              <w:tab/>
            </w:r>
            <w:r w:rsidR="005D1C23">
              <w:rPr>
                <w:noProof/>
                <w:webHidden/>
              </w:rPr>
              <w:fldChar w:fldCharType="begin"/>
            </w:r>
            <w:r w:rsidR="005D1C23">
              <w:rPr>
                <w:noProof/>
                <w:webHidden/>
              </w:rPr>
              <w:instrText xml:space="preserve"> PAGEREF _Toc71182213 \h </w:instrText>
            </w:r>
            <w:r w:rsidR="005D1C23">
              <w:rPr>
                <w:noProof/>
                <w:webHidden/>
              </w:rPr>
            </w:r>
            <w:r w:rsidR="005D1C23">
              <w:rPr>
                <w:noProof/>
                <w:webHidden/>
              </w:rPr>
              <w:fldChar w:fldCharType="separate"/>
            </w:r>
            <w:r w:rsidR="005D1C23">
              <w:rPr>
                <w:noProof/>
                <w:webHidden/>
              </w:rPr>
              <w:t>7</w:t>
            </w:r>
            <w:r w:rsidR="005D1C23">
              <w:rPr>
                <w:noProof/>
                <w:webHidden/>
              </w:rPr>
              <w:fldChar w:fldCharType="end"/>
            </w:r>
          </w:hyperlink>
        </w:p>
        <w:p w14:paraId="6799C0D7" w14:textId="116400C2" w:rsidR="005D1C23" w:rsidRDefault="00D5395A">
          <w:pPr>
            <w:pStyle w:val="TOC3"/>
            <w:rPr>
              <w:rFonts w:asciiTheme="minorHAnsi" w:eastAsiaTheme="minorEastAsia" w:hAnsiTheme="minorHAnsi" w:cstheme="minorBidi"/>
              <w:b w:val="0"/>
              <w:noProof/>
              <w:szCs w:val="22"/>
              <w:lang w:eastAsia="en-AU"/>
            </w:rPr>
          </w:pPr>
          <w:hyperlink w:anchor="_Toc71182214" w:history="1">
            <w:r w:rsidR="005D1C23" w:rsidRPr="002A0D14">
              <w:rPr>
                <w:rStyle w:val="Hyperlink"/>
                <w:noProof/>
              </w:rPr>
              <w:t>Alternative names</w:t>
            </w:r>
            <w:r w:rsidR="005D1C23">
              <w:rPr>
                <w:noProof/>
                <w:webHidden/>
              </w:rPr>
              <w:tab/>
            </w:r>
            <w:r w:rsidR="005D1C23">
              <w:rPr>
                <w:noProof/>
                <w:webHidden/>
              </w:rPr>
              <w:fldChar w:fldCharType="begin"/>
            </w:r>
            <w:r w:rsidR="005D1C23">
              <w:rPr>
                <w:noProof/>
                <w:webHidden/>
              </w:rPr>
              <w:instrText xml:space="preserve"> PAGEREF _Toc71182214 \h </w:instrText>
            </w:r>
            <w:r w:rsidR="005D1C23">
              <w:rPr>
                <w:noProof/>
                <w:webHidden/>
              </w:rPr>
            </w:r>
            <w:r w:rsidR="005D1C23">
              <w:rPr>
                <w:noProof/>
                <w:webHidden/>
              </w:rPr>
              <w:fldChar w:fldCharType="separate"/>
            </w:r>
            <w:r w:rsidR="005D1C23">
              <w:rPr>
                <w:noProof/>
                <w:webHidden/>
              </w:rPr>
              <w:t>8</w:t>
            </w:r>
            <w:r w:rsidR="005D1C23">
              <w:rPr>
                <w:noProof/>
                <w:webHidden/>
              </w:rPr>
              <w:fldChar w:fldCharType="end"/>
            </w:r>
          </w:hyperlink>
        </w:p>
        <w:p w14:paraId="1087D3BF" w14:textId="639048BE" w:rsidR="005D1C23" w:rsidRDefault="00D5395A">
          <w:pPr>
            <w:pStyle w:val="TOC3"/>
            <w:rPr>
              <w:rFonts w:asciiTheme="minorHAnsi" w:eastAsiaTheme="minorEastAsia" w:hAnsiTheme="minorHAnsi" w:cstheme="minorBidi"/>
              <w:b w:val="0"/>
              <w:noProof/>
              <w:szCs w:val="22"/>
              <w:lang w:eastAsia="en-AU"/>
            </w:rPr>
          </w:pPr>
          <w:hyperlink w:anchor="_Toc71182215" w:history="1">
            <w:r w:rsidR="005D1C23" w:rsidRPr="002A0D14">
              <w:rPr>
                <w:rStyle w:val="Hyperlink"/>
                <w:noProof/>
              </w:rPr>
              <w:t>Current scheduling</w:t>
            </w:r>
            <w:r w:rsidR="005D1C23">
              <w:rPr>
                <w:noProof/>
                <w:webHidden/>
              </w:rPr>
              <w:tab/>
            </w:r>
            <w:r w:rsidR="005D1C23">
              <w:rPr>
                <w:noProof/>
                <w:webHidden/>
              </w:rPr>
              <w:fldChar w:fldCharType="begin"/>
            </w:r>
            <w:r w:rsidR="005D1C23">
              <w:rPr>
                <w:noProof/>
                <w:webHidden/>
              </w:rPr>
              <w:instrText xml:space="preserve"> PAGEREF _Toc71182215 \h </w:instrText>
            </w:r>
            <w:r w:rsidR="005D1C23">
              <w:rPr>
                <w:noProof/>
                <w:webHidden/>
              </w:rPr>
            </w:r>
            <w:r w:rsidR="005D1C23">
              <w:rPr>
                <w:noProof/>
                <w:webHidden/>
              </w:rPr>
              <w:fldChar w:fldCharType="separate"/>
            </w:r>
            <w:r w:rsidR="005D1C23">
              <w:rPr>
                <w:noProof/>
                <w:webHidden/>
              </w:rPr>
              <w:t>8</w:t>
            </w:r>
            <w:r w:rsidR="005D1C23">
              <w:rPr>
                <w:noProof/>
                <w:webHidden/>
              </w:rPr>
              <w:fldChar w:fldCharType="end"/>
            </w:r>
          </w:hyperlink>
        </w:p>
        <w:p w14:paraId="45D2FF7B" w14:textId="42855008" w:rsidR="005D1C23" w:rsidRDefault="00D5395A">
          <w:pPr>
            <w:pStyle w:val="TOC3"/>
            <w:rPr>
              <w:rFonts w:asciiTheme="minorHAnsi" w:eastAsiaTheme="minorEastAsia" w:hAnsiTheme="minorHAnsi" w:cstheme="minorBidi"/>
              <w:b w:val="0"/>
              <w:noProof/>
              <w:szCs w:val="22"/>
              <w:lang w:eastAsia="en-AU"/>
            </w:rPr>
          </w:pPr>
          <w:hyperlink w:anchor="_Toc71182216" w:history="1">
            <w:r w:rsidR="005D1C23" w:rsidRPr="002A0D14">
              <w:rPr>
                <w:rStyle w:val="Hyperlink"/>
                <w:noProof/>
              </w:rPr>
              <w:t>Proposed scheduling</w:t>
            </w:r>
            <w:r w:rsidR="005D1C23">
              <w:rPr>
                <w:noProof/>
                <w:webHidden/>
              </w:rPr>
              <w:tab/>
            </w:r>
            <w:r w:rsidR="005D1C23">
              <w:rPr>
                <w:noProof/>
                <w:webHidden/>
              </w:rPr>
              <w:fldChar w:fldCharType="begin"/>
            </w:r>
            <w:r w:rsidR="005D1C23">
              <w:rPr>
                <w:noProof/>
                <w:webHidden/>
              </w:rPr>
              <w:instrText xml:space="preserve"> PAGEREF _Toc71182216 \h </w:instrText>
            </w:r>
            <w:r w:rsidR="005D1C23">
              <w:rPr>
                <w:noProof/>
                <w:webHidden/>
              </w:rPr>
            </w:r>
            <w:r w:rsidR="005D1C23">
              <w:rPr>
                <w:noProof/>
                <w:webHidden/>
              </w:rPr>
              <w:fldChar w:fldCharType="separate"/>
            </w:r>
            <w:r w:rsidR="005D1C23">
              <w:rPr>
                <w:noProof/>
                <w:webHidden/>
              </w:rPr>
              <w:t>8</w:t>
            </w:r>
            <w:r w:rsidR="005D1C23">
              <w:rPr>
                <w:noProof/>
                <w:webHidden/>
              </w:rPr>
              <w:fldChar w:fldCharType="end"/>
            </w:r>
          </w:hyperlink>
        </w:p>
        <w:p w14:paraId="4A9FFB42" w14:textId="5E8EAF18" w:rsidR="005D1C23" w:rsidRDefault="00D5395A">
          <w:pPr>
            <w:pStyle w:val="TOC3"/>
            <w:rPr>
              <w:rFonts w:asciiTheme="minorHAnsi" w:eastAsiaTheme="minorEastAsia" w:hAnsiTheme="minorHAnsi" w:cstheme="minorBidi"/>
              <w:b w:val="0"/>
              <w:noProof/>
              <w:szCs w:val="22"/>
              <w:lang w:eastAsia="en-AU"/>
            </w:rPr>
          </w:pPr>
          <w:hyperlink w:anchor="_Toc71182217" w:history="1">
            <w:r w:rsidR="005D1C23" w:rsidRPr="002A0D14">
              <w:rPr>
                <w:rStyle w:val="Hyperlink"/>
                <w:noProof/>
              </w:rPr>
              <w:t>Key uses / expected use</w:t>
            </w:r>
            <w:r w:rsidR="005D1C23">
              <w:rPr>
                <w:noProof/>
                <w:webHidden/>
              </w:rPr>
              <w:tab/>
            </w:r>
            <w:r w:rsidR="005D1C23">
              <w:rPr>
                <w:noProof/>
                <w:webHidden/>
              </w:rPr>
              <w:fldChar w:fldCharType="begin"/>
            </w:r>
            <w:r w:rsidR="005D1C23">
              <w:rPr>
                <w:noProof/>
                <w:webHidden/>
              </w:rPr>
              <w:instrText xml:space="preserve"> PAGEREF _Toc71182217 \h </w:instrText>
            </w:r>
            <w:r w:rsidR="005D1C23">
              <w:rPr>
                <w:noProof/>
                <w:webHidden/>
              </w:rPr>
            </w:r>
            <w:r w:rsidR="005D1C23">
              <w:rPr>
                <w:noProof/>
                <w:webHidden/>
              </w:rPr>
              <w:fldChar w:fldCharType="separate"/>
            </w:r>
            <w:r w:rsidR="005D1C23">
              <w:rPr>
                <w:noProof/>
                <w:webHidden/>
              </w:rPr>
              <w:t>8</w:t>
            </w:r>
            <w:r w:rsidR="005D1C23">
              <w:rPr>
                <w:noProof/>
                <w:webHidden/>
              </w:rPr>
              <w:fldChar w:fldCharType="end"/>
            </w:r>
          </w:hyperlink>
        </w:p>
        <w:p w14:paraId="7676EA31" w14:textId="662F6DE7" w:rsidR="005D1C23" w:rsidRDefault="00D5395A">
          <w:pPr>
            <w:pStyle w:val="TOC3"/>
            <w:rPr>
              <w:rFonts w:asciiTheme="minorHAnsi" w:eastAsiaTheme="minorEastAsia" w:hAnsiTheme="minorHAnsi" w:cstheme="minorBidi"/>
              <w:b w:val="0"/>
              <w:noProof/>
              <w:szCs w:val="22"/>
              <w:lang w:eastAsia="en-AU"/>
            </w:rPr>
          </w:pPr>
          <w:hyperlink w:anchor="_Toc71182218" w:history="1">
            <w:r w:rsidR="005D1C23" w:rsidRPr="002A0D14">
              <w:rPr>
                <w:rStyle w:val="Hyperlink"/>
                <w:noProof/>
              </w:rPr>
              <w:t>Summary of reasons for proposal</w:t>
            </w:r>
            <w:r w:rsidR="005D1C23">
              <w:rPr>
                <w:noProof/>
                <w:webHidden/>
              </w:rPr>
              <w:tab/>
            </w:r>
            <w:r w:rsidR="005D1C23">
              <w:rPr>
                <w:noProof/>
                <w:webHidden/>
              </w:rPr>
              <w:fldChar w:fldCharType="begin"/>
            </w:r>
            <w:r w:rsidR="005D1C23">
              <w:rPr>
                <w:noProof/>
                <w:webHidden/>
              </w:rPr>
              <w:instrText xml:space="preserve"> PAGEREF _Toc71182218 \h </w:instrText>
            </w:r>
            <w:r w:rsidR="005D1C23">
              <w:rPr>
                <w:noProof/>
                <w:webHidden/>
              </w:rPr>
            </w:r>
            <w:r w:rsidR="005D1C23">
              <w:rPr>
                <w:noProof/>
                <w:webHidden/>
              </w:rPr>
              <w:fldChar w:fldCharType="separate"/>
            </w:r>
            <w:r w:rsidR="005D1C23">
              <w:rPr>
                <w:noProof/>
                <w:webHidden/>
              </w:rPr>
              <w:t>8</w:t>
            </w:r>
            <w:r w:rsidR="005D1C23">
              <w:rPr>
                <w:noProof/>
                <w:webHidden/>
              </w:rPr>
              <w:fldChar w:fldCharType="end"/>
            </w:r>
          </w:hyperlink>
        </w:p>
        <w:p w14:paraId="4B034420" w14:textId="2271104E" w:rsidR="005D1C23" w:rsidRDefault="00D5395A">
          <w:pPr>
            <w:pStyle w:val="TOC3"/>
            <w:rPr>
              <w:rFonts w:asciiTheme="minorHAnsi" w:eastAsiaTheme="minorEastAsia" w:hAnsiTheme="minorHAnsi" w:cstheme="minorBidi"/>
              <w:b w:val="0"/>
              <w:noProof/>
              <w:szCs w:val="22"/>
              <w:lang w:eastAsia="en-AU"/>
            </w:rPr>
          </w:pPr>
          <w:hyperlink w:anchor="_Toc71182219" w:history="1">
            <w:r w:rsidR="005D1C23" w:rsidRPr="002A0D14">
              <w:rPr>
                <w:rStyle w:val="Hyperlink"/>
                <w:noProof/>
              </w:rPr>
              <w:t>Australian regulations</w:t>
            </w:r>
            <w:r w:rsidR="005D1C23">
              <w:rPr>
                <w:noProof/>
                <w:webHidden/>
              </w:rPr>
              <w:tab/>
            </w:r>
            <w:r w:rsidR="005D1C23">
              <w:rPr>
                <w:noProof/>
                <w:webHidden/>
              </w:rPr>
              <w:fldChar w:fldCharType="begin"/>
            </w:r>
            <w:r w:rsidR="005D1C23">
              <w:rPr>
                <w:noProof/>
                <w:webHidden/>
              </w:rPr>
              <w:instrText xml:space="preserve"> PAGEREF _Toc71182219 \h </w:instrText>
            </w:r>
            <w:r w:rsidR="005D1C23">
              <w:rPr>
                <w:noProof/>
                <w:webHidden/>
              </w:rPr>
            </w:r>
            <w:r w:rsidR="005D1C23">
              <w:rPr>
                <w:noProof/>
                <w:webHidden/>
              </w:rPr>
              <w:fldChar w:fldCharType="separate"/>
            </w:r>
            <w:r w:rsidR="005D1C23">
              <w:rPr>
                <w:noProof/>
                <w:webHidden/>
              </w:rPr>
              <w:t>9</w:t>
            </w:r>
            <w:r w:rsidR="005D1C23">
              <w:rPr>
                <w:noProof/>
                <w:webHidden/>
              </w:rPr>
              <w:fldChar w:fldCharType="end"/>
            </w:r>
          </w:hyperlink>
        </w:p>
        <w:p w14:paraId="57594FDF" w14:textId="684C201F" w:rsidR="005D1C23" w:rsidRDefault="00D5395A">
          <w:pPr>
            <w:pStyle w:val="TOC3"/>
            <w:rPr>
              <w:rFonts w:asciiTheme="minorHAnsi" w:eastAsiaTheme="minorEastAsia" w:hAnsiTheme="minorHAnsi" w:cstheme="minorBidi"/>
              <w:b w:val="0"/>
              <w:noProof/>
              <w:szCs w:val="22"/>
              <w:lang w:eastAsia="en-AU"/>
            </w:rPr>
          </w:pPr>
          <w:hyperlink w:anchor="_Toc71182220" w:history="1">
            <w:r w:rsidR="005D1C23" w:rsidRPr="002A0D14">
              <w:rPr>
                <w:rStyle w:val="Hyperlink"/>
                <w:noProof/>
              </w:rPr>
              <w:t>International regulations</w:t>
            </w:r>
            <w:r w:rsidR="005D1C23">
              <w:rPr>
                <w:noProof/>
                <w:webHidden/>
              </w:rPr>
              <w:tab/>
            </w:r>
            <w:r w:rsidR="005D1C23">
              <w:rPr>
                <w:noProof/>
                <w:webHidden/>
              </w:rPr>
              <w:fldChar w:fldCharType="begin"/>
            </w:r>
            <w:r w:rsidR="005D1C23">
              <w:rPr>
                <w:noProof/>
                <w:webHidden/>
              </w:rPr>
              <w:instrText xml:space="preserve"> PAGEREF _Toc71182220 \h </w:instrText>
            </w:r>
            <w:r w:rsidR="005D1C23">
              <w:rPr>
                <w:noProof/>
                <w:webHidden/>
              </w:rPr>
            </w:r>
            <w:r w:rsidR="005D1C23">
              <w:rPr>
                <w:noProof/>
                <w:webHidden/>
              </w:rPr>
              <w:fldChar w:fldCharType="separate"/>
            </w:r>
            <w:r w:rsidR="005D1C23">
              <w:rPr>
                <w:noProof/>
                <w:webHidden/>
              </w:rPr>
              <w:t>9</w:t>
            </w:r>
            <w:r w:rsidR="005D1C23">
              <w:rPr>
                <w:noProof/>
                <w:webHidden/>
              </w:rPr>
              <w:fldChar w:fldCharType="end"/>
            </w:r>
          </w:hyperlink>
        </w:p>
        <w:p w14:paraId="185A0C75" w14:textId="396AB480" w:rsidR="005D1C23" w:rsidRDefault="00D5395A">
          <w:pPr>
            <w:pStyle w:val="TOC2"/>
            <w:tabs>
              <w:tab w:val="left" w:pos="1276"/>
            </w:tabs>
            <w:rPr>
              <w:rFonts w:asciiTheme="minorHAnsi" w:eastAsiaTheme="minorEastAsia" w:hAnsiTheme="minorHAnsi" w:cstheme="minorBidi"/>
              <w:b w:val="0"/>
              <w:noProof/>
              <w:sz w:val="22"/>
              <w:szCs w:val="22"/>
              <w:lang w:eastAsia="en-AU"/>
            </w:rPr>
          </w:pPr>
          <w:hyperlink w:anchor="_Toc71182221" w:history="1">
            <w:r w:rsidR="005D1C23" w:rsidRPr="002A0D14">
              <w:rPr>
                <w:rStyle w:val="Hyperlink"/>
                <w:noProof/>
              </w:rPr>
              <w:t>1.3</w:t>
            </w:r>
            <w:r w:rsidR="005D1C23">
              <w:rPr>
                <w:rFonts w:asciiTheme="minorHAnsi" w:eastAsiaTheme="minorEastAsia" w:hAnsiTheme="minorHAnsi" w:cstheme="minorBidi"/>
                <w:b w:val="0"/>
                <w:noProof/>
                <w:sz w:val="22"/>
                <w:szCs w:val="22"/>
                <w:lang w:eastAsia="en-AU"/>
              </w:rPr>
              <w:tab/>
            </w:r>
            <w:r w:rsidR="005D1C23" w:rsidRPr="002A0D14">
              <w:rPr>
                <w:rStyle w:val="Hyperlink"/>
                <w:noProof/>
              </w:rPr>
              <w:t>Eugenol</w:t>
            </w:r>
            <w:r w:rsidR="005D1C23">
              <w:rPr>
                <w:noProof/>
                <w:webHidden/>
              </w:rPr>
              <w:tab/>
            </w:r>
            <w:r w:rsidR="005D1C23">
              <w:rPr>
                <w:noProof/>
                <w:webHidden/>
              </w:rPr>
              <w:fldChar w:fldCharType="begin"/>
            </w:r>
            <w:r w:rsidR="005D1C23">
              <w:rPr>
                <w:noProof/>
                <w:webHidden/>
              </w:rPr>
              <w:instrText xml:space="preserve"> PAGEREF _Toc71182221 \h </w:instrText>
            </w:r>
            <w:r w:rsidR="005D1C23">
              <w:rPr>
                <w:noProof/>
                <w:webHidden/>
              </w:rPr>
            </w:r>
            <w:r w:rsidR="005D1C23">
              <w:rPr>
                <w:noProof/>
                <w:webHidden/>
              </w:rPr>
              <w:fldChar w:fldCharType="separate"/>
            </w:r>
            <w:r w:rsidR="005D1C23">
              <w:rPr>
                <w:noProof/>
                <w:webHidden/>
              </w:rPr>
              <w:t>10</w:t>
            </w:r>
            <w:r w:rsidR="005D1C23">
              <w:rPr>
                <w:noProof/>
                <w:webHidden/>
              </w:rPr>
              <w:fldChar w:fldCharType="end"/>
            </w:r>
          </w:hyperlink>
        </w:p>
        <w:p w14:paraId="519CB44D" w14:textId="21C7EFD7" w:rsidR="005D1C23" w:rsidRDefault="00D5395A">
          <w:pPr>
            <w:pStyle w:val="TOC3"/>
            <w:rPr>
              <w:rFonts w:asciiTheme="minorHAnsi" w:eastAsiaTheme="minorEastAsia" w:hAnsiTheme="minorHAnsi" w:cstheme="minorBidi"/>
              <w:b w:val="0"/>
              <w:noProof/>
              <w:szCs w:val="22"/>
              <w:lang w:eastAsia="en-AU"/>
            </w:rPr>
          </w:pPr>
          <w:hyperlink w:anchor="_Toc71182222" w:history="1">
            <w:r w:rsidR="005D1C23" w:rsidRPr="002A0D14">
              <w:rPr>
                <w:rStyle w:val="Hyperlink"/>
                <w:noProof/>
              </w:rPr>
              <w:t>Proposal</w:t>
            </w:r>
            <w:r w:rsidR="005D1C23">
              <w:rPr>
                <w:noProof/>
                <w:webHidden/>
              </w:rPr>
              <w:tab/>
            </w:r>
            <w:r w:rsidR="005D1C23">
              <w:rPr>
                <w:noProof/>
                <w:webHidden/>
              </w:rPr>
              <w:fldChar w:fldCharType="begin"/>
            </w:r>
            <w:r w:rsidR="005D1C23">
              <w:rPr>
                <w:noProof/>
                <w:webHidden/>
              </w:rPr>
              <w:instrText xml:space="preserve"> PAGEREF _Toc71182222 \h </w:instrText>
            </w:r>
            <w:r w:rsidR="005D1C23">
              <w:rPr>
                <w:noProof/>
                <w:webHidden/>
              </w:rPr>
            </w:r>
            <w:r w:rsidR="005D1C23">
              <w:rPr>
                <w:noProof/>
                <w:webHidden/>
              </w:rPr>
              <w:fldChar w:fldCharType="separate"/>
            </w:r>
            <w:r w:rsidR="005D1C23">
              <w:rPr>
                <w:noProof/>
                <w:webHidden/>
              </w:rPr>
              <w:t>10</w:t>
            </w:r>
            <w:r w:rsidR="005D1C23">
              <w:rPr>
                <w:noProof/>
                <w:webHidden/>
              </w:rPr>
              <w:fldChar w:fldCharType="end"/>
            </w:r>
          </w:hyperlink>
        </w:p>
        <w:p w14:paraId="03BDD8F9" w14:textId="7C558D8C" w:rsidR="005D1C23" w:rsidRDefault="00D5395A">
          <w:pPr>
            <w:pStyle w:val="TOC3"/>
            <w:rPr>
              <w:rFonts w:asciiTheme="minorHAnsi" w:eastAsiaTheme="minorEastAsia" w:hAnsiTheme="minorHAnsi" w:cstheme="minorBidi"/>
              <w:b w:val="0"/>
              <w:noProof/>
              <w:szCs w:val="22"/>
              <w:lang w:eastAsia="en-AU"/>
            </w:rPr>
          </w:pPr>
          <w:hyperlink w:anchor="_Toc71182223" w:history="1">
            <w:r w:rsidR="005D1C23" w:rsidRPr="002A0D14">
              <w:rPr>
                <w:rStyle w:val="Hyperlink"/>
                <w:noProof/>
              </w:rPr>
              <w:t>CAS Number:</w:t>
            </w:r>
            <w:r w:rsidR="005D1C23">
              <w:rPr>
                <w:noProof/>
                <w:webHidden/>
              </w:rPr>
              <w:tab/>
            </w:r>
            <w:r w:rsidR="005D1C23">
              <w:rPr>
                <w:noProof/>
                <w:webHidden/>
              </w:rPr>
              <w:fldChar w:fldCharType="begin"/>
            </w:r>
            <w:r w:rsidR="005D1C23">
              <w:rPr>
                <w:noProof/>
                <w:webHidden/>
              </w:rPr>
              <w:instrText xml:space="preserve"> PAGEREF _Toc71182223 \h </w:instrText>
            </w:r>
            <w:r w:rsidR="005D1C23">
              <w:rPr>
                <w:noProof/>
                <w:webHidden/>
              </w:rPr>
            </w:r>
            <w:r w:rsidR="005D1C23">
              <w:rPr>
                <w:noProof/>
                <w:webHidden/>
              </w:rPr>
              <w:fldChar w:fldCharType="separate"/>
            </w:r>
            <w:r w:rsidR="005D1C23">
              <w:rPr>
                <w:noProof/>
                <w:webHidden/>
              </w:rPr>
              <w:t>10</w:t>
            </w:r>
            <w:r w:rsidR="005D1C23">
              <w:rPr>
                <w:noProof/>
                <w:webHidden/>
              </w:rPr>
              <w:fldChar w:fldCharType="end"/>
            </w:r>
          </w:hyperlink>
        </w:p>
        <w:p w14:paraId="25398A9F" w14:textId="287BCD18" w:rsidR="005D1C23" w:rsidRDefault="00D5395A">
          <w:pPr>
            <w:pStyle w:val="TOC3"/>
            <w:rPr>
              <w:rFonts w:asciiTheme="minorHAnsi" w:eastAsiaTheme="minorEastAsia" w:hAnsiTheme="minorHAnsi" w:cstheme="minorBidi"/>
              <w:b w:val="0"/>
              <w:noProof/>
              <w:szCs w:val="22"/>
              <w:lang w:eastAsia="en-AU"/>
            </w:rPr>
          </w:pPr>
          <w:hyperlink w:anchor="_Toc71182224" w:history="1">
            <w:r w:rsidR="005D1C23" w:rsidRPr="002A0D14">
              <w:rPr>
                <w:rStyle w:val="Hyperlink"/>
                <w:noProof/>
              </w:rPr>
              <w:t>Alternative names</w:t>
            </w:r>
            <w:r w:rsidR="005D1C23">
              <w:rPr>
                <w:noProof/>
                <w:webHidden/>
              </w:rPr>
              <w:tab/>
            </w:r>
            <w:r w:rsidR="005D1C23">
              <w:rPr>
                <w:noProof/>
                <w:webHidden/>
              </w:rPr>
              <w:fldChar w:fldCharType="begin"/>
            </w:r>
            <w:r w:rsidR="005D1C23">
              <w:rPr>
                <w:noProof/>
                <w:webHidden/>
              </w:rPr>
              <w:instrText xml:space="preserve"> PAGEREF _Toc71182224 \h </w:instrText>
            </w:r>
            <w:r w:rsidR="005D1C23">
              <w:rPr>
                <w:noProof/>
                <w:webHidden/>
              </w:rPr>
            </w:r>
            <w:r w:rsidR="005D1C23">
              <w:rPr>
                <w:noProof/>
                <w:webHidden/>
              </w:rPr>
              <w:fldChar w:fldCharType="separate"/>
            </w:r>
            <w:r w:rsidR="005D1C23">
              <w:rPr>
                <w:noProof/>
                <w:webHidden/>
              </w:rPr>
              <w:t>10</w:t>
            </w:r>
            <w:r w:rsidR="005D1C23">
              <w:rPr>
                <w:noProof/>
                <w:webHidden/>
              </w:rPr>
              <w:fldChar w:fldCharType="end"/>
            </w:r>
          </w:hyperlink>
        </w:p>
        <w:p w14:paraId="2B87B826" w14:textId="55F77304" w:rsidR="005D1C23" w:rsidRDefault="00D5395A">
          <w:pPr>
            <w:pStyle w:val="TOC3"/>
            <w:rPr>
              <w:rFonts w:asciiTheme="minorHAnsi" w:eastAsiaTheme="minorEastAsia" w:hAnsiTheme="minorHAnsi" w:cstheme="minorBidi"/>
              <w:b w:val="0"/>
              <w:noProof/>
              <w:szCs w:val="22"/>
              <w:lang w:eastAsia="en-AU"/>
            </w:rPr>
          </w:pPr>
          <w:hyperlink w:anchor="_Toc71182225" w:history="1">
            <w:r w:rsidR="005D1C23" w:rsidRPr="002A0D14">
              <w:rPr>
                <w:rStyle w:val="Hyperlink"/>
                <w:noProof/>
              </w:rPr>
              <w:t>Current scheduling</w:t>
            </w:r>
            <w:r w:rsidR="005D1C23">
              <w:rPr>
                <w:noProof/>
                <w:webHidden/>
              </w:rPr>
              <w:tab/>
            </w:r>
            <w:r w:rsidR="005D1C23">
              <w:rPr>
                <w:noProof/>
                <w:webHidden/>
              </w:rPr>
              <w:fldChar w:fldCharType="begin"/>
            </w:r>
            <w:r w:rsidR="005D1C23">
              <w:rPr>
                <w:noProof/>
                <w:webHidden/>
              </w:rPr>
              <w:instrText xml:space="preserve"> PAGEREF _Toc71182225 \h </w:instrText>
            </w:r>
            <w:r w:rsidR="005D1C23">
              <w:rPr>
                <w:noProof/>
                <w:webHidden/>
              </w:rPr>
            </w:r>
            <w:r w:rsidR="005D1C23">
              <w:rPr>
                <w:noProof/>
                <w:webHidden/>
              </w:rPr>
              <w:fldChar w:fldCharType="separate"/>
            </w:r>
            <w:r w:rsidR="005D1C23">
              <w:rPr>
                <w:noProof/>
                <w:webHidden/>
              </w:rPr>
              <w:t>10</w:t>
            </w:r>
            <w:r w:rsidR="005D1C23">
              <w:rPr>
                <w:noProof/>
                <w:webHidden/>
              </w:rPr>
              <w:fldChar w:fldCharType="end"/>
            </w:r>
          </w:hyperlink>
        </w:p>
        <w:p w14:paraId="10B06119" w14:textId="5209351F" w:rsidR="005D1C23" w:rsidRDefault="00D5395A">
          <w:pPr>
            <w:pStyle w:val="TOC3"/>
            <w:rPr>
              <w:rFonts w:asciiTheme="minorHAnsi" w:eastAsiaTheme="minorEastAsia" w:hAnsiTheme="minorHAnsi" w:cstheme="minorBidi"/>
              <w:b w:val="0"/>
              <w:noProof/>
              <w:szCs w:val="22"/>
              <w:lang w:eastAsia="en-AU"/>
            </w:rPr>
          </w:pPr>
          <w:hyperlink w:anchor="_Toc71182226" w:history="1">
            <w:r w:rsidR="005D1C23" w:rsidRPr="002A0D14">
              <w:rPr>
                <w:rStyle w:val="Hyperlink"/>
                <w:noProof/>
              </w:rPr>
              <w:t>Proposed scheduling</w:t>
            </w:r>
            <w:r w:rsidR="005D1C23">
              <w:rPr>
                <w:noProof/>
                <w:webHidden/>
              </w:rPr>
              <w:tab/>
            </w:r>
            <w:r w:rsidR="005D1C23">
              <w:rPr>
                <w:noProof/>
                <w:webHidden/>
              </w:rPr>
              <w:fldChar w:fldCharType="begin"/>
            </w:r>
            <w:r w:rsidR="005D1C23">
              <w:rPr>
                <w:noProof/>
                <w:webHidden/>
              </w:rPr>
              <w:instrText xml:space="preserve"> PAGEREF _Toc71182226 \h </w:instrText>
            </w:r>
            <w:r w:rsidR="005D1C23">
              <w:rPr>
                <w:noProof/>
                <w:webHidden/>
              </w:rPr>
            </w:r>
            <w:r w:rsidR="005D1C23">
              <w:rPr>
                <w:noProof/>
                <w:webHidden/>
              </w:rPr>
              <w:fldChar w:fldCharType="separate"/>
            </w:r>
            <w:r w:rsidR="005D1C23">
              <w:rPr>
                <w:noProof/>
                <w:webHidden/>
              </w:rPr>
              <w:t>11</w:t>
            </w:r>
            <w:r w:rsidR="005D1C23">
              <w:rPr>
                <w:noProof/>
                <w:webHidden/>
              </w:rPr>
              <w:fldChar w:fldCharType="end"/>
            </w:r>
          </w:hyperlink>
        </w:p>
        <w:p w14:paraId="5989C702" w14:textId="14EA2048" w:rsidR="005D1C23" w:rsidRDefault="00D5395A">
          <w:pPr>
            <w:pStyle w:val="TOC3"/>
            <w:rPr>
              <w:rFonts w:asciiTheme="minorHAnsi" w:eastAsiaTheme="minorEastAsia" w:hAnsiTheme="minorHAnsi" w:cstheme="minorBidi"/>
              <w:b w:val="0"/>
              <w:noProof/>
              <w:szCs w:val="22"/>
              <w:lang w:eastAsia="en-AU"/>
            </w:rPr>
          </w:pPr>
          <w:hyperlink w:anchor="_Toc71182227" w:history="1">
            <w:r w:rsidR="005D1C23" w:rsidRPr="002A0D14">
              <w:rPr>
                <w:rStyle w:val="Hyperlink"/>
                <w:noProof/>
              </w:rPr>
              <w:t>Key uses / expected use</w:t>
            </w:r>
            <w:r w:rsidR="005D1C23">
              <w:rPr>
                <w:noProof/>
                <w:webHidden/>
              </w:rPr>
              <w:tab/>
            </w:r>
            <w:r w:rsidR="005D1C23">
              <w:rPr>
                <w:noProof/>
                <w:webHidden/>
              </w:rPr>
              <w:fldChar w:fldCharType="begin"/>
            </w:r>
            <w:r w:rsidR="005D1C23">
              <w:rPr>
                <w:noProof/>
                <w:webHidden/>
              </w:rPr>
              <w:instrText xml:space="preserve"> PAGEREF _Toc71182227 \h </w:instrText>
            </w:r>
            <w:r w:rsidR="005D1C23">
              <w:rPr>
                <w:noProof/>
                <w:webHidden/>
              </w:rPr>
            </w:r>
            <w:r w:rsidR="005D1C23">
              <w:rPr>
                <w:noProof/>
                <w:webHidden/>
              </w:rPr>
              <w:fldChar w:fldCharType="separate"/>
            </w:r>
            <w:r w:rsidR="005D1C23">
              <w:rPr>
                <w:noProof/>
                <w:webHidden/>
              </w:rPr>
              <w:t>13</w:t>
            </w:r>
            <w:r w:rsidR="005D1C23">
              <w:rPr>
                <w:noProof/>
                <w:webHidden/>
              </w:rPr>
              <w:fldChar w:fldCharType="end"/>
            </w:r>
          </w:hyperlink>
        </w:p>
        <w:p w14:paraId="15A48A25" w14:textId="64C5B2A3" w:rsidR="005D1C23" w:rsidRDefault="00D5395A">
          <w:pPr>
            <w:pStyle w:val="TOC3"/>
            <w:rPr>
              <w:rFonts w:asciiTheme="minorHAnsi" w:eastAsiaTheme="minorEastAsia" w:hAnsiTheme="minorHAnsi" w:cstheme="minorBidi"/>
              <w:b w:val="0"/>
              <w:noProof/>
              <w:szCs w:val="22"/>
              <w:lang w:eastAsia="en-AU"/>
            </w:rPr>
          </w:pPr>
          <w:hyperlink w:anchor="_Toc71182228" w:history="1">
            <w:r w:rsidR="005D1C23" w:rsidRPr="002A0D14">
              <w:rPr>
                <w:rStyle w:val="Hyperlink"/>
                <w:noProof/>
              </w:rPr>
              <w:t>Summary of reasons for proposal</w:t>
            </w:r>
            <w:r w:rsidR="005D1C23">
              <w:rPr>
                <w:noProof/>
                <w:webHidden/>
              </w:rPr>
              <w:tab/>
            </w:r>
            <w:r w:rsidR="005D1C23">
              <w:rPr>
                <w:noProof/>
                <w:webHidden/>
              </w:rPr>
              <w:fldChar w:fldCharType="begin"/>
            </w:r>
            <w:r w:rsidR="005D1C23">
              <w:rPr>
                <w:noProof/>
                <w:webHidden/>
              </w:rPr>
              <w:instrText xml:space="preserve"> PAGEREF _Toc71182228 \h </w:instrText>
            </w:r>
            <w:r w:rsidR="005D1C23">
              <w:rPr>
                <w:noProof/>
                <w:webHidden/>
              </w:rPr>
            </w:r>
            <w:r w:rsidR="005D1C23">
              <w:rPr>
                <w:noProof/>
                <w:webHidden/>
              </w:rPr>
              <w:fldChar w:fldCharType="separate"/>
            </w:r>
            <w:r w:rsidR="005D1C23">
              <w:rPr>
                <w:noProof/>
                <w:webHidden/>
              </w:rPr>
              <w:t>13</w:t>
            </w:r>
            <w:r w:rsidR="005D1C23">
              <w:rPr>
                <w:noProof/>
                <w:webHidden/>
              </w:rPr>
              <w:fldChar w:fldCharType="end"/>
            </w:r>
          </w:hyperlink>
        </w:p>
        <w:p w14:paraId="64546EED" w14:textId="3E6423D1" w:rsidR="005D1C23" w:rsidRDefault="00D5395A">
          <w:pPr>
            <w:pStyle w:val="TOC3"/>
            <w:rPr>
              <w:rFonts w:asciiTheme="minorHAnsi" w:eastAsiaTheme="minorEastAsia" w:hAnsiTheme="minorHAnsi" w:cstheme="minorBidi"/>
              <w:b w:val="0"/>
              <w:noProof/>
              <w:szCs w:val="22"/>
              <w:lang w:eastAsia="en-AU"/>
            </w:rPr>
          </w:pPr>
          <w:hyperlink w:anchor="_Toc71182229" w:history="1">
            <w:r w:rsidR="005D1C23" w:rsidRPr="002A0D14">
              <w:rPr>
                <w:rStyle w:val="Hyperlink"/>
                <w:noProof/>
              </w:rPr>
              <w:t>Australian regulations</w:t>
            </w:r>
            <w:r w:rsidR="005D1C23">
              <w:rPr>
                <w:noProof/>
                <w:webHidden/>
              </w:rPr>
              <w:tab/>
            </w:r>
            <w:r w:rsidR="005D1C23">
              <w:rPr>
                <w:noProof/>
                <w:webHidden/>
              </w:rPr>
              <w:fldChar w:fldCharType="begin"/>
            </w:r>
            <w:r w:rsidR="005D1C23">
              <w:rPr>
                <w:noProof/>
                <w:webHidden/>
              </w:rPr>
              <w:instrText xml:space="preserve"> PAGEREF _Toc71182229 \h </w:instrText>
            </w:r>
            <w:r w:rsidR="005D1C23">
              <w:rPr>
                <w:noProof/>
                <w:webHidden/>
              </w:rPr>
            </w:r>
            <w:r w:rsidR="005D1C23">
              <w:rPr>
                <w:noProof/>
                <w:webHidden/>
              </w:rPr>
              <w:fldChar w:fldCharType="separate"/>
            </w:r>
            <w:r w:rsidR="005D1C23">
              <w:rPr>
                <w:noProof/>
                <w:webHidden/>
              </w:rPr>
              <w:t>14</w:t>
            </w:r>
            <w:r w:rsidR="005D1C23">
              <w:rPr>
                <w:noProof/>
                <w:webHidden/>
              </w:rPr>
              <w:fldChar w:fldCharType="end"/>
            </w:r>
          </w:hyperlink>
        </w:p>
        <w:p w14:paraId="163070DD" w14:textId="10EBCA1B" w:rsidR="005D1C23" w:rsidRDefault="00D5395A">
          <w:pPr>
            <w:pStyle w:val="TOC3"/>
            <w:rPr>
              <w:rFonts w:asciiTheme="minorHAnsi" w:eastAsiaTheme="minorEastAsia" w:hAnsiTheme="minorHAnsi" w:cstheme="minorBidi"/>
              <w:b w:val="0"/>
              <w:noProof/>
              <w:szCs w:val="22"/>
              <w:lang w:eastAsia="en-AU"/>
            </w:rPr>
          </w:pPr>
          <w:hyperlink w:anchor="_Toc71182230" w:history="1">
            <w:r w:rsidR="005D1C23" w:rsidRPr="002A0D14">
              <w:rPr>
                <w:rStyle w:val="Hyperlink"/>
                <w:noProof/>
              </w:rPr>
              <w:t>International regulations</w:t>
            </w:r>
            <w:r w:rsidR="005D1C23">
              <w:rPr>
                <w:noProof/>
                <w:webHidden/>
              </w:rPr>
              <w:tab/>
            </w:r>
            <w:r w:rsidR="005D1C23">
              <w:rPr>
                <w:noProof/>
                <w:webHidden/>
              </w:rPr>
              <w:fldChar w:fldCharType="begin"/>
            </w:r>
            <w:r w:rsidR="005D1C23">
              <w:rPr>
                <w:noProof/>
                <w:webHidden/>
              </w:rPr>
              <w:instrText xml:space="preserve"> PAGEREF _Toc71182230 \h </w:instrText>
            </w:r>
            <w:r w:rsidR="005D1C23">
              <w:rPr>
                <w:noProof/>
                <w:webHidden/>
              </w:rPr>
            </w:r>
            <w:r w:rsidR="005D1C23">
              <w:rPr>
                <w:noProof/>
                <w:webHidden/>
              </w:rPr>
              <w:fldChar w:fldCharType="separate"/>
            </w:r>
            <w:r w:rsidR="005D1C23">
              <w:rPr>
                <w:noProof/>
                <w:webHidden/>
              </w:rPr>
              <w:t>16</w:t>
            </w:r>
            <w:r w:rsidR="005D1C23">
              <w:rPr>
                <w:noProof/>
                <w:webHidden/>
              </w:rPr>
              <w:fldChar w:fldCharType="end"/>
            </w:r>
          </w:hyperlink>
        </w:p>
        <w:p w14:paraId="5B667DF0" w14:textId="365143A2" w:rsidR="005D1C23" w:rsidRDefault="00D5395A">
          <w:pPr>
            <w:pStyle w:val="TOC2"/>
            <w:tabs>
              <w:tab w:val="left" w:pos="1276"/>
            </w:tabs>
            <w:rPr>
              <w:rFonts w:asciiTheme="minorHAnsi" w:eastAsiaTheme="minorEastAsia" w:hAnsiTheme="minorHAnsi" w:cstheme="minorBidi"/>
              <w:b w:val="0"/>
              <w:noProof/>
              <w:sz w:val="22"/>
              <w:szCs w:val="22"/>
              <w:lang w:eastAsia="en-AU"/>
            </w:rPr>
          </w:pPr>
          <w:hyperlink w:anchor="_Toc71182231" w:history="1">
            <w:r w:rsidR="005D1C23" w:rsidRPr="002A0D14">
              <w:rPr>
                <w:rStyle w:val="Hyperlink"/>
                <w:noProof/>
              </w:rPr>
              <w:t>1.4</w:t>
            </w:r>
            <w:r w:rsidR="005D1C23">
              <w:rPr>
                <w:rFonts w:asciiTheme="minorHAnsi" w:eastAsiaTheme="minorEastAsia" w:hAnsiTheme="minorHAnsi" w:cstheme="minorBidi"/>
                <w:b w:val="0"/>
                <w:noProof/>
                <w:sz w:val="22"/>
                <w:szCs w:val="22"/>
                <w:lang w:eastAsia="en-AU"/>
              </w:rPr>
              <w:tab/>
            </w:r>
            <w:r w:rsidR="005D1C23" w:rsidRPr="002A0D14">
              <w:rPr>
                <w:rStyle w:val="Hyperlink"/>
                <w:noProof/>
              </w:rPr>
              <w:t>Lead acetates and other lead compounds</w:t>
            </w:r>
            <w:r w:rsidR="005D1C23">
              <w:rPr>
                <w:noProof/>
                <w:webHidden/>
              </w:rPr>
              <w:tab/>
            </w:r>
            <w:r w:rsidR="005D1C23">
              <w:rPr>
                <w:noProof/>
                <w:webHidden/>
              </w:rPr>
              <w:fldChar w:fldCharType="begin"/>
            </w:r>
            <w:r w:rsidR="005D1C23">
              <w:rPr>
                <w:noProof/>
                <w:webHidden/>
              </w:rPr>
              <w:instrText xml:space="preserve"> PAGEREF _Toc71182231 \h </w:instrText>
            </w:r>
            <w:r w:rsidR="005D1C23">
              <w:rPr>
                <w:noProof/>
                <w:webHidden/>
              </w:rPr>
            </w:r>
            <w:r w:rsidR="005D1C23">
              <w:rPr>
                <w:noProof/>
                <w:webHidden/>
              </w:rPr>
              <w:fldChar w:fldCharType="separate"/>
            </w:r>
            <w:r w:rsidR="005D1C23">
              <w:rPr>
                <w:noProof/>
                <w:webHidden/>
              </w:rPr>
              <w:t>17</w:t>
            </w:r>
            <w:r w:rsidR="005D1C23">
              <w:rPr>
                <w:noProof/>
                <w:webHidden/>
              </w:rPr>
              <w:fldChar w:fldCharType="end"/>
            </w:r>
          </w:hyperlink>
        </w:p>
        <w:p w14:paraId="05FA4E1C" w14:textId="30A6F3AC" w:rsidR="005D1C23" w:rsidRDefault="00D5395A">
          <w:pPr>
            <w:pStyle w:val="TOC3"/>
            <w:rPr>
              <w:rFonts w:asciiTheme="minorHAnsi" w:eastAsiaTheme="minorEastAsia" w:hAnsiTheme="minorHAnsi" w:cstheme="minorBidi"/>
              <w:b w:val="0"/>
              <w:noProof/>
              <w:szCs w:val="22"/>
              <w:lang w:eastAsia="en-AU"/>
            </w:rPr>
          </w:pPr>
          <w:hyperlink w:anchor="_Toc71182232" w:history="1">
            <w:r w:rsidR="005D1C23" w:rsidRPr="002A0D14">
              <w:rPr>
                <w:rStyle w:val="Hyperlink"/>
                <w:noProof/>
              </w:rPr>
              <w:t>Proposal</w:t>
            </w:r>
            <w:r w:rsidR="005D1C23">
              <w:rPr>
                <w:noProof/>
                <w:webHidden/>
              </w:rPr>
              <w:tab/>
            </w:r>
            <w:r w:rsidR="005D1C23">
              <w:rPr>
                <w:noProof/>
                <w:webHidden/>
              </w:rPr>
              <w:fldChar w:fldCharType="begin"/>
            </w:r>
            <w:r w:rsidR="005D1C23">
              <w:rPr>
                <w:noProof/>
                <w:webHidden/>
              </w:rPr>
              <w:instrText xml:space="preserve"> PAGEREF _Toc71182232 \h </w:instrText>
            </w:r>
            <w:r w:rsidR="005D1C23">
              <w:rPr>
                <w:noProof/>
                <w:webHidden/>
              </w:rPr>
            </w:r>
            <w:r w:rsidR="005D1C23">
              <w:rPr>
                <w:noProof/>
                <w:webHidden/>
              </w:rPr>
              <w:fldChar w:fldCharType="separate"/>
            </w:r>
            <w:r w:rsidR="005D1C23">
              <w:rPr>
                <w:noProof/>
                <w:webHidden/>
              </w:rPr>
              <w:t>17</w:t>
            </w:r>
            <w:r w:rsidR="005D1C23">
              <w:rPr>
                <w:noProof/>
                <w:webHidden/>
              </w:rPr>
              <w:fldChar w:fldCharType="end"/>
            </w:r>
          </w:hyperlink>
        </w:p>
        <w:p w14:paraId="6E934D8E" w14:textId="23F3AAE9" w:rsidR="005D1C23" w:rsidRDefault="00D5395A">
          <w:pPr>
            <w:pStyle w:val="TOC3"/>
            <w:rPr>
              <w:rFonts w:asciiTheme="minorHAnsi" w:eastAsiaTheme="minorEastAsia" w:hAnsiTheme="minorHAnsi" w:cstheme="minorBidi"/>
              <w:b w:val="0"/>
              <w:noProof/>
              <w:szCs w:val="22"/>
              <w:lang w:eastAsia="en-AU"/>
            </w:rPr>
          </w:pPr>
          <w:hyperlink w:anchor="_Toc71182233" w:history="1">
            <w:r w:rsidR="005D1C23" w:rsidRPr="002A0D14">
              <w:rPr>
                <w:rStyle w:val="Hyperlink"/>
                <w:noProof/>
              </w:rPr>
              <w:t>CAS number(s):</w:t>
            </w:r>
            <w:r w:rsidR="005D1C23">
              <w:rPr>
                <w:noProof/>
                <w:webHidden/>
              </w:rPr>
              <w:tab/>
            </w:r>
            <w:r w:rsidR="005D1C23">
              <w:rPr>
                <w:noProof/>
                <w:webHidden/>
              </w:rPr>
              <w:fldChar w:fldCharType="begin"/>
            </w:r>
            <w:r w:rsidR="005D1C23">
              <w:rPr>
                <w:noProof/>
                <w:webHidden/>
              </w:rPr>
              <w:instrText xml:space="preserve"> PAGEREF _Toc71182233 \h </w:instrText>
            </w:r>
            <w:r w:rsidR="005D1C23">
              <w:rPr>
                <w:noProof/>
                <w:webHidden/>
              </w:rPr>
            </w:r>
            <w:r w:rsidR="005D1C23">
              <w:rPr>
                <w:noProof/>
                <w:webHidden/>
              </w:rPr>
              <w:fldChar w:fldCharType="separate"/>
            </w:r>
            <w:r w:rsidR="005D1C23">
              <w:rPr>
                <w:noProof/>
                <w:webHidden/>
              </w:rPr>
              <w:t>17</w:t>
            </w:r>
            <w:r w:rsidR="005D1C23">
              <w:rPr>
                <w:noProof/>
                <w:webHidden/>
              </w:rPr>
              <w:fldChar w:fldCharType="end"/>
            </w:r>
          </w:hyperlink>
        </w:p>
        <w:p w14:paraId="24132212" w14:textId="39C7B9B9" w:rsidR="005D1C23" w:rsidRDefault="00D5395A">
          <w:pPr>
            <w:pStyle w:val="TOC3"/>
            <w:rPr>
              <w:rFonts w:asciiTheme="minorHAnsi" w:eastAsiaTheme="minorEastAsia" w:hAnsiTheme="minorHAnsi" w:cstheme="minorBidi"/>
              <w:b w:val="0"/>
              <w:noProof/>
              <w:szCs w:val="22"/>
              <w:lang w:eastAsia="en-AU"/>
            </w:rPr>
          </w:pPr>
          <w:hyperlink w:anchor="_Toc71182234" w:history="1">
            <w:r w:rsidR="005D1C23" w:rsidRPr="002A0D14">
              <w:rPr>
                <w:rStyle w:val="Hyperlink"/>
                <w:noProof/>
              </w:rPr>
              <w:t>Alternative names</w:t>
            </w:r>
            <w:r w:rsidR="005D1C23">
              <w:rPr>
                <w:noProof/>
                <w:webHidden/>
              </w:rPr>
              <w:tab/>
            </w:r>
            <w:r w:rsidR="005D1C23">
              <w:rPr>
                <w:noProof/>
                <w:webHidden/>
              </w:rPr>
              <w:fldChar w:fldCharType="begin"/>
            </w:r>
            <w:r w:rsidR="005D1C23">
              <w:rPr>
                <w:noProof/>
                <w:webHidden/>
              </w:rPr>
              <w:instrText xml:space="preserve"> PAGEREF _Toc71182234 \h </w:instrText>
            </w:r>
            <w:r w:rsidR="005D1C23">
              <w:rPr>
                <w:noProof/>
                <w:webHidden/>
              </w:rPr>
            </w:r>
            <w:r w:rsidR="005D1C23">
              <w:rPr>
                <w:noProof/>
                <w:webHidden/>
              </w:rPr>
              <w:fldChar w:fldCharType="separate"/>
            </w:r>
            <w:r w:rsidR="005D1C23">
              <w:rPr>
                <w:noProof/>
                <w:webHidden/>
              </w:rPr>
              <w:t>17</w:t>
            </w:r>
            <w:r w:rsidR="005D1C23">
              <w:rPr>
                <w:noProof/>
                <w:webHidden/>
              </w:rPr>
              <w:fldChar w:fldCharType="end"/>
            </w:r>
          </w:hyperlink>
        </w:p>
        <w:p w14:paraId="0D0ECC28" w14:textId="08FD3EEA" w:rsidR="005D1C23" w:rsidRDefault="00D5395A">
          <w:pPr>
            <w:pStyle w:val="TOC3"/>
            <w:rPr>
              <w:rFonts w:asciiTheme="minorHAnsi" w:eastAsiaTheme="minorEastAsia" w:hAnsiTheme="minorHAnsi" w:cstheme="minorBidi"/>
              <w:b w:val="0"/>
              <w:noProof/>
              <w:szCs w:val="22"/>
              <w:lang w:eastAsia="en-AU"/>
            </w:rPr>
          </w:pPr>
          <w:hyperlink w:anchor="_Toc71182235" w:history="1">
            <w:r w:rsidR="005D1C23" w:rsidRPr="002A0D14">
              <w:rPr>
                <w:rStyle w:val="Hyperlink"/>
                <w:noProof/>
              </w:rPr>
              <w:t>Current scheduling</w:t>
            </w:r>
            <w:r w:rsidR="005D1C23">
              <w:rPr>
                <w:noProof/>
                <w:webHidden/>
              </w:rPr>
              <w:tab/>
            </w:r>
            <w:r w:rsidR="005D1C23">
              <w:rPr>
                <w:noProof/>
                <w:webHidden/>
              </w:rPr>
              <w:fldChar w:fldCharType="begin"/>
            </w:r>
            <w:r w:rsidR="005D1C23">
              <w:rPr>
                <w:noProof/>
                <w:webHidden/>
              </w:rPr>
              <w:instrText xml:space="preserve"> PAGEREF _Toc71182235 \h </w:instrText>
            </w:r>
            <w:r w:rsidR="005D1C23">
              <w:rPr>
                <w:noProof/>
                <w:webHidden/>
              </w:rPr>
            </w:r>
            <w:r w:rsidR="005D1C23">
              <w:rPr>
                <w:noProof/>
                <w:webHidden/>
              </w:rPr>
              <w:fldChar w:fldCharType="separate"/>
            </w:r>
            <w:r w:rsidR="005D1C23">
              <w:rPr>
                <w:noProof/>
                <w:webHidden/>
              </w:rPr>
              <w:t>17</w:t>
            </w:r>
            <w:r w:rsidR="005D1C23">
              <w:rPr>
                <w:noProof/>
                <w:webHidden/>
              </w:rPr>
              <w:fldChar w:fldCharType="end"/>
            </w:r>
          </w:hyperlink>
        </w:p>
        <w:p w14:paraId="0BBAD62D" w14:textId="485705AD" w:rsidR="005D1C23" w:rsidRDefault="00D5395A">
          <w:pPr>
            <w:pStyle w:val="TOC3"/>
            <w:rPr>
              <w:rFonts w:asciiTheme="minorHAnsi" w:eastAsiaTheme="minorEastAsia" w:hAnsiTheme="minorHAnsi" w:cstheme="minorBidi"/>
              <w:b w:val="0"/>
              <w:noProof/>
              <w:szCs w:val="22"/>
              <w:lang w:eastAsia="en-AU"/>
            </w:rPr>
          </w:pPr>
          <w:hyperlink w:anchor="_Toc71182236" w:history="1">
            <w:r w:rsidR="005D1C23" w:rsidRPr="002A0D14">
              <w:rPr>
                <w:rStyle w:val="Hyperlink"/>
                <w:noProof/>
              </w:rPr>
              <w:t>Proposed scheduling</w:t>
            </w:r>
            <w:r w:rsidR="005D1C23">
              <w:rPr>
                <w:noProof/>
                <w:webHidden/>
              </w:rPr>
              <w:tab/>
            </w:r>
            <w:r w:rsidR="005D1C23">
              <w:rPr>
                <w:noProof/>
                <w:webHidden/>
              </w:rPr>
              <w:fldChar w:fldCharType="begin"/>
            </w:r>
            <w:r w:rsidR="005D1C23">
              <w:rPr>
                <w:noProof/>
                <w:webHidden/>
              </w:rPr>
              <w:instrText xml:space="preserve"> PAGEREF _Toc71182236 \h </w:instrText>
            </w:r>
            <w:r w:rsidR="005D1C23">
              <w:rPr>
                <w:noProof/>
                <w:webHidden/>
              </w:rPr>
            </w:r>
            <w:r w:rsidR="005D1C23">
              <w:rPr>
                <w:noProof/>
                <w:webHidden/>
              </w:rPr>
              <w:fldChar w:fldCharType="separate"/>
            </w:r>
            <w:r w:rsidR="005D1C23">
              <w:rPr>
                <w:noProof/>
                <w:webHidden/>
              </w:rPr>
              <w:t>19</w:t>
            </w:r>
            <w:r w:rsidR="005D1C23">
              <w:rPr>
                <w:noProof/>
                <w:webHidden/>
              </w:rPr>
              <w:fldChar w:fldCharType="end"/>
            </w:r>
          </w:hyperlink>
        </w:p>
        <w:p w14:paraId="19B7464E" w14:textId="20C593FC" w:rsidR="005D1C23" w:rsidRDefault="00D5395A">
          <w:pPr>
            <w:pStyle w:val="TOC3"/>
            <w:rPr>
              <w:rFonts w:asciiTheme="minorHAnsi" w:eastAsiaTheme="minorEastAsia" w:hAnsiTheme="minorHAnsi" w:cstheme="minorBidi"/>
              <w:b w:val="0"/>
              <w:noProof/>
              <w:szCs w:val="22"/>
              <w:lang w:eastAsia="en-AU"/>
            </w:rPr>
          </w:pPr>
          <w:hyperlink w:anchor="_Toc71182237" w:history="1">
            <w:r w:rsidR="005D1C23" w:rsidRPr="002A0D14">
              <w:rPr>
                <w:rStyle w:val="Hyperlink"/>
                <w:noProof/>
              </w:rPr>
              <w:t>Key uses / expected use</w:t>
            </w:r>
            <w:r w:rsidR="005D1C23">
              <w:rPr>
                <w:noProof/>
                <w:webHidden/>
              </w:rPr>
              <w:tab/>
            </w:r>
            <w:r w:rsidR="005D1C23">
              <w:rPr>
                <w:noProof/>
                <w:webHidden/>
              </w:rPr>
              <w:fldChar w:fldCharType="begin"/>
            </w:r>
            <w:r w:rsidR="005D1C23">
              <w:rPr>
                <w:noProof/>
                <w:webHidden/>
              </w:rPr>
              <w:instrText xml:space="preserve"> PAGEREF _Toc71182237 \h </w:instrText>
            </w:r>
            <w:r w:rsidR="005D1C23">
              <w:rPr>
                <w:noProof/>
                <w:webHidden/>
              </w:rPr>
            </w:r>
            <w:r w:rsidR="005D1C23">
              <w:rPr>
                <w:noProof/>
                <w:webHidden/>
              </w:rPr>
              <w:fldChar w:fldCharType="separate"/>
            </w:r>
            <w:r w:rsidR="005D1C23">
              <w:rPr>
                <w:noProof/>
                <w:webHidden/>
              </w:rPr>
              <w:t>20</w:t>
            </w:r>
            <w:r w:rsidR="005D1C23">
              <w:rPr>
                <w:noProof/>
                <w:webHidden/>
              </w:rPr>
              <w:fldChar w:fldCharType="end"/>
            </w:r>
          </w:hyperlink>
        </w:p>
        <w:p w14:paraId="2710DC87" w14:textId="123C3495" w:rsidR="005D1C23" w:rsidRDefault="00D5395A">
          <w:pPr>
            <w:pStyle w:val="TOC3"/>
            <w:rPr>
              <w:rFonts w:asciiTheme="minorHAnsi" w:eastAsiaTheme="minorEastAsia" w:hAnsiTheme="minorHAnsi" w:cstheme="minorBidi"/>
              <w:b w:val="0"/>
              <w:noProof/>
              <w:szCs w:val="22"/>
              <w:lang w:eastAsia="en-AU"/>
            </w:rPr>
          </w:pPr>
          <w:hyperlink w:anchor="_Toc71182238" w:history="1">
            <w:r w:rsidR="005D1C23" w:rsidRPr="002A0D14">
              <w:rPr>
                <w:rStyle w:val="Hyperlink"/>
                <w:noProof/>
              </w:rPr>
              <w:t>Summary of reasons for proposal</w:t>
            </w:r>
            <w:r w:rsidR="005D1C23">
              <w:rPr>
                <w:noProof/>
                <w:webHidden/>
              </w:rPr>
              <w:tab/>
            </w:r>
            <w:r w:rsidR="005D1C23">
              <w:rPr>
                <w:noProof/>
                <w:webHidden/>
              </w:rPr>
              <w:fldChar w:fldCharType="begin"/>
            </w:r>
            <w:r w:rsidR="005D1C23">
              <w:rPr>
                <w:noProof/>
                <w:webHidden/>
              </w:rPr>
              <w:instrText xml:space="preserve"> PAGEREF _Toc71182238 \h </w:instrText>
            </w:r>
            <w:r w:rsidR="005D1C23">
              <w:rPr>
                <w:noProof/>
                <w:webHidden/>
              </w:rPr>
            </w:r>
            <w:r w:rsidR="005D1C23">
              <w:rPr>
                <w:noProof/>
                <w:webHidden/>
              </w:rPr>
              <w:fldChar w:fldCharType="separate"/>
            </w:r>
            <w:r w:rsidR="005D1C23">
              <w:rPr>
                <w:noProof/>
                <w:webHidden/>
              </w:rPr>
              <w:t>20</w:t>
            </w:r>
            <w:r w:rsidR="005D1C23">
              <w:rPr>
                <w:noProof/>
                <w:webHidden/>
              </w:rPr>
              <w:fldChar w:fldCharType="end"/>
            </w:r>
          </w:hyperlink>
        </w:p>
        <w:p w14:paraId="4CE8F7BE" w14:textId="0289A4D7" w:rsidR="005D1C23" w:rsidRDefault="00D5395A">
          <w:pPr>
            <w:pStyle w:val="TOC3"/>
            <w:rPr>
              <w:rFonts w:asciiTheme="minorHAnsi" w:eastAsiaTheme="minorEastAsia" w:hAnsiTheme="minorHAnsi" w:cstheme="minorBidi"/>
              <w:b w:val="0"/>
              <w:noProof/>
              <w:szCs w:val="22"/>
              <w:lang w:eastAsia="en-AU"/>
            </w:rPr>
          </w:pPr>
          <w:hyperlink w:anchor="_Toc71182239" w:history="1">
            <w:r w:rsidR="005D1C23" w:rsidRPr="002A0D14">
              <w:rPr>
                <w:rStyle w:val="Hyperlink"/>
                <w:noProof/>
              </w:rPr>
              <w:t>Australian regulations</w:t>
            </w:r>
            <w:r w:rsidR="005D1C23">
              <w:rPr>
                <w:noProof/>
                <w:webHidden/>
              </w:rPr>
              <w:tab/>
            </w:r>
            <w:r w:rsidR="005D1C23">
              <w:rPr>
                <w:noProof/>
                <w:webHidden/>
              </w:rPr>
              <w:fldChar w:fldCharType="begin"/>
            </w:r>
            <w:r w:rsidR="005D1C23">
              <w:rPr>
                <w:noProof/>
                <w:webHidden/>
              </w:rPr>
              <w:instrText xml:space="preserve"> PAGEREF _Toc71182239 \h </w:instrText>
            </w:r>
            <w:r w:rsidR="005D1C23">
              <w:rPr>
                <w:noProof/>
                <w:webHidden/>
              </w:rPr>
            </w:r>
            <w:r w:rsidR="005D1C23">
              <w:rPr>
                <w:noProof/>
                <w:webHidden/>
              </w:rPr>
              <w:fldChar w:fldCharType="separate"/>
            </w:r>
            <w:r w:rsidR="005D1C23">
              <w:rPr>
                <w:noProof/>
                <w:webHidden/>
              </w:rPr>
              <w:t>21</w:t>
            </w:r>
            <w:r w:rsidR="005D1C23">
              <w:rPr>
                <w:noProof/>
                <w:webHidden/>
              </w:rPr>
              <w:fldChar w:fldCharType="end"/>
            </w:r>
          </w:hyperlink>
        </w:p>
        <w:p w14:paraId="2074FF8E" w14:textId="32C8E9A3" w:rsidR="005D1C23" w:rsidRDefault="00D5395A">
          <w:pPr>
            <w:pStyle w:val="TOC3"/>
            <w:rPr>
              <w:rFonts w:asciiTheme="minorHAnsi" w:eastAsiaTheme="minorEastAsia" w:hAnsiTheme="minorHAnsi" w:cstheme="minorBidi"/>
              <w:b w:val="0"/>
              <w:noProof/>
              <w:szCs w:val="22"/>
              <w:lang w:eastAsia="en-AU"/>
            </w:rPr>
          </w:pPr>
          <w:hyperlink w:anchor="_Toc71182240" w:history="1">
            <w:r w:rsidR="005D1C23" w:rsidRPr="002A0D14">
              <w:rPr>
                <w:rStyle w:val="Hyperlink"/>
                <w:noProof/>
              </w:rPr>
              <w:t>International regulations</w:t>
            </w:r>
            <w:r w:rsidR="005D1C23">
              <w:rPr>
                <w:noProof/>
                <w:webHidden/>
              </w:rPr>
              <w:tab/>
            </w:r>
            <w:r w:rsidR="005D1C23">
              <w:rPr>
                <w:noProof/>
                <w:webHidden/>
              </w:rPr>
              <w:fldChar w:fldCharType="begin"/>
            </w:r>
            <w:r w:rsidR="005D1C23">
              <w:rPr>
                <w:noProof/>
                <w:webHidden/>
              </w:rPr>
              <w:instrText xml:space="preserve"> PAGEREF _Toc71182240 \h </w:instrText>
            </w:r>
            <w:r w:rsidR="005D1C23">
              <w:rPr>
                <w:noProof/>
                <w:webHidden/>
              </w:rPr>
            </w:r>
            <w:r w:rsidR="005D1C23">
              <w:rPr>
                <w:noProof/>
                <w:webHidden/>
              </w:rPr>
              <w:fldChar w:fldCharType="separate"/>
            </w:r>
            <w:r w:rsidR="005D1C23">
              <w:rPr>
                <w:noProof/>
                <w:webHidden/>
              </w:rPr>
              <w:t>23</w:t>
            </w:r>
            <w:r w:rsidR="005D1C23">
              <w:rPr>
                <w:noProof/>
                <w:webHidden/>
              </w:rPr>
              <w:fldChar w:fldCharType="end"/>
            </w:r>
          </w:hyperlink>
        </w:p>
        <w:p w14:paraId="437CA1A9" w14:textId="3E2B0022" w:rsidR="005D1C23" w:rsidRDefault="00D5395A">
          <w:pPr>
            <w:pStyle w:val="TOC1"/>
            <w:tabs>
              <w:tab w:val="left" w:pos="425"/>
            </w:tabs>
            <w:rPr>
              <w:rFonts w:asciiTheme="minorHAnsi" w:eastAsiaTheme="minorEastAsia" w:hAnsiTheme="minorHAnsi" w:cstheme="minorBidi"/>
              <w:b w:val="0"/>
              <w:noProof/>
              <w:sz w:val="22"/>
              <w:szCs w:val="22"/>
              <w:lang w:eastAsia="en-AU"/>
            </w:rPr>
          </w:pPr>
          <w:hyperlink w:anchor="_Toc71182241" w:history="1">
            <w:r w:rsidR="005D1C23" w:rsidRPr="002A0D14">
              <w:rPr>
                <w:rStyle w:val="Hyperlink"/>
                <w:noProof/>
              </w:rPr>
              <w:t>2</w:t>
            </w:r>
            <w:r w:rsidR="005D1C23">
              <w:rPr>
                <w:rFonts w:asciiTheme="minorHAnsi" w:eastAsiaTheme="minorEastAsia" w:hAnsiTheme="minorHAnsi" w:cstheme="minorBidi"/>
                <w:b w:val="0"/>
                <w:noProof/>
                <w:sz w:val="22"/>
                <w:szCs w:val="22"/>
                <w:lang w:eastAsia="en-AU"/>
              </w:rPr>
              <w:tab/>
            </w:r>
            <w:r w:rsidR="005D1C23" w:rsidRPr="002A0D14">
              <w:rPr>
                <w:rStyle w:val="Hyperlink"/>
                <w:noProof/>
              </w:rPr>
              <w:t>How to respond</w:t>
            </w:r>
            <w:r w:rsidR="005D1C23">
              <w:rPr>
                <w:noProof/>
                <w:webHidden/>
              </w:rPr>
              <w:tab/>
            </w:r>
            <w:r w:rsidR="005D1C23">
              <w:rPr>
                <w:noProof/>
                <w:webHidden/>
              </w:rPr>
              <w:fldChar w:fldCharType="begin"/>
            </w:r>
            <w:r w:rsidR="005D1C23">
              <w:rPr>
                <w:noProof/>
                <w:webHidden/>
              </w:rPr>
              <w:instrText xml:space="preserve"> PAGEREF _Toc71182241 \h </w:instrText>
            </w:r>
            <w:r w:rsidR="005D1C23">
              <w:rPr>
                <w:noProof/>
                <w:webHidden/>
              </w:rPr>
            </w:r>
            <w:r w:rsidR="005D1C23">
              <w:rPr>
                <w:noProof/>
                <w:webHidden/>
              </w:rPr>
              <w:fldChar w:fldCharType="separate"/>
            </w:r>
            <w:r w:rsidR="005D1C23">
              <w:rPr>
                <w:noProof/>
                <w:webHidden/>
              </w:rPr>
              <w:t>24</w:t>
            </w:r>
            <w:r w:rsidR="005D1C23">
              <w:rPr>
                <w:noProof/>
                <w:webHidden/>
              </w:rPr>
              <w:fldChar w:fldCharType="end"/>
            </w:r>
          </w:hyperlink>
        </w:p>
        <w:p w14:paraId="1F529747" w14:textId="2F625ABE" w:rsidR="005D1C23" w:rsidRDefault="00D5395A">
          <w:pPr>
            <w:pStyle w:val="TOC1"/>
            <w:tabs>
              <w:tab w:val="left" w:pos="425"/>
            </w:tabs>
            <w:rPr>
              <w:rFonts w:asciiTheme="minorHAnsi" w:eastAsiaTheme="minorEastAsia" w:hAnsiTheme="minorHAnsi" w:cstheme="minorBidi"/>
              <w:b w:val="0"/>
              <w:noProof/>
              <w:sz w:val="22"/>
              <w:szCs w:val="22"/>
              <w:lang w:eastAsia="en-AU"/>
            </w:rPr>
          </w:pPr>
          <w:hyperlink w:anchor="_Toc71182242" w:history="1">
            <w:r w:rsidR="005D1C23" w:rsidRPr="002A0D14">
              <w:rPr>
                <w:rStyle w:val="Hyperlink"/>
                <w:noProof/>
              </w:rPr>
              <w:t>3</w:t>
            </w:r>
            <w:r w:rsidR="005D1C23">
              <w:rPr>
                <w:rFonts w:asciiTheme="minorHAnsi" w:eastAsiaTheme="minorEastAsia" w:hAnsiTheme="minorHAnsi" w:cstheme="minorBidi"/>
                <w:b w:val="0"/>
                <w:noProof/>
                <w:sz w:val="22"/>
                <w:szCs w:val="22"/>
                <w:lang w:eastAsia="en-AU"/>
              </w:rPr>
              <w:tab/>
            </w:r>
            <w:r w:rsidR="005D1C23" w:rsidRPr="002A0D14">
              <w:rPr>
                <w:rStyle w:val="Hyperlink"/>
                <w:noProof/>
              </w:rPr>
              <w:t>What will happen</w:t>
            </w:r>
            <w:r w:rsidR="005D1C23">
              <w:rPr>
                <w:noProof/>
                <w:webHidden/>
              </w:rPr>
              <w:tab/>
            </w:r>
            <w:r w:rsidR="005D1C23">
              <w:rPr>
                <w:noProof/>
                <w:webHidden/>
              </w:rPr>
              <w:fldChar w:fldCharType="begin"/>
            </w:r>
            <w:r w:rsidR="005D1C23">
              <w:rPr>
                <w:noProof/>
                <w:webHidden/>
              </w:rPr>
              <w:instrText xml:space="preserve"> PAGEREF _Toc71182242 \h </w:instrText>
            </w:r>
            <w:r w:rsidR="005D1C23">
              <w:rPr>
                <w:noProof/>
                <w:webHidden/>
              </w:rPr>
            </w:r>
            <w:r w:rsidR="005D1C23">
              <w:rPr>
                <w:noProof/>
                <w:webHidden/>
              </w:rPr>
              <w:fldChar w:fldCharType="separate"/>
            </w:r>
            <w:r w:rsidR="005D1C23">
              <w:rPr>
                <w:noProof/>
                <w:webHidden/>
              </w:rPr>
              <w:t>24</w:t>
            </w:r>
            <w:r w:rsidR="005D1C23">
              <w:rPr>
                <w:noProof/>
                <w:webHidden/>
              </w:rPr>
              <w:fldChar w:fldCharType="end"/>
            </w:r>
          </w:hyperlink>
        </w:p>
        <w:p w14:paraId="3E825230" w14:textId="20BA25D2" w:rsidR="005D1C23" w:rsidRDefault="00D5395A">
          <w:pPr>
            <w:pStyle w:val="TOC1"/>
            <w:tabs>
              <w:tab w:val="left" w:pos="425"/>
            </w:tabs>
            <w:rPr>
              <w:rFonts w:asciiTheme="minorHAnsi" w:eastAsiaTheme="minorEastAsia" w:hAnsiTheme="minorHAnsi" w:cstheme="minorBidi"/>
              <w:b w:val="0"/>
              <w:noProof/>
              <w:sz w:val="22"/>
              <w:szCs w:val="22"/>
              <w:lang w:eastAsia="en-AU"/>
            </w:rPr>
          </w:pPr>
          <w:hyperlink w:anchor="_Toc71182243" w:history="1">
            <w:r w:rsidR="005D1C23" w:rsidRPr="002A0D14">
              <w:rPr>
                <w:rStyle w:val="Hyperlink"/>
                <w:noProof/>
              </w:rPr>
              <w:t>4</w:t>
            </w:r>
            <w:r w:rsidR="005D1C23">
              <w:rPr>
                <w:rFonts w:asciiTheme="minorHAnsi" w:eastAsiaTheme="minorEastAsia" w:hAnsiTheme="minorHAnsi" w:cstheme="minorBidi"/>
                <w:b w:val="0"/>
                <w:noProof/>
                <w:sz w:val="22"/>
                <w:szCs w:val="22"/>
                <w:lang w:eastAsia="en-AU"/>
              </w:rPr>
              <w:tab/>
            </w:r>
            <w:r w:rsidR="005D1C23" w:rsidRPr="002A0D14">
              <w:rPr>
                <w:rStyle w:val="Hyperlink"/>
                <w:noProof/>
              </w:rPr>
              <w:t>Enquiries</w:t>
            </w:r>
            <w:r w:rsidR="005D1C23">
              <w:rPr>
                <w:noProof/>
                <w:webHidden/>
              </w:rPr>
              <w:tab/>
            </w:r>
            <w:r w:rsidR="005D1C23">
              <w:rPr>
                <w:noProof/>
                <w:webHidden/>
              </w:rPr>
              <w:fldChar w:fldCharType="begin"/>
            </w:r>
            <w:r w:rsidR="005D1C23">
              <w:rPr>
                <w:noProof/>
                <w:webHidden/>
              </w:rPr>
              <w:instrText xml:space="preserve"> PAGEREF _Toc71182243 \h </w:instrText>
            </w:r>
            <w:r w:rsidR="005D1C23">
              <w:rPr>
                <w:noProof/>
                <w:webHidden/>
              </w:rPr>
            </w:r>
            <w:r w:rsidR="005D1C23">
              <w:rPr>
                <w:noProof/>
                <w:webHidden/>
              </w:rPr>
              <w:fldChar w:fldCharType="separate"/>
            </w:r>
            <w:r w:rsidR="005D1C23">
              <w:rPr>
                <w:noProof/>
                <w:webHidden/>
              </w:rPr>
              <w:t>24</w:t>
            </w:r>
            <w:r w:rsidR="005D1C23">
              <w:rPr>
                <w:noProof/>
                <w:webHidden/>
              </w:rPr>
              <w:fldChar w:fldCharType="end"/>
            </w:r>
          </w:hyperlink>
        </w:p>
        <w:p w14:paraId="7CBED58D" w14:textId="1A65EEDF" w:rsidR="00B92C72" w:rsidRPr="009401F6" w:rsidRDefault="006C626D" w:rsidP="0023397F">
          <w:r w:rsidRPr="009401F6">
            <w:fldChar w:fldCharType="end"/>
          </w:r>
        </w:p>
      </w:sdtContent>
    </w:sdt>
    <w:p w14:paraId="40137743" w14:textId="77777777" w:rsidR="00F8365F" w:rsidRPr="009401F6" w:rsidRDefault="00F8365F" w:rsidP="008A07FF">
      <w:r w:rsidRPr="009401F6">
        <w:br w:type="page"/>
      </w:r>
    </w:p>
    <w:bookmarkEnd w:id="1"/>
    <w:p w14:paraId="524F78E6" w14:textId="77777777" w:rsidR="002B1FB5" w:rsidRPr="006807F5" w:rsidRDefault="002B1FB5" w:rsidP="00434592">
      <w:pPr>
        <w:pBdr>
          <w:top w:val="single" w:sz="4" w:space="1" w:color="auto"/>
          <w:left w:val="single" w:sz="4" w:space="4" w:color="auto"/>
          <w:bottom w:val="single" w:sz="4" w:space="1" w:color="auto"/>
          <w:right w:val="single" w:sz="4" w:space="4" w:color="auto"/>
        </w:pBdr>
        <w:shd w:val="clear" w:color="auto" w:fill="D2EDFF" w:themeFill="text2" w:themeFillTint="1A"/>
        <w:rPr>
          <w:lang w:val="en"/>
        </w:rPr>
      </w:pPr>
      <w:r w:rsidRPr="006807F5">
        <w:rPr>
          <w:lang w:val="en"/>
        </w:rPr>
        <w:lastRenderedPageBreak/>
        <w:t>We have changed the way to make submissions.</w:t>
      </w:r>
    </w:p>
    <w:p w14:paraId="4DDDED37" w14:textId="40279330" w:rsidR="002B1FB5" w:rsidRPr="006807F5" w:rsidRDefault="002B1FB5" w:rsidP="00434592">
      <w:pPr>
        <w:pBdr>
          <w:top w:val="single" w:sz="4" w:space="1" w:color="auto"/>
          <w:left w:val="single" w:sz="4" w:space="4" w:color="auto"/>
          <w:bottom w:val="single" w:sz="4" w:space="1" w:color="auto"/>
          <w:right w:val="single" w:sz="4" w:space="4" w:color="auto"/>
        </w:pBdr>
        <w:shd w:val="clear" w:color="auto" w:fill="D2EDFF" w:themeFill="text2" w:themeFillTint="1A"/>
        <w:rPr>
          <w:lang w:val="en"/>
        </w:rPr>
      </w:pPr>
      <w:r w:rsidRPr="006807F5">
        <w:t>Submissions now should be provided through our</w:t>
      </w:r>
      <w:r w:rsidRPr="006807F5">
        <w:rPr>
          <w:lang w:val="en"/>
        </w:rPr>
        <w:t xml:space="preserve"> </w:t>
      </w:r>
      <w:hyperlink r:id="rId13" w:history="1">
        <w:r w:rsidRPr="002B1FB5">
          <w:rPr>
            <w:rStyle w:val="Hyperlink"/>
          </w:rPr>
          <w:t>consultation hub</w:t>
        </w:r>
      </w:hyperlink>
      <w:r w:rsidRPr="006807F5">
        <w:rPr>
          <w:lang w:val="en"/>
        </w:rPr>
        <w:t xml:space="preserve">. </w:t>
      </w:r>
      <w:r w:rsidRPr="006807F5">
        <w:t>Any submission about any of the proposals to amend the Poisons Standard will be considered at the next meeting of the</w:t>
      </w:r>
      <w:r w:rsidRPr="006807F5">
        <w:rPr>
          <w:lang w:val="en"/>
        </w:rPr>
        <w:t xml:space="preserve"> </w:t>
      </w:r>
      <w:hyperlink r:id="rId14" w:history="1">
        <w:r w:rsidRPr="006807F5">
          <w:rPr>
            <w:rStyle w:val="Hyperlink"/>
          </w:rPr>
          <w:t>Advisory Committee on Medicines Scheduling (ACMS)</w:t>
        </w:r>
      </w:hyperlink>
      <w:r w:rsidRPr="006807F5">
        <w:rPr>
          <w:lang w:val="en"/>
        </w:rPr>
        <w:t xml:space="preserve">, </w:t>
      </w:r>
      <w:r w:rsidRPr="006807F5">
        <w:t>meeting of the</w:t>
      </w:r>
      <w:r w:rsidRPr="006807F5">
        <w:rPr>
          <w:lang w:val="en"/>
        </w:rPr>
        <w:t xml:space="preserve"> </w:t>
      </w:r>
      <w:hyperlink r:id="rId15" w:history="1">
        <w:r w:rsidRPr="006807F5">
          <w:rPr>
            <w:rStyle w:val="Hyperlink"/>
          </w:rPr>
          <w:t>Advisory Committee on Chemicals Scheduling (ACCS)</w:t>
        </w:r>
      </w:hyperlink>
      <w:r w:rsidRPr="006807F5">
        <w:rPr>
          <w:lang w:val="en"/>
        </w:rPr>
        <w:t xml:space="preserve">, </w:t>
      </w:r>
      <w:r w:rsidRPr="006807F5">
        <w:t>or a joint meeting of these two committees.</w:t>
      </w:r>
    </w:p>
    <w:p w14:paraId="55E232C4" w14:textId="16479E1F" w:rsidR="002B1FB5" w:rsidRPr="006807F5" w:rsidRDefault="002B1FB5" w:rsidP="00434592">
      <w:pPr>
        <w:pBdr>
          <w:top w:val="single" w:sz="4" w:space="1" w:color="auto"/>
          <w:left w:val="single" w:sz="4" w:space="4" w:color="auto"/>
          <w:bottom w:val="single" w:sz="4" w:space="1" w:color="auto"/>
          <w:right w:val="single" w:sz="4" w:space="4" w:color="auto"/>
        </w:pBdr>
        <w:shd w:val="clear" w:color="auto" w:fill="D2EDFF" w:themeFill="text2" w:themeFillTint="1A"/>
        <w:rPr>
          <w:b/>
          <w:lang w:val="en"/>
        </w:rPr>
      </w:pPr>
      <w:r>
        <w:rPr>
          <w:b/>
          <w:lang w:val="en"/>
        </w:rPr>
        <w:t>This consultation closes on 4 June 2021</w:t>
      </w:r>
      <w:r w:rsidRPr="006807F5">
        <w:rPr>
          <w:b/>
          <w:lang w:val="en"/>
        </w:rPr>
        <w:t>.</w:t>
      </w:r>
    </w:p>
    <w:p w14:paraId="61C27699" w14:textId="77777777" w:rsidR="002B1FB5" w:rsidRPr="006807F5" w:rsidRDefault="002B1FB5" w:rsidP="002B1FB5">
      <w:pPr>
        <w:rPr>
          <w:b/>
          <w:bCs/>
        </w:rPr>
      </w:pPr>
      <w:bookmarkStart w:id="2" w:name="_Toc71021836"/>
      <w:r w:rsidRPr="006807F5">
        <w:rPr>
          <w:b/>
          <w:bCs/>
        </w:rPr>
        <w:t>Scheduling amendments referred to expert advisory committee</w:t>
      </w:r>
      <w:bookmarkEnd w:id="2"/>
    </w:p>
    <w:p w14:paraId="7C4CACE9" w14:textId="54B83945" w:rsidR="002B1FB5" w:rsidRPr="006807F5" w:rsidRDefault="002B1FB5" w:rsidP="002B1FB5">
      <w:r w:rsidRPr="006807F5">
        <w:t>Subdivision 3D.2 of the </w:t>
      </w:r>
      <w:r w:rsidRPr="006807F5">
        <w:rPr>
          <w:i/>
          <w:iCs/>
        </w:rPr>
        <w:t>Therapeutic Goods Regulations 1990</w:t>
      </w:r>
      <w:r w:rsidR="00434592">
        <w:t xml:space="preserve"> </w:t>
      </w:r>
      <w:r w:rsidRPr="006807F5">
        <w:t>(the Regulations) sets out the procedure to be followed where the Secretary receives an application under section 52EAA of the </w:t>
      </w:r>
      <w:r w:rsidRPr="006807F5">
        <w:rPr>
          <w:i/>
          <w:iCs/>
        </w:rPr>
        <w:t>Therapeutic Goods Act 1989</w:t>
      </w:r>
      <w:r w:rsidRPr="006807F5">
        <w:t> (the Act)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249264FA" w14:textId="761866EA" w:rsidR="002B1FB5" w:rsidRDefault="002B1FB5" w:rsidP="002B1FB5">
      <w:r w:rsidRPr="006807F5">
        <w:t>In accordance with regulation 42ZCZK of the Regulations, the Secretary invites public submissions on scheduling proposals referred to the June 2021 meeting of the Joint Advisory Committee on Medicines and Chemicals Scheduling (Joint ACMS-ACCS #28). Submissions must b</w:t>
      </w:r>
      <w:r w:rsidR="00434592">
        <w:t xml:space="preserve">e received by close of business </w:t>
      </w:r>
      <w:r>
        <w:rPr>
          <w:b/>
          <w:lang w:val="en"/>
        </w:rPr>
        <w:t>4 June 2021</w:t>
      </w:r>
      <w:r w:rsidRPr="006807F5">
        <w:t>.</w:t>
      </w:r>
    </w:p>
    <w:p w14:paraId="0E83726A" w14:textId="396B6845" w:rsidR="002B1FB5" w:rsidRPr="006807F5" w:rsidRDefault="002B1FB5" w:rsidP="00434592">
      <w:pPr>
        <w:pBdr>
          <w:top w:val="single" w:sz="4" w:space="1" w:color="auto"/>
          <w:left w:val="single" w:sz="4" w:space="4" w:color="auto"/>
          <w:bottom w:val="single" w:sz="4" w:space="1" w:color="auto"/>
          <w:right w:val="single" w:sz="4" w:space="4" w:color="auto"/>
        </w:pBdr>
        <w:shd w:val="clear" w:color="auto" w:fill="D2EDFF" w:themeFill="text2" w:themeFillTint="1A"/>
      </w:pPr>
      <w:r w:rsidRPr="00434592">
        <w:t>We aim to provide documents in an accessible format. If you're having problems using this document, please contact</w:t>
      </w:r>
      <w:r w:rsidR="00434592">
        <w:t xml:space="preserve"> </w:t>
      </w:r>
      <w:hyperlink r:id="rId16" w:history="1">
        <w:r w:rsidRPr="00434592">
          <w:rPr>
            <w:rStyle w:val="Hyperlink"/>
          </w:rPr>
          <w:t>medicines.scheduling@health.gov.au</w:t>
        </w:r>
      </w:hyperlink>
      <w:r w:rsidRPr="00434592">
        <w:t>.</w:t>
      </w:r>
    </w:p>
    <w:p w14:paraId="613F945B" w14:textId="74B5A564" w:rsidR="003C02CB" w:rsidRPr="005F0424" w:rsidRDefault="003C02CB" w:rsidP="002B1FB5">
      <w:pPr>
        <w:pStyle w:val="Heading2"/>
      </w:pPr>
      <w:bookmarkStart w:id="3" w:name="_Toc71182200"/>
      <w:r w:rsidRPr="005F0424">
        <w:lastRenderedPageBreak/>
        <w:t>Proposed amendments referred for scheduling advice to ACCS #</w:t>
      </w:r>
      <w:r w:rsidR="00BA1F55" w:rsidRPr="005F0424">
        <w:t>31</w:t>
      </w:r>
      <w:bookmarkEnd w:id="3"/>
    </w:p>
    <w:p w14:paraId="3EC290D8" w14:textId="77777777" w:rsidR="005F0424" w:rsidRPr="007C0A51" w:rsidRDefault="005F0424" w:rsidP="005F0424">
      <w:pPr>
        <w:pStyle w:val="Heading3"/>
      </w:pPr>
      <w:bookmarkStart w:id="4" w:name="_Toc71182201"/>
      <w:r w:rsidRPr="007C0A51">
        <w:t>2-amino-5-methylphenol</w:t>
      </w:r>
      <w:bookmarkEnd w:id="4"/>
    </w:p>
    <w:p w14:paraId="493B7D5E" w14:textId="77777777" w:rsidR="005F0424" w:rsidRDefault="005F0424" w:rsidP="005F0424">
      <w:pPr>
        <w:pStyle w:val="Heading4"/>
      </w:pPr>
      <w:bookmarkStart w:id="5" w:name="_Toc71182202"/>
      <w:bookmarkStart w:id="6" w:name="_Toc63261288"/>
      <w:r>
        <w:t>Proposal</w:t>
      </w:r>
      <w:bookmarkEnd w:id="5"/>
    </w:p>
    <w:p w14:paraId="0A456342" w14:textId="236AFD4D" w:rsidR="005F0424" w:rsidRPr="00D75206" w:rsidRDefault="00CE3D9B" w:rsidP="005F0424">
      <w:r>
        <w:t xml:space="preserve">The </w:t>
      </w:r>
      <w:r w:rsidRPr="00A51C8F">
        <w:t>Delegate of the Secretary of the Commonwealth Department of Health</w:t>
      </w:r>
      <w:r>
        <w:t xml:space="preserve"> (the </w:t>
      </w:r>
      <w:r w:rsidR="00A0649D">
        <w:t>D</w:t>
      </w:r>
      <w:r>
        <w:t>elegate) proposes a</w:t>
      </w:r>
      <w:r w:rsidR="005F0424">
        <w:t xml:space="preserve"> new entry in Schedule 10 to prohi</w:t>
      </w:r>
      <w:r w:rsidR="00276951">
        <w:t xml:space="preserve">bit sale, supply and use of </w:t>
      </w:r>
      <w:r w:rsidR="005F0424" w:rsidRPr="00E05C21">
        <w:rPr>
          <w:rStyle w:val="normaltextrun"/>
        </w:rPr>
        <w:t>2-amino-5-methylphenol</w:t>
      </w:r>
      <w:r w:rsidR="0040269F">
        <w:t>. It is currently not scheduled.</w:t>
      </w:r>
    </w:p>
    <w:p w14:paraId="22FD81DE" w14:textId="77777777" w:rsidR="005F0424" w:rsidRDefault="005F0424" w:rsidP="005F0424">
      <w:pPr>
        <w:pStyle w:val="Heading4"/>
      </w:pPr>
      <w:bookmarkStart w:id="7" w:name="_Toc71182203"/>
      <w:r>
        <w:t>CAS number:</w:t>
      </w:r>
      <w:bookmarkEnd w:id="6"/>
      <w:bookmarkEnd w:id="7"/>
    </w:p>
    <w:p w14:paraId="726BDF89" w14:textId="77777777" w:rsidR="005F0424" w:rsidRDefault="005F0424" w:rsidP="005F0424">
      <w:r w:rsidRPr="00264503">
        <w:t>2835-98-5</w:t>
      </w:r>
    </w:p>
    <w:p w14:paraId="2F6B8C52" w14:textId="77777777" w:rsidR="005F0424" w:rsidRDefault="005F0424" w:rsidP="005F0424">
      <w:pPr>
        <w:pStyle w:val="Heading4"/>
      </w:pPr>
      <w:bookmarkStart w:id="8" w:name="_Toc63261289"/>
      <w:bookmarkStart w:id="9" w:name="_Toc71182204"/>
      <w:r>
        <w:t>Alternative names</w:t>
      </w:r>
      <w:bookmarkEnd w:id="8"/>
      <w:bookmarkEnd w:id="9"/>
    </w:p>
    <w:p w14:paraId="4BF301E0" w14:textId="541EDB83" w:rsidR="005F0424" w:rsidRDefault="005F0424" w:rsidP="005F0424">
      <w:bookmarkStart w:id="10" w:name="_Toc63261290"/>
      <w:r w:rsidRPr="00264503">
        <w:t>6-Amino-m-cresol;</w:t>
      </w:r>
      <w:r w:rsidRPr="001B54A0">
        <w:t xml:space="preserve"> Phenol, 2-amino-5-methyl-</w:t>
      </w:r>
      <w:r w:rsidRPr="00264503">
        <w:t xml:space="preserve">; 6-Amino-3-methylphenol; m-Cresol, 6-amino-; </w:t>
      </w:r>
      <w:r w:rsidR="001359E2">
        <w:t xml:space="preserve"> </w:t>
      </w:r>
      <w:r w:rsidRPr="00264503">
        <w:t>2-Hydroxy-p-toluidine</w:t>
      </w:r>
    </w:p>
    <w:p w14:paraId="4A4667D4" w14:textId="12678777" w:rsidR="005F0424" w:rsidRDefault="005F0424" w:rsidP="005F0424">
      <w:pPr>
        <w:pStyle w:val="Heading4"/>
      </w:pPr>
      <w:bookmarkStart w:id="11" w:name="_Toc63261291"/>
      <w:bookmarkStart w:id="12" w:name="_Toc71182205"/>
      <w:bookmarkEnd w:id="10"/>
      <w:r>
        <w:t>Current scheduling</w:t>
      </w:r>
      <w:bookmarkEnd w:id="11"/>
      <w:bookmarkEnd w:id="12"/>
    </w:p>
    <w:p w14:paraId="0A0A0536" w14:textId="77777777" w:rsidR="005F0424" w:rsidRPr="00AF12F6" w:rsidRDefault="005F0424" w:rsidP="005F0424">
      <w:pPr>
        <w:rPr>
          <w:rFonts w:asciiTheme="minorHAnsi" w:hAnsiTheme="minorHAnsi" w:cstheme="minorHAnsi"/>
        </w:rPr>
      </w:pPr>
      <w:r>
        <w:rPr>
          <w:rFonts w:asciiTheme="minorHAnsi" w:hAnsiTheme="minorHAnsi" w:cstheme="minorHAnsi"/>
        </w:rPr>
        <w:t>2-amino-5-methylphenol</w:t>
      </w:r>
      <w:r w:rsidRPr="00AF12F6">
        <w:rPr>
          <w:rFonts w:asciiTheme="minorHAnsi" w:hAnsiTheme="minorHAnsi" w:cstheme="minorHAnsi"/>
        </w:rPr>
        <w:t xml:space="preserve"> is not specifically scheduled</w:t>
      </w:r>
      <w:r>
        <w:rPr>
          <w:rFonts w:asciiTheme="minorHAnsi" w:hAnsiTheme="minorHAnsi" w:cstheme="minorHAnsi"/>
        </w:rPr>
        <w:t xml:space="preserve"> in the current Poisons Standard</w:t>
      </w:r>
      <w:r w:rsidRPr="00AF12F6">
        <w:rPr>
          <w:rFonts w:asciiTheme="minorHAnsi" w:hAnsiTheme="minorHAnsi" w:cstheme="minorHAnsi"/>
        </w:rPr>
        <w:t>.</w:t>
      </w:r>
    </w:p>
    <w:p w14:paraId="3D76B040" w14:textId="77777777" w:rsidR="005F0424" w:rsidRDefault="005F0424" w:rsidP="005F0424">
      <w:pPr>
        <w:pStyle w:val="Heading4"/>
      </w:pPr>
      <w:bookmarkStart w:id="13" w:name="_Toc63261292"/>
      <w:bookmarkStart w:id="14" w:name="_Toc71182206"/>
      <w:r>
        <w:t>Proposed scheduling</w:t>
      </w:r>
      <w:bookmarkEnd w:id="13"/>
      <w:bookmarkEnd w:id="14"/>
    </w:p>
    <w:p w14:paraId="0D54539B" w14:textId="77777777" w:rsidR="005F0424" w:rsidRPr="00CD40FB" w:rsidRDefault="005F0424" w:rsidP="005F0424">
      <w:pPr>
        <w:ind w:left="426"/>
        <w:rPr>
          <w:b/>
        </w:rPr>
      </w:pPr>
      <w:r w:rsidRPr="00CD40FB">
        <w:rPr>
          <w:b/>
        </w:rPr>
        <w:t xml:space="preserve">Schedule </w:t>
      </w:r>
      <w:r>
        <w:rPr>
          <w:b/>
        </w:rPr>
        <w:t>10</w:t>
      </w:r>
      <w:r w:rsidRPr="00CD40FB">
        <w:rPr>
          <w:b/>
        </w:rPr>
        <w:t xml:space="preserve"> – </w:t>
      </w:r>
      <w:r w:rsidRPr="00A31AC9">
        <w:rPr>
          <w:b/>
        </w:rPr>
        <w:t>New Entry</w:t>
      </w:r>
    </w:p>
    <w:p w14:paraId="7718184E" w14:textId="77777777" w:rsidR="005F0424" w:rsidRPr="00434592" w:rsidRDefault="005F0424" w:rsidP="005F0424">
      <w:pPr>
        <w:ind w:left="426"/>
        <w:rPr>
          <w:rFonts w:asciiTheme="minorHAnsi" w:hAnsiTheme="minorHAnsi" w:cstheme="minorHAnsi"/>
          <w:color w:val="00B050"/>
        </w:rPr>
      </w:pPr>
      <w:r w:rsidRPr="00063495">
        <w:rPr>
          <w:rFonts w:asciiTheme="minorHAnsi" w:hAnsiTheme="minorHAnsi" w:cstheme="minorHAnsi"/>
          <w:color w:val="00B050"/>
        </w:rPr>
        <w:t>2-AMINO-5-METHY</w:t>
      </w:r>
      <w:r w:rsidRPr="00434592">
        <w:rPr>
          <w:rFonts w:asciiTheme="minorHAnsi" w:hAnsiTheme="minorHAnsi" w:cstheme="minorHAnsi"/>
          <w:color w:val="00B050"/>
        </w:rPr>
        <w:t>LPHEN</w:t>
      </w:r>
      <w:r w:rsidRPr="00063495">
        <w:rPr>
          <w:rFonts w:asciiTheme="minorHAnsi" w:hAnsiTheme="minorHAnsi" w:cstheme="minorHAnsi"/>
          <w:color w:val="00B050"/>
        </w:rPr>
        <w:t>OL</w:t>
      </w:r>
    </w:p>
    <w:p w14:paraId="72694E9C" w14:textId="77777777" w:rsidR="005F0424" w:rsidRDefault="005F0424" w:rsidP="005F0424">
      <w:pPr>
        <w:pStyle w:val="Heading4"/>
      </w:pPr>
      <w:bookmarkStart w:id="15" w:name="_Toc63261293"/>
      <w:bookmarkStart w:id="16" w:name="_Toc71182207"/>
      <w:r>
        <w:t>Key uses / expected use</w:t>
      </w:r>
      <w:bookmarkEnd w:id="15"/>
      <w:bookmarkEnd w:id="16"/>
    </w:p>
    <w:p w14:paraId="4CF9B4A0" w14:textId="77777777" w:rsidR="005F0424" w:rsidRDefault="005F0424" w:rsidP="005F0424">
      <w:r w:rsidRPr="008711AF">
        <w:t>Cosmetic</w:t>
      </w:r>
      <w:r>
        <w:t>. Used in hair dye products in Australia.</w:t>
      </w:r>
    </w:p>
    <w:p w14:paraId="22934501" w14:textId="68FF6E18" w:rsidR="005F0424" w:rsidRDefault="0040269F" w:rsidP="005F0424">
      <w:pPr>
        <w:pStyle w:val="Heading4"/>
      </w:pPr>
      <w:bookmarkStart w:id="17" w:name="_Toc63261294"/>
      <w:bookmarkStart w:id="18" w:name="_Toc71182208"/>
      <w:r>
        <w:t>Summary of r</w:t>
      </w:r>
      <w:r w:rsidR="005F0424">
        <w:t>easons for proposal</w:t>
      </w:r>
      <w:bookmarkEnd w:id="17"/>
      <w:bookmarkEnd w:id="18"/>
    </w:p>
    <w:p w14:paraId="06CAF9E7" w14:textId="77777777" w:rsidR="005F0424" w:rsidRPr="00434592" w:rsidRDefault="005F0424" w:rsidP="00434592">
      <w:pPr>
        <w:pStyle w:val="ListBullet"/>
      </w:pPr>
      <w:r w:rsidRPr="00434592">
        <w:t>2-amino-5-methylphenol is used in permanent hair dye preparations at reported concentrations of 1.5%. There are currently no restrictions on its use in Australia.</w:t>
      </w:r>
    </w:p>
    <w:p w14:paraId="33E1D1C9" w14:textId="55189DB5" w:rsidR="005F0424" w:rsidRPr="00434592" w:rsidRDefault="005F0424" w:rsidP="00434592">
      <w:pPr>
        <w:pStyle w:val="ListBullet"/>
      </w:pPr>
      <w:r w:rsidRPr="00434592">
        <w:t xml:space="preserve">It is </w:t>
      </w:r>
      <w:r w:rsidR="0040269F" w:rsidRPr="00434592">
        <w:t>genotoxic</w:t>
      </w:r>
      <w:r w:rsidR="00AB21AD" w:rsidRPr="00434592">
        <w:t xml:space="preserve"> and</w:t>
      </w:r>
      <w:r w:rsidRPr="00434592">
        <w:t xml:space="preserve"> acutely toxic by </w:t>
      </w:r>
      <w:r w:rsidR="00AB21AD" w:rsidRPr="00434592">
        <w:t xml:space="preserve">the </w:t>
      </w:r>
      <w:r w:rsidRPr="00434592">
        <w:t xml:space="preserve">oral route, and a moderate sensitiser. There </w:t>
      </w:r>
      <w:r w:rsidR="00AB21AD" w:rsidRPr="00434592">
        <w:t>are</w:t>
      </w:r>
      <w:r w:rsidRPr="00434592">
        <w:t xml:space="preserve"> only limited data on eye and skin irritation, and a lack of data on acute or repeated </w:t>
      </w:r>
      <w:r w:rsidR="00434592" w:rsidRPr="00434592">
        <w:t>dermal and inhalation toxicity.</w:t>
      </w:r>
    </w:p>
    <w:p w14:paraId="7939CEB4" w14:textId="10387D47" w:rsidR="005F0424" w:rsidRPr="00434592" w:rsidRDefault="005F0424" w:rsidP="00434592">
      <w:pPr>
        <w:pStyle w:val="ListBullet"/>
      </w:pPr>
      <w:r w:rsidRPr="00434592">
        <w:t xml:space="preserve">In the absence of any regulatory controls, 2-amino-5-methylphenol may pose an unreasonable risk to </w:t>
      </w:r>
      <w:r w:rsidR="0040269F" w:rsidRPr="00434592">
        <w:t xml:space="preserve">public health. </w:t>
      </w:r>
    </w:p>
    <w:p w14:paraId="39BBC28E" w14:textId="4A9C2CFF" w:rsidR="005F0424" w:rsidRPr="00434592" w:rsidRDefault="005F0424" w:rsidP="00434592">
      <w:pPr>
        <w:pStyle w:val="ListBullet"/>
      </w:pPr>
      <w:r w:rsidRPr="00434592">
        <w:t>There are restrictions on its use in cosmetic products in Canada and the European Union (EU). In the EU, the Scientific Committee on Consumer Safety (SCCS) has stated that 2-</w:t>
      </w:r>
      <w:r w:rsidR="00434592" w:rsidRPr="00434592">
        <w:t> </w:t>
      </w:r>
      <w:r w:rsidRPr="00434592">
        <w:t>amino-5-methylphenol has ‘genotoxic potential and is not safe for consumers when used in oxidative hair dye formulations with maximum on-scalp concentrations of 1.5%’.</w:t>
      </w:r>
    </w:p>
    <w:p w14:paraId="391CAA1D" w14:textId="77777777" w:rsidR="005F0424" w:rsidRDefault="005F0424" w:rsidP="005F0424">
      <w:pPr>
        <w:pStyle w:val="Heading4"/>
      </w:pPr>
      <w:bookmarkStart w:id="19" w:name="_Toc63261295"/>
      <w:bookmarkStart w:id="20" w:name="_Toc71182209"/>
      <w:r>
        <w:lastRenderedPageBreak/>
        <w:t>Australian regulations</w:t>
      </w:r>
      <w:bookmarkEnd w:id="19"/>
      <w:bookmarkEnd w:id="20"/>
    </w:p>
    <w:p w14:paraId="1BB6F02E" w14:textId="77777777" w:rsidR="005F0424" w:rsidRDefault="005F0424" w:rsidP="005F0424">
      <w:pPr>
        <w:spacing w:after="120"/>
        <w:rPr>
          <w:rFonts w:eastAsia="Times New Roman"/>
          <w:bCs/>
          <w:color w:val="001523"/>
          <w:szCs w:val="22"/>
        </w:rPr>
      </w:pPr>
      <w:r w:rsidRPr="00FB102A">
        <w:rPr>
          <w:rFonts w:eastAsia="Times New Roman"/>
          <w:bCs/>
          <w:color w:val="001523"/>
          <w:szCs w:val="22"/>
        </w:rPr>
        <w:t>As of April 2021:</w:t>
      </w:r>
    </w:p>
    <w:p w14:paraId="5428DFCA" w14:textId="77777777" w:rsidR="005F0424" w:rsidRPr="00E05C21" w:rsidRDefault="005F0424" w:rsidP="005F0424">
      <w:pPr>
        <w:pStyle w:val="ListBullet"/>
        <w:numPr>
          <w:ilvl w:val="0"/>
          <w:numId w:val="30"/>
        </w:numPr>
      </w:pPr>
      <w:r w:rsidRPr="00E05C21">
        <w:rPr>
          <w:rStyle w:val="normaltextrun"/>
        </w:rPr>
        <w:t xml:space="preserve">2-amino-5-methylphenol </w:t>
      </w:r>
      <w:r>
        <w:t>was</w:t>
      </w:r>
      <w:r w:rsidRPr="00E05C21">
        <w:t xml:space="preserve"> not included in the </w:t>
      </w:r>
      <w:hyperlink r:id="rId17" w:history="1">
        <w:r w:rsidRPr="00C66C5E">
          <w:rPr>
            <w:rStyle w:val="Hyperlink"/>
          </w:rPr>
          <w:t xml:space="preserve">TGA </w:t>
        </w:r>
        <w:r>
          <w:rPr>
            <w:rStyle w:val="Hyperlink"/>
          </w:rPr>
          <w:t xml:space="preserve">Ingredient </w:t>
        </w:r>
        <w:r w:rsidRPr="00C66C5E">
          <w:rPr>
            <w:rStyle w:val="Hyperlink"/>
          </w:rPr>
          <w:t>Database</w:t>
        </w:r>
      </w:hyperlink>
    </w:p>
    <w:p w14:paraId="3F1E225F" w14:textId="05E07C67" w:rsidR="005F0424" w:rsidRPr="00E05C21" w:rsidRDefault="005F0424" w:rsidP="005F0424">
      <w:pPr>
        <w:pStyle w:val="ListBullet"/>
        <w:numPr>
          <w:ilvl w:val="0"/>
          <w:numId w:val="30"/>
        </w:numPr>
        <w:rPr>
          <w:rStyle w:val="normaltextrun"/>
        </w:rPr>
      </w:pPr>
      <w:r w:rsidRPr="00E05C21">
        <w:t xml:space="preserve">there were no products in the </w:t>
      </w:r>
      <w:hyperlink r:id="rId18" w:history="1">
        <w:r w:rsidRPr="00293CCA">
          <w:rPr>
            <w:rStyle w:val="Hyperlink"/>
          </w:rPr>
          <w:t>Australian Register of Therapeutic Goods (ARTG)</w:t>
        </w:r>
      </w:hyperlink>
      <w:r w:rsidRPr="00E05C21">
        <w:t xml:space="preserve"> that contain </w:t>
      </w:r>
      <w:r w:rsidR="00434592">
        <w:rPr>
          <w:rStyle w:val="normaltextrun"/>
        </w:rPr>
        <w:t>2-amino-5-methylphenol</w:t>
      </w:r>
    </w:p>
    <w:p w14:paraId="02197620" w14:textId="43F6D8C7" w:rsidR="005F0424" w:rsidRPr="00E05C21" w:rsidRDefault="005F0424" w:rsidP="005F0424">
      <w:pPr>
        <w:pStyle w:val="ListBullet"/>
        <w:numPr>
          <w:ilvl w:val="0"/>
          <w:numId w:val="30"/>
        </w:numPr>
      </w:pPr>
      <w:r w:rsidRPr="00E05C21">
        <w:rPr>
          <w:rStyle w:val="normaltextrun"/>
        </w:rPr>
        <w:t xml:space="preserve">2-amino-5-methylphenol </w:t>
      </w:r>
      <w:r>
        <w:t>was</w:t>
      </w:r>
      <w:r w:rsidRPr="00E05C21">
        <w:t xml:space="preserve"> not in the </w:t>
      </w:r>
      <w:hyperlink r:id="rId19" w:history="1">
        <w:r w:rsidRPr="00824CAC">
          <w:rPr>
            <w:rStyle w:val="Hyperlink"/>
          </w:rPr>
          <w:t>Therapeutic Goods (Permissible Ingredients) Determination</w:t>
        </w:r>
      </w:hyperlink>
      <w:r w:rsidRPr="00E05C21">
        <w:rPr>
          <w:rStyle w:val="Hyperlink"/>
          <w:color w:val="auto"/>
          <w:u w:val="none"/>
        </w:rPr>
        <w:t xml:space="preserve"> </w:t>
      </w:r>
      <w:r w:rsidRPr="00E05C21">
        <w:t xml:space="preserve">No.2 of 2020 and not permitted to </w:t>
      </w:r>
      <w:r w:rsidR="00434592">
        <w:t>be included in listed medicines</w:t>
      </w:r>
    </w:p>
    <w:p w14:paraId="25D55469" w14:textId="77777777" w:rsidR="005F0424" w:rsidRDefault="005F0424" w:rsidP="005F0424">
      <w:pPr>
        <w:pStyle w:val="ListBullet"/>
        <w:numPr>
          <w:ilvl w:val="0"/>
          <w:numId w:val="30"/>
        </w:numPr>
      </w:pPr>
      <w:r>
        <w:t xml:space="preserve">there were no </w:t>
      </w:r>
      <w:r w:rsidRPr="00A30084">
        <w:t xml:space="preserve">warning statements pertaining </w:t>
      </w:r>
      <w:r>
        <w:t xml:space="preserve">to </w:t>
      </w:r>
      <w:r w:rsidRPr="00E05C21">
        <w:rPr>
          <w:rStyle w:val="normaltextrun"/>
        </w:rPr>
        <w:t>2-amino-5-methylphenol</w:t>
      </w:r>
      <w:r>
        <w:t xml:space="preserve"> in the </w:t>
      </w:r>
      <w:hyperlink r:id="rId20" w:history="1">
        <w:r w:rsidRPr="00AB7BF5">
          <w:rPr>
            <w:rStyle w:val="Hyperlink"/>
          </w:rPr>
          <w:t>Therapeutic Goods (Medicines Advisory Statements) Specification 2019</w:t>
        </w:r>
      </w:hyperlink>
    </w:p>
    <w:p w14:paraId="04140F20" w14:textId="4503474C" w:rsidR="005F0424" w:rsidRPr="00E05C21" w:rsidRDefault="005F0424" w:rsidP="005F0424">
      <w:pPr>
        <w:pStyle w:val="ListBullet"/>
        <w:numPr>
          <w:ilvl w:val="0"/>
          <w:numId w:val="30"/>
        </w:numPr>
        <w:rPr>
          <w:rStyle w:val="Hyperlink"/>
          <w:color w:val="auto"/>
          <w:u w:val="none"/>
        </w:rPr>
      </w:pPr>
      <w:r w:rsidRPr="00E05C21">
        <w:t xml:space="preserve">no products containing </w:t>
      </w:r>
      <w:r w:rsidRPr="00E05C21">
        <w:rPr>
          <w:rStyle w:val="normaltextrun"/>
        </w:rPr>
        <w:t>2-amino-5-methylphenol</w:t>
      </w:r>
      <w:r w:rsidRPr="00E05C21">
        <w:t xml:space="preserve"> </w:t>
      </w:r>
      <w:r w:rsidR="005D6B6C">
        <w:t xml:space="preserve">as an active ingredient/constituent or scheduled substance </w:t>
      </w:r>
      <w:r>
        <w:t xml:space="preserve">were </w:t>
      </w:r>
      <w:r w:rsidRPr="00E05C21">
        <w:t xml:space="preserve">listed </w:t>
      </w:r>
      <w:r>
        <w:t>i</w:t>
      </w:r>
      <w:r w:rsidRPr="00E05C21">
        <w:t xml:space="preserve">n the </w:t>
      </w:r>
      <w:hyperlink r:id="rId21" w:history="1">
        <w:r w:rsidRPr="00F0449C">
          <w:rPr>
            <w:rStyle w:val="Hyperlink"/>
          </w:rPr>
          <w:t>Public Chemical Registration Information System Search (P</w:t>
        </w:r>
        <w:r>
          <w:rPr>
            <w:rStyle w:val="Hyperlink"/>
          </w:rPr>
          <w:t>ub</w:t>
        </w:r>
        <w:r w:rsidRPr="00F0449C">
          <w:rPr>
            <w:rStyle w:val="Hyperlink"/>
          </w:rPr>
          <w:t>CRIS)</w:t>
        </w:r>
      </w:hyperlink>
    </w:p>
    <w:p w14:paraId="1094F3FA" w14:textId="77777777" w:rsidR="005F0424" w:rsidRPr="00434592" w:rsidRDefault="005F0424" w:rsidP="00434592">
      <w:r>
        <w:t xml:space="preserve">There were </w:t>
      </w:r>
      <w:r w:rsidRPr="00A02687">
        <w:t xml:space="preserve">no adverse experiences </w:t>
      </w:r>
      <w:r>
        <w:t xml:space="preserve">are </w:t>
      </w:r>
      <w:r w:rsidRPr="00A02687">
        <w:t xml:space="preserve">recorded for </w:t>
      </w:r>
      <w:r w:rsidRPr="00A02687">
        <w:rPr>
          <w:rStyle w:val="normaltextrun"/>
        </w:rPr>
        <w:t>2-amino-5-methylphenol</w:t>
      </w:r>
      <w:r w:rsidRPr="00A02687">
        <w:t xml:space="preserve"> in the </w:t>
      </w:r>
      <w:hyperlink r:id="rId22" w:history="1">
        <w:r w:rsidRPr="00A02687">
          <w:rPr>
            <w:rStyle w:val="Hyperlink"/>
          </w:rPr>
          <w:t>APVMA Adverse Experience Reporting Program</w:t>
        </w:r>
      </w:hyperlink>
      <w:r w:rsidRPr="00D21037">
        <w:t xml:space="preserve"> database</w:t>
      </w:r>
      <w:r>
        <w:t>, between 2010 and 2020.</w:t>
      </w:r>
    </w:p>
    <w:p w14:paraId="3D607DE2" w14:textId="77777777" w:rsidR="005F0424" w:rsidRPr="00CB687C" w:rsidRDefault="005F0424" w:rsidP="005F0424">
      <w:pPr>
        <w:pStyle w:val="Heading4"/>
      </w:pPr>
      <w:bookmarkStart w:id="21" w:name="_Toc71182210"/>
      <w:r>
        <w:t>International regulations</w:t>
      </w:r>
      <w:bookmarkEnd w:id="21"/>
    </w:p>
    <w:p w14:paraId="39CA2C8E" w14:textId="77777777" w:rsidR="005F0424" w:rsidRDefault="005F0424" w:rsidP="005F0424">
      <w:pPr>
        <w:rPr>
          <w:rStyle w:val="normaltextrun"/>
        </w:rPr>
      </w:pPr>
      <w:r>
        <w:t xml:space="preserve">As of April 2021, </w:t>
      </w:r>
      <w:r w:rsidRPr="00E05C21">
        <w:rPr>
          <w:rStyle w:val="normaltextrun"/>
        </w:rPr>
        <w:t>2-amino-5-methylphenol</w:t>
      </w:r>
      <w:r>
        <w:rPr>
          <w:rStyle w:val="normaltextrun"/>
        </w:rPr>
        <w:t>:</w:t>
      </w:r>
    </w:p>
    <w:p w14:paraId="1C1C1B2E" w14:textId="77777777" w:rsidR="005F0424" w:rsidRDefault="005F0424" w:rsidP="005F0424">
      <w:pPr>
        <w:pStyle w:val="ListBullet"/>
        <w:numPr>
          <w:ilvl w:val="0"/>
          <w:numId w:val="22"/>
        </w:numPr>
        <w:spacing w:line="240" w:lineRule="auto"/>
      </w:pPr>
      <w:r>
        <w:t xml:space="preserve">is not included in the </w:t>
      </w:r>
      <w:hyperlink r:id="rId23" w:history="1">
        <w:r w:rsidRPr="00CC6398">
          <w:rPr>
            <w:rStyle w:val="Hyperlink"/>
          </w:rPr>
          <w:t>WHO Model List of Essential Medicines 2019</w:t>
        </w:r>
      </w:hyperlink>
      <w:r>
        <w:t xml:space="preserve"> or </w:t>
      </w:r>
      <w:r w:rsidRPr="00071199">
        <w:t>United States Food and Drug Administration Approved Drug Products Database (</w:t>
      </w:r>
      <w:hyperlink r:id="rId24" w:history="1">
        <w:r w:rsidRPr="00071199">
          <w:rPr>
            <w:rStyle w:val="Hyperlink"/>
          </w:rPr>
          <w:t>Drugs@FDA</w:t>
        </w:r>
      </w:hyperlink>
      <w:r w:rsidRPr="00071199">
        <w:t>)</w:t>
      </w:r>
    </w:p>
    <w:p w14:paraId="7D4B7425" w14:textId="77777777" w:rsidR="005F0424" w:rsidRDefault="005F0424" w:rsidP="005F0424">
      <w:pPr>
        <w:pStyle w:val="ListBullet"/>
        <w:numPr>
          <w:ilvl w:val="0"/>
          <w:numId w:val="22"/>
        </w:numPr>
        <w:spacing w:line="240" w:lineRule="auto"/>
      </w:pPr>
      <w:r>
        <w:t xml:space="preserve">is included in the </w:t>
      </w:r>
      <w:hyperlink r:id="rId25" w:history="1">
        <w:r w:rsidRPr="00C81411">
          <w:rPr>
            <w:rStyle w:val="Hyperlink"/>
          </w:rPr>
          <w:t>European Commission database for information on cosm</w:t>
        </w:r>
        <w:r>
          <w:rPr>
            <w:rStyle w:val="Hyperlink"/>
          </w:rPr>
          <w:t>etic substances and ingredients</w:t>
        </w:r>
      </w:hyperlink>
      <w:r>
        <w:t xml:space="preserve">. A </w:t>
      </w:r>
      <w:hyperlink r:id="rId26" w:history="1">
        <w:r>
          <w:rPr>
            <w:rStyle w:val="Hyperlink"/>
          </w:rPr>
          <w:t xml:space="preserve">2012 report by </w:t>
        </w:r>
        <w:r w:rsidRPr="009F1A24">
          <w:rPr>
            <w:rStyle w:val="Hyperlink"/>
          </w:rPr>
          <w:t>the SCCS</w:t>
        </w:r>
      </w:hyperlink>
      <w:r>
        <w:t xml:space="preserve"> (associated with the European Commission)  concluded that </w:t>
      </w:r>
      <w:r w:rsidRPr="00043B92">
        <w:rPr>
          <w:rStyle w:val="normaltextrun"/>
          <w:rFonts w:asciiTheme="minorHAnsi" w:hAnsiTheme="minorHAnsi" w:cs="Calibri"/>
          <w:szCs w:val="22"/>
        </w:rPr>
        <w:t>2-amino-5-methylphenol</w:t>
      </w:r>
      <w:r>
        <w:t xml:space="preserve"> has genotoxic potential and is not safe for consumers in hair dye products with a maximum concentration of 1.5%</w:t>
      </w:r>
    </w:p>
    <w:p w14:paraId="52B3B7BC" w14:textId="77777777" w:rsidR="005F0424" w:rsidRDefault="005F0424" w:rsidP="005F0424">
      <w:pPr>
        <w:pStyle w:val="ListBullet"/>
        <w:numPr>
          <w:ilvl w:val="0"/>
          <w:numId w:val="22"/>
        </w:numPr>
        <w:spacing w:line="240" w:lineRule="auto"/>
      </w:pPr>
      <w:r>
        <w:t xml:space="preserve">is not included in the </w:t>
      </w:r>
      <w:hyperlink r:id="rId27" w:history="1">
        <w:r w:rsidRPr="000B75D5">
          <w:rPr>
            <w:rStyle w:val="Hyperlink"/>
          </w:rPr>
          <w:t>Canadian (Health Canada) Drug Product Database</w:t>
        </w:r>
      </w:hyperlink>
      <w:r>
        <w:rPr>
          <w:rStyle w:val="Hyperlink"/>
        </w:rPr>
        <w:t xml:space="preserve"> </w:t>
      </w:r>
      <w:r>
        <w:t>or</w:t>
      </w:r>
      <w:r>
        <w:rPr>
          <w:rStyle w:val="Hyperlink"/>
        </w:rPr>
        <w:t xml:space="preserve"> </w:t>
      </w:r>
      <w:hyperlink r:id="rId28" w:history="1">
        <w:r w:rsidRPr="002150D3">
          <w:rPr>
            <w:rStyle w:val="Hyperlink"/>
          </w:rPr>
          <w:t>Health Products Regulatory Authority of Ireland</w:t>
        </w:r>
      </w:hyperlink>
      <w:r>
        <w:rPr>
          <w:rStyle w:val="Hyperlink"/>
        </w:rPr>
        <w:t xml:space="preserve"> </w:t>
      </w:r>
      <w:r w:rsidRPr="004F32F6">
        <w:t>database</w:t>
      </w:r>
    </w:p>
    <w:p w14:paraId="539C90B8" w14:textId="77777777" w:rsidR="005F0424" w:rsidRDefault="005F0424" w:rsidP="005F0424">
      <w:pPr>
        <w:pStyle w:val="ListBullet"/>
        <w:numPr>
          <w:ilvl w:val="0"/>
          <w:numId w:val="22"/>
        </w:numPr>
        <w:spacing w:line="240" w:lineRule="auto"/>
      </w:pPr>
      <w:r>
        <w:t xml:space="preserve">was added to the </w:t>
      </w:r>
      <w:hyperlink r:id="rId29" w:tgtFrame="_blank" w:tooltip="link to the NZ EPA website" w:history="1">
        <w:r w:rsidRPr="00571015">
          <w:rPr>
            <w:rStyle w:val="Hyperlink"/>
          </w:rPr>
          <w:t>New Zealand Inventory of Chemicals (NZIoC)</w:t>
        </w:r>
      </w:hyperlink>
      <w:r>
        <w:rPr>
          <w:vertAlign w:val="superscript"/>
        </w:rPr>
        <w:t xml:space="preserve"> </w:t>
      </w:r>
      <w:r>
        <w:t>on 1 December 2006</w:t>
      </w:r>
    </w:p>
    <w:p w14:paraId="3868D27D" w14:textId="04BC3AAE" w:rsidR="005F0424" w:rsidRPr="000010D6" w:rsidRDefault="005F0424" w:rsidP="005F0424">
      <w:pPr>
        <w:pStyle w:val="ListBullet"/>
        <w:numPr>
          <w:ilvl w:val="0"/>
          <w:numId w:val="22"/>
        </w:numPr>
        <w:spacing w:line="240" w:lineRule="auto"/>
        <w:rPr>
          <w:rStyle w:val="Hyperlink"/>
          <w:color w:val="auto"/>
          <w:u w:val="none"/>
        </w:rPr>
      </w:pPr>
      <w:r>
        <w:t xml:space="preserve">was not entered in the </w:t>
      </w:r>
      <w:hyperlink r:id="rId30" w:tgtFrame="_blank" w:tooltip="link to the Medsafe website" w:history="1">
        <w:r w:rsidRPr="00924083">
          <w:rPr>
            <w:rStyle w:val="Hyperlink"/>
          </w:rPr>
          <w:t>New Zealand Medicines and Medical Devices Safety Authority (MedSafe</w:t>
        </w:r>
      </w:hyperlink>
      <w:r>
        <w:rPr>
          <w:rStyle w:val="Hyperlink"/>
        </w:rPr>
        <w:t>)</w:t>
      </w:r>
      <w:r w:rsidR="00CF6C9B" w:rsidRPr="00CF6C9B">
        <w:rPr>
          <w:rStyle w:val="Hyperlink"/>
          <w:color w:val="auto"/>
          <w:u w:val="none"/>
        </w:rPr>
        <w:t xml:space="preserve"> </w:t>
      </w:r>
      <w:r w:rsidR="00CF6C9B">
        <w:rPr>
          <w:rStyle w:val="Hyperlink"/>
          <w:color w:val="auto"/>
          <w:u w:val="none"/>
        </w:rPr>
        <w:t>Medicines Classification Database.</w:t>
      </w:r>
    </w:p>
    <w:p w14:paraId="7EF94375" w14:textId="6105022C" w:rsidR="005F0424" w:rsidRPr="009401F6" w:rsidRDefault="00CE3D9B" w:rsidP="005F0424">
      <w:pPr>
        <w:pStyle w:val="Heading3"/>
      </w:pPr>
      <w:bookmarkStart w:id="22" w:name="_Toc71182211"/>
      <w:r>
        <w:t>6-methoxy-N2-methyl-</w:t>
      </w:r>
      <w:r w:rsidR="005F0424" w:rsidRPr="00CF36B2">
        <w:t>dihydrochloride</w:t>
      </w:r>
      <w:r>
        <w:t>-</w:t>
      </w:r>
      <w:r w:rsidRPr="00CF36B2">
        <w:t>2,3-</w:t>
      </w:r>
      <w:r>
        <w:t>p</w:t>
      </w:r>
      <w:r w:rsidRPr="00CF36B2">
        <w:t>yridinedi</w:t>
      </w:r>
      <w:r>
        <w:t>amine</w:t>
      </w:r>
      <w:bookmarkEnd w:id="22"/>
    </w:p>
    <w:p w14:paraId="3B9DCE06" w14:textId="77777777" w:rsidR="005F0424" w:rsidRDefault="005F0424" w:rsidP="005F0424">
      <w:pPr>
        <w:pStyle w:val="Heading4"/>
      </w:pPr>
      <w:bookmarkStart w:id="23" w:name="_Toc71182212"/>
      <w:r>
        <w:t>Proposal</w:t>
      </w:r>
      <w:bookmarkEnd w:id="23"/>
    </w:p>
    <w:p w14:paraId="2FF59306" w14:textId="718A88F9" w:rsidR="005F0424" w:rsidRPr="00D75206" w:rsidRDefault="00CE3D9B" w:rsidP="005F0424">
      <w:r>
        <w:t xml:space="preserve">The </w:t>
      </w:r>
      <w:r w:rsidR="00062AFC" w:rsidRPr="00A51C8F">
        <w:t>Delegate of the Secretary of the Commonwealth Department of Health</w:t>
      </w:r>
      <w:r w:rsidR="00062AFC">
        <w:t xml:space="preserve"> (the Delegate) </w:t>
      </w:r>
      <w:r>
        <w:t xml:space="preserve"> proposes a</w:t>
      </w:r>
      <w:r w:rsidR="005F0424">
        <w:t xml:space="preserve"> new entry in Schedule 7, with exceptions </w:t>
      </w:r>
      <w:r w:rsidR="00854CF2">
        <w:t>for</w:t>
      </w:r>
      <w:r w:rsidR="005F0424">
        <w:t xml:space="preserve"> </w:t>
      </w:r>
      <w:r w:rsidR="00854CF2">
        <w:t xml:space="preserve">low concentrations in </w:t>
      </w:r>
      <w:r w:rsidR="005F0424">
        <w:t>cosmetic products</w:t>
      </w:r>
      <w:r w:rsidR="00854CF2">
        <w:t xml:space="preserve"> with compliant labelling</w:t>
      </w:r>
      <w:r w:rsidR="005F0424">
        <w:t>.</w:t>
      </w:r>
    </w:p>
    <w:p w14:paraId="7B1614A8" w14:textId="77777777" w:rsidR="005F0424" w:rsidRDefault="005F0424" w:rsidP="005F0424">
      <w:pPr>
        <w:pStyle w:val="Heading4"/>
      </w:pPr>
      <w:bookmarkStart w:id="24" w:name="_Toc71182213"/>
      <w:r>
        <w:t>CAS number:</w:t>
      </w:r>
      <w:bookmarkEnd w:id="24"/>
    </w:p>
    <w:p w14:paraId="19237C2D" w14:textId="331C0081" w:rsidR="005F0424" w:rsidRDefault="005F0424" w:rsidP="005F0424">
      <w:r w:rsidRPr="00224B6F">
        <w:t>83732-72-3</w:t>
      </w:r>
      <w:r w:rsidR="00F26D74">
        <w:t xml:space="preserve"> (dihydrochloride salt)</w:t>
      </w:r>
    </w:p>
    <w:p w14:paraId="544C2436" w14:textId="4BCA7AD0" w:rsidR="00F26D74" w:rsidRDefault="00F26D74" w:rsidP="005F0424">
      <w:r w:rsidRPr="00F26D74">
        <w:t>90817-34-8</w:t>
      </w:r>
      <w:r>
        <w:t xml:space="preserve"> (base)</w:t>
      </w:r>
    </w:p>
    <w:p w14:paraId="015F89AB" w14:textId="77777777" w:rsidR="005F0424" w:rsidRDefault="005F0424" w:rsidP="005F0424">
      <w:pPr>
        <w:pStyle w:val="Heading4"/>
      </w:pPr>
      <w:bookmarkStart w:id="25" w:name="_Toc71182214"/>
      <w:r>
        <w:lastRenderedPageBreak/>
        <w:t>Alternative names</w:t>
      </w:r>
      <w:bookmarkEnd w:id="25"/>
    </w:p>
    <w:p w14:paraId="493104E4" w14:textId="315C7CD4" w:rsidR="005F0424" w:rsidRDefault="00D5395A" w:rsidP="005F0424">
      <w:hyperlink r:id="rId31" w:tgtFrame="_blank" w:history="1">
        <w:r w:rsidR="005F0424" w:rsidRPr="00196568">
          <w:t>3-</w:t>
        </w:r>
        <w:r w:rsidR="005F0424">
          <w:t>amino</w:t>
        </w:r>
        <w:r w:rsidR="005F0424" w:rsidRPr="00D84AEA">
          <w:t>-2-</w:t>
        </w:r>
        <w:r w:rsidR="005F0424">
          <w:t>methylamino</w:t>
        </w:r>
        <w:r w:rsidR="005F0424" w:rsidRPr="00D84AEA">
          <w:t>-6-</w:t>
        </w:r>
        <w:r w:rsidR="005F0424">
          <w:t>methoxypyridine dihydrochlorid</w:t>
        </w:r>
      </w:hyperlink>
      <w:r w:rsidR="005F0424">
        <w:t>e</w:t>
      </w:r>
      <w:r w:rsidR="005F0424" w:rsidRPr="00196568">
        <w:t xml:space="preserve">; </w:t>
      </w:r>
      <w:r w:rsidR="00CE3D9B" w:rsidRPr="00CF36B2">
        <w:t>2,3-</w:t>
      </w:r>
      <w:r w:rsidR="00CE3D9B">
        <w:t>p</w:t>
      </w:r>
      <w:r w:rsidR="00CE3D9B" w:rsidRPr="00CF36B2">
        <w:t xml:space="preserve">yridinediamine, 6-methoxy-N2-methyl-, </w:t>
      </w:r>
      <w:r w:rsidR="00196568" w:rsidRPr="00F40796">
        <w:t>6-Methoxy-N2-methylpyridine-2,3-diamine dihydrochloride</w:t>
      </w:r>
      <w:r w:rsidR="00196568" w:rsidRPr="00196568">
        <w:t>,</w:t>
      </w:r>
      <w:r w:rsidR="00196568">
        <w:t xml:space="preserve"> </w:t>
      </w:r>
      <w:hyperlink r:id="rId32" w:tgtFrame="_blank" w:history="1">
        <w:r w:rsidR="005F0424" w:rsidRPr="00224B6F">
          <w:t>HC Blue 7</w:t>
        </w:r>
      </w:hyperlink>
    </w:p>
    <w:p w14:paraId="2FC6A58D" w14:textId="77777777" w:rsidR="005F0424" w:rsidRDefault="005F0424" w:rsidP="005F0424">
      <w:pPr>
        <w:pStyle w:val="Heading4"/>
      </w:pPr>
      <w:bookmarkStart w:id="26" w:name="_Toc71182215"/>
      <w:r>
        <w:t>Current scheduling</w:t>
      </w:r>
      <w:bookmarkEnd w:id="26"/>
    </w:p>
    <w:p w14:paraId="72C9D9B4" w14:textId="198D6318" w:rsidR="005F0424" w:rsidRPr="00AF12F6" w:rsidRDefault="005F0424" w:rsidP="005F0424">
      <w:pPr>
        <w:rPr>
          <w:rFonts w:asciiTheme="minorHAnsi" w:hAnsiTheme="minorHAnsi" w:cstheme="minorHAnsi"/>
        </w:rPr>
      </w:pPr>
      <w:r w:rsidRPr="00CF36B2">
        <w:t>6-methoxy-N2-methyl-</w:t>
      </w:r>
      <w:r w:rsidR="00CE3D9B" w:rsidRPr="00CF36B2">
        <w:t>2,3-</w:t>
      </w:r>
      <w:r w:rsidR="00CE3D9B">
        <w:t>p</w:t>
      </w:r>
      <w:r w:rsidR="00CE3D9B" w:rsidRPr="00CF36B2">
        <w:t>yridinediamine</w:t>
      </w:r>
      <w:r w:rsidRPr="00CF36B2">
        <w:t>, dihydrochloride</w:t>
      </w:r>
      <w:r w:rsidRPr="00AF12F6">
        <w:rPr>
          <w:rFonts w:asciiTheme="minorHAnsi" w:hAnsiTheme="minorHAnsi" w:cstheme="minorHAnsi"/>
        </w:rPr>
        <w:t xml:space="preserve"> is not specifically scheduled</w:t>
      </w:r>
      <w:r>
        <w:rPr>
          <w:rFonts w:asciiTheme="minorHAnsi" w:hAnsiTheme="minorHAnsi" w:cstheme="minorHAnsi"/>
        </w:rPr>
        <w:t xml:space="preserve"> in the current Poisons Standard</w:t>
      </w:r>
      <w:r w:rsidRPr="00AF12F6">
        <w:rPr>
          <w:rFonts w:asciiTheme="minorHAnsi" w:hAnsiTheme="minorHAnsi" w:cstheme="minorHAnsi"/>
        </w:rPr>
        <w:t>.</w:t>
      </w:r>
    </w:p>
    <w:p w14:paraId="44B1B32B" w14:textId="77777777" w:rsidR="005F0424" w:rsidRDefault="005F0424" w:rsidP="005F0424">
      <w:pPr>
        <w:pStyle w:val="Heading4"/>
      </w:pPr>
      <w:bookmarkStart w:id="27" w:name="_Toc71182216"/>
      <w:r>
        <w:t>Proposed scheduling</w:t>
      </w:r>
      <w:bookmarkEnd w:id="27"/>
    </w:p>
    <w:p w14:paraId="70335E4C" w14:textId="77777777" w:rsidR="005F0424" w:rsidRPr="00CD40FB" w:rsidRDefault="005F0424" w:rsidP="005F0424">
      <w:pPr>
        <w:ind w:left="426"/>
        <w:rPr>
          <w:b/>
        </w:rPr>
      </w:pPr>
      <w:r w:rsidRPr="00CD40FB">
        <w:rPr>
          <w:b/>
        </w:rPr>
        <w:t xml:space="preserve">Schedule </w:t>
      </w:r>
      <w:r>
        <w:rPr>
          <w:b/>
        </w:rPr>
        <w:t>7</w:t>
      </w:r>
      <w:r w:rsidRPr="00CD40FB">
        <w:rPr>
          <w:b/>
        </w:rPr>
        <w:t xml:space="preserve"> – </w:t>
      </w:r>
      <w:r w:rsidRPr="00A31AC9">
        <w:rPr>
          <w:b/>
        </w:rPr>
        <w:t>New Entry</w:t>
      </w:r>
    </w:p>
    <w:p w14:paraId="3580C43F" w14:textId="419E4EED" w:rsidR="005F0424" w:rsidRPr="00063495" w:rsidRDefault="00AD5AAF" w:rsidP="00AD5AAF">
      <w:pPr>
        <w:ind w:left="426"/>
        <w:rPr>
          <w:color w:val="00B050"/>
        </w:rPr>
      </w:pPr>
      <w:r w:rsidRPr="00063495">
        <w:rPr>
          <w:color w:val="00B050"/>
        </w:rPr>
        <w:t>6-METHOXY-N2-METHYL</w:t>
      </w:r>
      <w:r w:rsidR="00CE3D9B" w:rsidRPr="00063495">
        <w:rPr>
          <w:color w:val="00B050"/>
        </w:rPr>
        <w:t xml:space="preserve">-2,3-PYRIDINEDIAMINE, </w:t>
      </w:r>
      <w:r w:rsidRPr="00063495">
        <w:rPr>
          <w:color w:val="00B050"/>
        </w:rPr>
        <w:t>-</w:t>
      </w:r>
      <w:r w:rsidRPr="00063495">
        <w:rPr>
          <w:b/>
          <w:color w:val="00B050"/>
        </w:rPr>
        <w:t xml:space="preserve"> </w:t>
      </w:r>
      <w:r w:rsidR="005F0424" w:rsidRPr="00063495">
        <w:rPr>
          <w:b/>
          <w:color w:val="00B050"/>
        </w:rPr>
        <w:t>except</w:t>
      </w:r>
      <w:r w:rsidR="005F0424" w:rsidRPr="00063495">
        <w:rPr>
          <w:color w:val="00B050"/>
        </w:rPr>
        <w:t xml:space="preserve"> when used in </w:t>
      </w:r>
      <w:r w:rsidR="005F0424" w:rsidRPr="00063495">
        <w:rPr>
          <w:rFonts w:eastAsia="Times New Roman"/>
          <w:color w:val="00B050"/>
          <w:lang w:eastAsia="en-AU"/>
        </w:rPr>
        <w:t xml:space="preserve">oxidative or non-oxidative hair dyes </w:t>
      </w:r>
      <w:r w:rsidR="005F0424" w:rsidRPr="00063495">
        <w:rPr>
          <w:color w:val="00B050"/>
        </w:rPr>
        <w:t xml:space="preserve">at a concentration of </w:t>
      </w:r>
      <w:r w:rsidR="005F0424" w:rsidRPr="00063495">
        <w:rPr>
          <w:rFonts w:eastAsia="Times New Roman"/>
          <w:color w:val="00B050"/>
          <w:lang w:eastAsia="en-AU"/>
        </w:rPr>
        <w:t xml:space="preserve">1.0 % or less </w:t>
      </w:r>
      <w:r w:rsidR="008642AE" w:rsidRPr="00063495">
        <w:rPr>
          <w:rFonts w:eastAsia="Times New Roman"/>
          <w:color w:val="00B050"/>
          <w:lang w:eastAsia="en-AU"/>
        </w:rPr>
        <w:t xml:space="preserve">as dihydrochloride </w:t>
      </w:r>
      <w:r w:rsidR="005F0424" w:rsidRPr="00063495">
        <w:rPr>
          <w:color w:val="00B050"/>
        </w:rPr>
        <w:t>when the immediate container and primary pack are labelled with the following statement</w:t>
      </w:r>
      <w:r w:rsidRPr="00063495">
        <w:rPr>
          <w:color w:val="00B050"/>
        </w:rPr>
        <w:t>s</w:t>
      </w:r>
      <w:r w:rsidR="005F0424" w:rsidRPr="00063495">
        <w:rPr>
          <w:color w:val="00B050"/>
        </w:rPr>
        <w:t>:</w:t>
      </w:r>
    </w:p>
    <w:p w14:paraId="27F58805" w14:textId="77777777" w:rsidR="005F0424" w:rsidRPr="00063495" w:rsidRDefault="005F0424" w:rsidP="007E652D">
      <w:pPr>
        <w:ind w:left="426" w:firstLine="294"/>
        <w:rPr>
          <w:color w:val="00B050"/>
        </w:rPr>
      </w:pPr>
      <w:r w:rsidRPr="00063495">
        <w:rPr>
          <w:color w:val="00B050"/>
        </w:rPr>
        <w:t>KEEP OUT OF REACH OF CHILDREN; and</w:t>
      </w:r>
    </w:p>
    <w:p w14:paraId="55D89153" w14:textId="77777777" w:rsidR="009967B9" w:rsidRPr="00063495" w:rsidRDefault="005F0424" w:rsidP="00052891">
      <w:pPr>
        <w:ind w:left="720"/>
        <w:rPr>
          <w:color w:val="00B050"/>
        </w:rPr>
      </w:pPr>
      <w:r w:rsidRPr="00063495">
        <w:rPr>
          <w:color w:val="00B050"/>
        </w:rPr>
        <w:t>WARNING – This product contains ingredients which may cause skin sensitisation to certain individuals. A preliminary test according to the accompanying directions should be made before use</w:t>
      </w:r>
      <w:r w:rsidR="00CF3414" w:rsidRPr="00063495">
        <w:rPr>
          <w:color w:val="00B050"/>
        </w:rPr>
        <w:t>.</w:t>
      </w:r>
      <w:r w:rsidRPr="00063495">
        <w:rPr>
          <w:color w:val="00B050"/>
        </w:rPr>
        <w:t xml:space="preserve"> </w:t>
      </w:r>
    </w:p>
    <w:p w14:paraId="0E6AF9E7" w14:textId="7C758B7F" w:rsidR="002E3245" w:rsidRDefault="005F0424" w:rsidP="00854CF2">
      <w:pPr>
        <w:ind w:left="426"/>
        <w:rPr>
          <w:color w:val="FF0000"/>
        </w:rPr>
      </w:pPr>
      <w:r w:rsidRPr="00063495">
        <w:rPr>
          <w:color w:val="00B050"/>
        </w:rPr>
        <w:t>written in letters not less than 1.5 mm in height.</w:t>
      </w:r>
    </w:p>
    <w:p w14:paraId="0D05A95C" w14:textId="44757F06" w:rsidR="005F0424" w:rsidRDefault="005F0424" w:rsidP="005F0424">
      <w:pPr>
        <w:ind w:left="426"/>
        <w:rPr>
          <w:b/>
        </w:rPr>
      </w:pPr>
      <w:r w:rsidRPr="00402589">
        <w:rPr>
          <w:b/>
        </w:rPr>
        <w:t>App</w:t>
      </w:r>
      <w:r>
        <w:rPr>
          <w:b/>
        </w:rPr>
        <w:t xml:space="preserve">endix F, Part </w:t>
      </w:r>
      <w:r w:rsidR="0039713A">
        <w:rPr>
          <w:b/>
        </w:rPr>
        <w:t>3</w:t>
      </w:r>
      <w:r>
        <w:rPr>
          <w:b/>
        </w:rPr>
        <w:t xml:space="preserve"> – New entry</w:t>
      </w:r>
    </w:p>
    <w:tbl>
      <w:tblPr>
        <w:tblStyle w:val="TableTGAblue"/>
        <w:tblW w:w="0" w:type="auto"/>
        <w:tblInd w:w="426" w:type="dxa"/>
        <w:tblLook w:val="04A0" w:firstRow="1" w:lastRow="0" w:firstColumn="1" w:lastColumn="0" w:noHBand="0" w:noVBand="1"/>
      </w:tblPr>
      <w:tblGrid>
        <w:gridCol w:w="3108"/>
        <w:gridCol w:w="4678"/>
      </w:tblGrid>
      <w:tr w:rsidR="005F0424" w14:paraId="12A7479A" w14:textId="5CF59258" w:rsidTr="005F0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8" w:type="dxa"/>
          </w:tcPr>
          <w:p w14:paraId="2D3EDE61" w14:textId="1F2E9641" w:rsidR="005F0424" w:rsidRDefault="005F0424" w:rsidP="005F0424">
            <w:pPr>
              <w:rPr>
                <w:b w:val="0"/>
              </w:rPr>
            </w:pPr>
            <w:r w:rsidRPr="00933465">
              <w:t>POISON</w:t>
            </w:r>
          </w:p>
        </w:tc>
        <w:tc>
          <w:tcPr>
            <w:tcW w:w="4678" w:type="dxa"/>
          </w:tcPr>
          <w:p w14:paraId="5FE5EC4E" w14:textId="1337C10C" w:rsidR="005F0424" w:rsidRDefault="005F0424" w:rsidP="005F0424">
            <w:pPr>
              <w:cnfStyle w:val="100000000000" w:firstRow="1" w:lastRow="0" w:firstColumn="0" w:lastColumn="0" w:oddVBand="0" w:evenVBand="0" w:oddHBand="0" w:evenHBand="0" w:firstRowFirstColumn="0" w:firstRowLastColumn="0" w:lastRowFirstColumn="0" w:lastRowLastColumn="0"/>
              <w:rPr>
                <w:b w:val="0"/>
              </w:rPr>
            </w:pPr>
            <w:r w:rsidRPr="00933465">
              <w:t>WARNING STATEMENTS</w:t>
            </w:r>
          </w:p>
        </w:tc>
      </w:tr>
      <w:tr w:rsidR="005F0424" w14:paraId="3A30B073" w14:textId="4DAD8C0C" w:rsidTr="005F0424">
        <w:tc>
          <w:tcPr>
            <w:cnfStyle w:val="001000000000" w:firstRow="0" w:lastRow="0" w:firstColumn="1" w:lastColumn="0" w:oddVBand="0" w:evenVBand="0" w:oddHBand="0" w:evenHBand="0" w:firstRowFirstColumn="0" w:firstRowLastColumn="0" w:lastRowFirstColumn="0" w:lastRowLastColumn="0"/>
            <w:tcW w:w="3108" w:type="dxa"/>
          </w:tcPr>
          <w:p w14:paraId="65C6BB20" w14:textId="2132F634" w:rsidR="005F0424" w:rsidRPr="00CE3D9B" w:rsidRDefault="005F0424" w:rsidP="005F0424">
            <w:pPr>
              <w:rPr>
                <w:color w:val="FF0000"/>
              </w:rPr>
            </w:pPr>
            <w:r w:rsidRPr="00063495">
              <w:rPr>
                <w:color w:val="00B050"/>
              </w:rPr>
              <w:t>6-methoxy-N2-methyl-</w:t>
            </w:r>
            <w:r w:rsidR="00CE3D9B" w:rsidRPr="00063495">
              <w:rPr>
                <w:color w:val="00B050"/>
              </w:rPr>
              <w:t>2,3-pyridinediamine</w:t>
            </w:r>
          </w:p>
        </w:tc>
        <w:tc>
          <w:tcPr>
            <w:tcW w:w="4678" w:type="dxa"/>
          </w:tcPr>
          <w:p w14:paraId="1405B656" w14:textId="47838759" w:rsidR="005F0424" w:rsidRDefault="005F0424" w:rsidP="00911753">
            <w:pPr>
              <w:cnfStyle w:val="000000000000" w:firstRow="0" w:lastRow="0" w:firstColumn="0" w:lastColumn="0" w:oddVBand="0" w:evenVBand="0" w:oddHBand="0" w:evenHBand="0" w:firstRowFirstColumn="0" w:firstRowLastColumn="0" w:lastRowFirstColumn="0" w:lastRowLastColumn="0"/>
              <w:rPr>
                <w:b/>
              </w:rPr>
            </w:pPr>
            <w:r w:rsidRPr="00063495">
              <w:rPr>
                <w:color w:val="00B050"/>
              </w:rPr>
              <w:t xml:space="preserve">21. WARNING – This product contains ingredients which may cause skin </w:t>
            </w:r>
            <w:r w:rsidR="0039713A" w:rsidRPr="00063495">
              <w:rPr>
                <w:color w:val="00B050"/>
              </w:rPr>
              <w:t xml:space="preserve">irritation </w:t>
            </w:r>
            <w:r w:rsidRPr="00063495">
              <w:rPr>
                <w:color w:val="00B050"/>
              </w:rPr>
              <w:t>to certain individuals. A preliminary test according to accompanying directions should be made before use</w:t>
            </w:r>
            <w:r w:rsidR="0039713A" w:rsidRPr="00063495">
              <w:rPr>
                <w:color w:val="00B050"/>
              </w:rPr>
              <w:t>. This product must not be used for dyeing eyelashes or eyebrows; to do so may be injurious to the eye.</w:t>
            </w:r>
          </w:p>
        </w:tc>
      </w:tr>
    </w:tbl>
    <w:p w14:paraId="5B18B593" w14:textId="77777777" w:rsidR="005F0424" w:rsidRDefault="005F0424" w:rsidP="005F0424">
      <w:pPr>
        <w:pStyle w:val="Heading4"/>
      </w:pPr>
      <w:bookmarkStart w:id="28" w:name="_Toc71182217"/>
      <w:r>
        <w:t>Key uses / expected use</w:t>
      </w:r>
      <w:bookmarkEnd w:id="28"/>
    </w:p>
    <w:p w14:paraId="37C5B289" w14:textId="77777777" w:rsidR="009967B9" w:rsidRDefault="009967B9" w:rsidP="009967B9">
      <w:r w:rsidRPr="008711AF">
        <w:t>Cosmetic</w:t>
      </w:r>
      <w:r>
        <w:t>. Used in hair dye products in Australia.</w:t>
      </w:r>
    </w:p>
    <w:p w14:paraId="6433BB9D" w14:textId="4A798077" w:rsidR="00EE3C3B" w:rsidRDefault="00EE3C3B" w:rsidP="00EE3C3B">
      <w:pPr>
        <w:pStyle w:val="Heading4"/>
      </w:pPr>
      <w:bookmarkStart w:id="29" w:name="_Toc71182218"/>
      <w:r>
        <w:t>Summary of reasons for proposal</w:t>
      </w:r>
      <w:bookmarkEnd w:id="29"/>
    </w:p>
    <w:p w14:paraId="1D2B687D" w14:textId="0A221DD6" w:rsidR="00E61FC2" w:rsidRDefault="00E61FC2" w:rsidP="005F0424">
      <w:pPr>
        <w:pStyle w:val="ListBullet"/>
        <w:numPr>
          <w:ilvl w:val="0"/>
          <w:numId w:val="31"/>
        </w:numPr>
        <w:ind w:left="360"/>
        <w:rPr>
          <w:rStyle w:val="normaltextrun"/>
          <w:rFonts w:asciiTheme="minorHAnsi" w:hAnsiTheme="minorHAnsi" w:cs="Calibri"/>
          <w:szCs w:val="22"/>
        </w:rPr>
      </w:pPr>
      <w:r w:rsidRPr="00CF36B2">
        <w:t>2,3-</w:t>
      </w:r>
      <w:r>
        <w:t>p</w:t>
      </w:r>
      <w:r w:rsidRPr="00CF36B2">
        <w:t>yridinediamine, 6-methoxy-N2-methyl-, dihydrochloride</w:t>
      </w:r>
      <w:r>
        <w:t xml:space="preserve"> is used i</w:t>
      </w:r>
      <w:r w:rsidR="00417181">
        <w:t>n hair dye</w:t>
      </w:r>
      <w:r>
        <w:t xml:space="preserve">s available in Australia. There are currently no </w:t>
      </w:r>
      <w:r w:rsidR="00417181">
        <w:t>known restrictions on the</w:t>
      </w:r>
      <w:r>
        <w:t xml:space="preserve"> use</w:t>
      </w:r>
      <w:r w:rsidR="00417181">
        <w:t xml:space="preserve"> of these products</w:t>
      </w:r>
      <w:r>
        <w:t xml:space="preserve"> in</w:t>
      </w:r>
      <w:r w:rsidR="00417181">
        <w:t xml:space="preserve"> Australia</w:t>
      </w:r>
      <w:r>
        <w:t>.</w:t>
      </w:r>
    </w:p>
    <w:p w14:paraId="7B4F4524" w14:textId="1F76D77A" w:rsidR="00363977" w:rsidRDefault="005F0424" w:rsidP="00196568">
      <w:pPr>
        <w:pStyle w:val="ListBullet"/>
        <w:numPr>
          <w:ilvl w:val="0"/>
          <w:numId w:val="31"/>
        </w:numPr>
        <w:ind w:left="360"/>
      </w:pPr>
      <w:r>
        <w:t>Based on the available data, 2</w:t>
      </w:r>
      <w:r w:rsidRPr="00CF36B2">
        <w:t>,3-</w:t>
      </w:r>
      <w:r>
        <w:t>p</w:t>
      </w:r>
      <w:r w:rsidRPr="00CF36B2">
        <w:t>yridinediamine, 6-methoxy-N2-methyl-, dihydrochloride</w:t>
      </w:r>
      <w:r w:rsidRPr="00480B69">
        <w:rPr>
          <w:rStyle w:val="normaltextrun"/>
          <w:rFonts w:asciiTheme="minorHAnsi" w:hAnsiTheme="minorHAnsi"/>
          <w:szCs w:val="22"/>
        </w:rPr>
        <w:t xml:space="preserve"> </w:t>
      </w:r>
      <w:r w:rsidR="00417181">
        <w:rPr>
          <w:rStyle w:val="normaltextrun"/>
          <w:rFonts w:asciiTheme="minorHAnsi" w:hAnsiTheme="minorHAnsi" w:cs="Calibri"/>
          <w:szCs w:val="22"/>
        </w:rPr>
        <w:t>is acutely toxic by oral route,</w:t>
      </w:r>
      <w:r w:rsidRPr="00AF463F">
        <w:rPr>
          <w:rStyle w:val="normaltextrun"/>
          <w:rFonts w:asciiTheme="minorHAnsi" w:hAnsiTheme="minorHAnsi" w:cs="Calibri"/>
          <w:szCs w:val="22"/>
        </w:rPr>
        <w:t xml:space="preserve"> </w:t>
      </w:r>
      <w:r>
        <w:rPr>
          <w:rStyle w:val="normaltextrun"/>
          <w:rFonts w:asciiTheme="minorHAnsi" w:hAnsiTheme="minorHAnsi" w:cs="Calibri"/>
          <w:szCs w:val="22"/>
        </w:rPr>
        <w:t xml:space="preserve">and </w:t>
      </w:r>
      <w:r>
        <w:t>is</w:t>
      </w:r>
      <w:r w:rsidR="00417181">
        <w:t xml:space="preserve"> a moderate skin sensitiser – </w:t>
      </w:r>
      <w:r>
        <w:t xml:space="preserve">warranting </w:t>
      </w:r>
      <w:r w:rsidR="001F1A53">
        <w:t xml:space="preserve">a </w:t>
      </w:r>
      <w:r>
        <w:t xml:space="preserve">hazard classification. </w:t>
      </w:r>
    </w:p>
    <w:p w14:paraId="0DFBC599" w14:textId="5D03CCCA" w:rsidR="00417181" w:rsidRDefault="00363977" w:rsidP="005F0424">
      <w:pPr>
        <w:pStyle w:val="ListBullet"/>
        <w:numPr>
          <w:ilvl w:val="0"/>
          <w:numId w:val="31"/>
        </w:numPr>
        <w:ind w:left="360"/>
      </w:pPr>
      <w:r>
        <w:t>There is a lack of data on the acute or repeated dermal and inhalation toxicity of this substance.</w:t>
      </w:r>
    </w:p>
    <w:p w14:paraId="47C998AA" w14:textId="77777777" w:rsidR="00417181" w:rsidRDefault="00417181" w:rsidP="00196568">
      <w:pPr>
        <w:pStyle w:val="ListBullet"/>
        <w:numPr>
          <w:ilvl w:val="0"/>
          <w:numId w:val="31"/>
        </w:numPr>
        <w:ind w:left="360"/>
      </w:pPr>
      <w:r>
        <w:lastRenderedPageBreak/>
        <w:t>International bodies have concluded that its use as an oxidative and non-oxidative hair dye is safe at a maximum on-head concentration of 1.0 % as dihydrochloride:</w:t>
      </w:r>
    </w:p>
    <w:p w14:paraId="377FD6F5" w14:textId="15E38B98" w:rsidR="00363977" w:rsidRDefault="00417181" w:rsidP="00196568">
      <w:pPr>
        <w:pStyle w:val="ListBullet2"/>
      </w:pPr>
      <w:r>
        <w:t xml:space="preserve">In 2008, following a safety evaluation, the </w:t>
      </w:r>
      <w:r w:rsidRPr="00127A2C">
        <w:t xml:space="preserve">Scientific Committee on Consumer Products </w:t>
      </w:r>
      <w:r w:rsidR="00CF6C9B">
        <w:t xml:space="preserve">(SCCP) </w:t>
      </w:r>
      <w:r>
        <w:t>(associated with the European Commission)</w:t>
      </w:r>
      <w:r w:rsidR="00363977">
        <w:t xml:space="preserve"> concluded that hair dye products below this cut-off</w:t>
      </w:r>
      <w:r>
        <w:t xml:space="preserve"> </w:t>
      </w:r>
      <w:r w:rsidR="00363977">
        <w:t xml:space="preserve">concentration </w:t>
      </w:r>
      <w:r>
        <w:t>do not pose a risk to the health of the consumer.</w:t>
      </w:r>
    </w:p>
    <w:p w14:paraId="1AE66888" w14:textId="6E9E1A58" w:rsidR="005F0424" w:rsidRPr="000A5B92" w:rsidRDefault="00363977" w:rsidP="00196568">
      <w:pPr>
        <w:pStyle w:val="ListBullet2"/>
        <w:rPr>
          <w:lang w:eastAsia="en-AU"/>
        </w:rPr>
      </w:pPr>
      <w:r>
        <w:t>T</w:t>
      </w:r>
      <w:r w:rsidRPr="003F1977">
        <w:t>he E</w:t>
      </w:r>
      <w:r>
        <w:t xml:space="preserve">uropean Union and </w:t>
      </w:r>
      <w:r w:rsidRPr="003F1977">
        <w:t xml:space="preserve">the Association of </w:t>
      </w:r>
      <w:r>
        <w:t>Southeast Asian Nations both restrict use of the chemical to below this cut-off concentration.</w:t>
      </w:r>
    </w:p>
    <w:p w14:paraId="759E7F86" w14:textId="19C54708" w:rsidR="00417181" w:rsidRPr="00196568" w:rsidRDefault="00363977" w:rsidP="00911753">
      <w:pPr>
        <w:pStyle w:val="ListBullet"/>
        <w:numPr>
          <w:ilvl w:val="0"/>
          <w:numId w:val="31"/>
        </w:numPr>
        <w:ind w:left="360"/>
        <w:rPr>
          <w:rFonts w:asciiTheme="minorHAnsi" w:hAnsiTheme="minorHAnsi"/>
          <w:szCs w:val="22"/>
        </w:rPr>
      </w:pPr>
      <w:r>
        <w:rPr>
          <w:rStyle w:val="normaltextrun"/>
          <w:rFonts w:asciiTheme="minorHAnsi" w:hAnsiTheme="minorHAnsi"/>
          <w:szCs w:val="22"/>
        </w:rPr>
        <w:t>The creation of a new Schedule 7 entry would enable restriction of its use</w:t>
      </w:r>
      <w:r>
        <w:t xml:space="preserve"> to safe concentrations, ensure appropriate </w:t>
      </w:r>
      <w:r w:rsidRPr="00F22060">
        <w:t>labelling</w:t>
      </w:r>
      <w:r>
        <w:t>, and allow alignment with international scheduling</w:t>
      </w:r>
      <w:r w:rsidRPr="00F22060">
        <w:t>.</w:t>
      </w:r>
    </w:p>
    <w:p w14:paraId="304AE23E" w14:textId="7DD54283" w:rsidR="005F0424" w:rsidRPr="00F22060" w:rsidRDefault="005F0424" w:rsidP="005F0424">
      <w:pPr>
        <w:pStyle w:val="ListBullet"/>
        <w:numPr>
          <w:ilvl w:val="0"/>
          <w:numId w:val="31"/>
        </w:numPr>
        <w:ind w:left="360"/>
      </w:pPr>
      <w:r w:rsidRPr="00F22060">
        <w:t xml:space="preserve">It is recommended that </w:t>
      </w:r>
      <w:r>
        <w:t>2</w:t>
      </w:r>
      <w:r w:rsidRPr="00CF36B2">
        <w:t>,3-</w:t>
      </w:r>
      <w:r>
        <w:t>p</w:t>
      </w:r>
      <w:r w:rsidRPr="00CF36B2">
        <w:t>yridinediamine, 6-methoxy-N2-methyl-, dihydrochloride</w:t>
      </w:r>
      <w:r w:rsidRPr="00480B69">
        <w:rPr>
          <w:rStyle w:val="normaltextrun"/>
          <w:rFonts w:asciiTheme="minorHAnsi" w:hAnsiTheme="minorHAnsi"/>
          <w:szCs w:val="22"/>
        </w:rPr>
        <w:t xml:space="preserve"> </w:t>
      </w:r>
      <w:r w:rsidRPr="00F22060">
        <w:t>be included in</w:t>
      </w:r>
      <w:r w:rsidR="00CF3414">
        <w:t xml:space="preserve"> Schedule 7 of</w:t>
      </w:r>
      <w:r w:rsidRPr="00F22060">
        <w:t xml:space="preserve"> the Poisons Standard for use in hair dyes</w:t>
      </w:r>
      <w:r w:rsidR="00363977">
        <w:t>.</w:t>
      </w:r>
    </w:p>
    <w:p w14:paraId="43D625C9" w14:textId="77777777" w:rsidR="005F0424" w:rsidRDefault="005F0424" w:rsidP="005F0424">
      <w:pPr>
        <w:pStyle w:val="Heading4"/>
      </w:pPr>
      <w:bookmarkStart w:id="30" w:name="_Toc71182219"/>
      <w:r>
        <w:t>Australian regulations</w:t>
      </w:r>
      <w:bookmarkEnd w:id="30"/>
    </w:p>
    <w:p w14:paraId="097471E1" w14:textId="77777777" w:rsidR="005F0424" w:rsidRDefault="005F0424" w:rsidP="005F0424">
      <w:pPr>
        <w:spacing w:after="120"/>
        <w:rPr>
          <w:rFonts w:eastAsia="Times New Roman"/>
          <w:bCs/>
          <w:color w:val="001523"/>
          <w:szCs w:val="22"/>
        </w:rPr>
      </w:pPr>
      <w:r w:rsidRPr="00FB102A">
        <w:rPr>
          <w:rFonts w:eastAsia="Times New Roman"/>
          <w:bCs/>
          <w:color w:val="001523"/>
          <w:szCs w:val="22"/>
        </w:rPr>
        <w:t>As of April 2021:</w:t>
      </w:r>
    </w:p>
    <w:p w14:paraId="534180C1" w14:textId="77777777" w:rsidR="005F0424" w:rsidRPr="00E05C21" w:rsidRDefault="005F0424" w:rsidP="005F0424">
      <w:pPr>
        <w:pStyle w:val="ListBullet"/>
        <w:numPr>
          <w:ilvl w:val="0"/>
          <w:numId w:val="31"/>
        </w:numPr>
        <w:ind w:left="360"/>
      </w:pPr>
      <w:r>
        <w:t>2</w:t>
      </w:r>
      <w:r w:rsidRPr="00CF36B2">
        <w:t>,3-</w:t>
      </w:r>
      <w:r>
        <w:t>p</w:t>
      </w:r>
      <w:r w:rsidRPr="00CF36B2">
        <w:t>yridinediamine, 6-methoxy-N2-methyl-, dihydrochloride</w:t>
      </w:r>
      <w:r w:rsidRPr="00480B69">
        <w:rPr>
          <w:rStyle w:val="normaltextrun"/>
          <w:rFonts w:asciiTheme="minorHAnsi" w:hAnsiTheme="minorHAnsi"/>
          <w:szCs w:val="22"/>
        </w:rPr>
        <w:t xml:space="preserve"> </w:t>
      </w:r>
      <w:r w:rsidRPr="00E05C21">
        <w:t xml:space="preserve">is not included in the </w:t>
      </w:r>
      <w:hyperlink r:id="rId33" w:history="1">
        <w:r w:rsidRPr="00C66C5E">
          <w:rPr>
            <w:rStyle w:val="Hyperlink"/>
          </w:rPr>
          <w:t xml:space="preserve">TGA </w:t>
        </w:r>
        <w:r>
          <w:rPr>
            <w:rStyle w:val="Hyperlink"/>
          </w:rPr>
          <w:t xml:space="preserve">Ingredient </w:t>
        </w:r>
        <w:r w:rsidRPr="00C66C5E">
          <w:rPr>
            <w:rStyle w:val="Hyperlink"/>
          </w:rPr>
          <w:t>Database</w:t>
        </w:r>
      </w:hyperlink>
    </w:p>
    <w:p w14:paraId="12F558EA" w14:textId="77777777" w:rsidR="005F0424" w:rsidRPr="00E05C21" w:rsidRDefault="005F0424" w:rsidP="005F0424">
      <w:pPr>
        <w:pStyle w:val="ListBullet"/>
        <w:numPr>
          <w:ilvl w:val="0"/>
          <w:numId w:val="31"/>
        </w:numPr>
        <w:ind w:left="360"/>
        <w:rPr>
          <w:rStyle w:val="normaltextrun"/>
        </w:rPr>
      </w:pPr>
      <w:r w:rsidRPr="00E05C21">
        <w:t xml:space="preserve">there were no products in the </w:t>
      </w:r>
      <w:hyperlink r:id="rId34" w:history="1">
        <w:r w:rsidRPr="00293CCA">
          <w:rPr>
            <w:rStyle w:val="Hyperlink"/>
          </w:rPr>
          <w:t>Australian Register of Therapeutic Goods (ARTG)</w:t>
        </w:r>
      </w:hyperlink>
      <w:r w:rsidRPr="00E05C21">
        <w:t xml:space="preserve"> that contain </w:t>
      </w:r>
      <w:r w:rsidRPr="00E05C21">
        <w:rPr>
          <w:rStyle w:val="normaltextrun"/>
        </w:rPr>
        <w:t xml:space="preserve">2-amino-5-methylphenol </w:t>
      </w:r>
    </w:p>
    <w:p w14:paraId="6960B297" w14:textId="77777777" w:rsidR="005F0424" w:rsidRPr="00E05C21" w:rsidRDefault="005F0424" w:rsidP="005F0424">
      <w:pPr>
        <w:pStyle w:val="ListBullet"/>
        <w:numPr>
          <w:ilvl w:val="0"/>
          <w:numId w:val="31"/>
        </w:numPr>
        <w:ind w:left="360"/>
      </w:pPr>
      <w:r>
        <w:t>2</w:t>
      </w:r>
      <w:r w:rsidRPr="00CF36B2">
        <w:t>,3-</w:t>
      </w:r>
      <w:r>
        <w:t>p</w:t>
      </w:r>
      <w:r w:rsidRPr="00CF36B2">
        <w:t>yridinediamine, 6-methoxy-N2-methyl-, dihydrochloride</w:t>
      </w:r>
      <w:r w:rsidRPr="00480B69">
        <w:rPr>
          <w:rStyle w:val="normaltextrun"/>
          <w:rFonts w:asciiTheme="minorHAnsi" w:hAnsiTheme="minorHAnsi"/>
          <w:szCs w:val="22"/>
        </w:rPr>
        <w:t xml:space="preserve"> </w:t>
      </w:r>
      <w:r>
        <w:rPr>
          <w:rStyle w:val="normaltextrun"/>
          <w:rFonts w:asciiTheme="minorHAnsi" w:hAnsiTheme="minorHAnsi"/>
          <w:szCs w:val="22"/>
        </w:rPr>
        <w:t>wa</w:t>
      </w:r>
      <w:r w:rsidRPr="00E05C21">
        <w:t xml:space="preserve">s not included in the </w:t>
      </w:r>
      <w:hyperlink r:id="rId35" w:history="1">
        <w:r w:rsidRPr="00824CAC">
          <w:rPr>
            <w:rStyle w:val="Hyperlink"/>
          </w:rPr>
          <w:t>Therapeutic Goods (Permissible Ingredients) Determination</w:t>
        </w:r>
      </w:hyperlink>
      <w:r w:rsidRPr="00E05C21">
        <w:rPr>
          <w:rStyle w:val="Hyperlink"/>
          <w:color w:val="auto"/>
          <w:u w:val="none"/>
        </w:rPr>
        <w:t xml:space="preserve"> </w:t>
      </w:r>
      <w:r w:rsidRPr="00E05C21">
        <w:t xml:space="preserve">No.2 of 2020 and not permitted to be included in listed medicines </w:t>
      </w:r>
    </w:p>
    <w:p w14:paraId="3DB043CA" w14:textId="77777777" w:rsidR="005F0424" w:rsidRDefault="005F0424" w:rsidP="005F0424">
      <w:pPr>
        <w:pStyle w:val="ListBullet"/>
        <w:numPr>
          <w:ilvl w:val="0"/>
          <w:numId w:val="31"/>
        </w:numPr>
        <w:ind w:left="360"/>
      </w:pPr>
      <w:r>
        <w:t xml:space="preserve">there were no </w:t>
      </w:r>
      <w:r w:rsidRPr="00A30084">
        <w:t xml:space="preserve">warning statements pertaining </w:t>
      </w:r>
      <w:r>
        <w:t>to 2</w:t>
      </w:r>
      <w:r w:rsidRPr="00CF36B2">
        <w:t>,3-</w:t>
      </w:r>
      <w:r>
        <w:t>p</w:t>
      </w:r>
      <w:r w:rsidRPr="00CF36B2">
        <w:t>yridinediamine, 6-methoxy-N2-methyl-, dihydrochloride</w:t>
      </w:r>
      <w:r w:rsidRPr="00480B69">
        <w:rPr>
          <w:rStyle w:val="normaltextrun"/>
          <w:rFonts w:asciiTheme="minorHAnsi" w:hAnsiTheme="minorHAnsi"/>
          <w:szCs w:val="22"/>
        </w:rPr>
        <w:t xml:space="preserve"> </w:t>
      </w:r>
      <w:r>
        <w:t xml:space="preserve">in the </w:t>
      </w:r>
      <w:hyperlink r:id="rId36" w:history="1">
        <w:r w:rsidRPr="00AB7BF5">
          <w:rPr>
            <w:rStyle w:val="Hyperlink"/>
          </w:rPr>
          <w:t>Therapeutic Goods (Medicines Advisory Statements) Specification 2019</w:t>
        </w:r>
      </w:hyperlink>
    </w:p>
    <w:p w14:paraId="2E257CAB" w14:textId="27CC00C6" w:rsidR="005F0424" w:rsidRPr="00E05C21" w:rsidRDefault="005F0424" w:rsidP="005F0424">
      <w:pPr>
        <w:pStyle w:val="ListBullet"/>
        <w:numPr>
          <w:ilvl w:val="0"/>
          <w:numId w:val="31"/>
        </w:numPr>
        <w:ind w:left="360"/>
        <w:rPr>
          <w:rStyle w:val="Hyperlink"/>
          <w:color w:val="auto"/>
          <w:u w:val="none"/>
        </w:rPr>
      </w:pPr>
      <w:r w:rsidRPr="00E05C21">
        <w:t xml:space="preserve">no products containing </w:t>
      </w:r>
      <w:r>
        <w:t>2</w:t>
      </w:r>
      <w:r w:rsidRPr="00CF36B2">
        <w:t>,3-</w:t>
      </w:r>
      <w:r>
        <w:t>p</w:t>
      </w:r>
      <w:r w:rsidRPr="00CF36B2">
        <w:t>yridinediamine, 6-methoxy-N2-methyl-, dihydrochloride</w:t>
      </w:r>
      <w:r w:rsidRPr="00480B69">
        <w:rPr>
          <w:rStyle w:val="normaltextrun"/>
          <w:rFonts w:asciiTheme="minorHAnsi" w:hAnsiTheme="minorHAnsi"/>
          <w:szCs w:val="22"/>
        </w:rPr>
        <w:t xml:space="preserve"> </w:t>
      </w:r>
      <w:r w:rsidR="00AB21AD">
        <w:rPr>
          <w:rStyle w:val="normaltextrun"/>
          <w:rFonts w:asciiTheme="minorHAnsi" w:hAnsiTheme="minorHAnsi"/>
          <w:szCs w:val="22"/>
        </w:rPr>
        <w:t xml:space="preserve">as an active ingredient/constituent or scheduled substance </w:t>
      </w:r>
      <w:r>
        <w:rPr>
          <w:rStyle w:val="normaltextrun"/>
          <w:rFonts w:asciiTheme="minorHAnsi" w:hAnsiTheme="minorHAnsi"/>
          <w:szCs w:val="22"/>
        </w:rPr>
        <w:t xml:space="preserve">were </w:t>
      </w:r>
      <w:r w:rsidRPr="00E05C21">
        <w:t xml:space="preserve">listed </w:t>
      </w:r>
      <w:r>
        <w:t>i</w:t>
      </w:r>
      <w:r w:rsidRPr="00E05C21">
        <w:t xml:space="preserve">n the </w:t>
      </w:r>
      <w:hyperlink r:id="rId37" w:history="1">
        <w:r w:rsidRPr="00F0449C">
          <w:rPr>
            <w:rStyle w:val="Hyperlink"/>
          </w:rPr>
          <w:t>Public Chemical Registration Information System Search (P</w:t>
        </w:r>
        <w:r>
          <w:rPr>
            <w:rStyle w:val="Hyperlink"/>
          </w:rPr>
          <w:t>ub</w:t>
        </w:r>
        <w:r w:rsidRPr="00F0449C">
          <w:rPr>
            <w:rStyle w:val="Hyperlink"/>
          </w:rPr>
          <w:t>CRIS)</w:t>
        </w:r>
      </w:hyperlink>
    </w:p>
    <w:p w14:paraId="6F2C6F41" w14:textId="77777777" w:rsidR="005F0424" w:rsidRPr="0074073C" w:rsidRDefault="005F0424" w:rsidP="005F0424">
      <w:pPr>
        <w:pStyle w:val="ListBullet"/>
        <w:numPr>
          <w:ilvl w:val="0"/>
          <w:numId w:val="0"/>
        </w:numPr>
      </w:pPr>
      <w:r>
        <w:t xml:space="preserve">There were </w:t>
      </w:r>
      <w:r w:rsidRPr="00A02687">
        <w:t xml:space="preserve">no adverse experiences recorded for </w:t>
      </w:r>
      <w:r>
        <w:t>2</w:t>
      </w:r>
      <w:r w:rsidRPr="00CF36B2">
        <w:t>,3-</w:t>
      </w:r>
      <w:r>
        <w:t>p</w:t>
      </w:r>
      <w:r w:rsidRPr="00CF36B2">
        <w:t>yridinediamine, 6-methoxy-N2-methyl-, dihydrochloride</w:t>
      </w:r>
      <w:r w:rsidRPr="00480B69">
        <w:rPr>
          <w:rStyle w:val="normaltextrun"/>
          <w:rFonts w:asciiTheme="minorHAnsi" w:hAnsiTheme="minorHAnsi"/>
          <w:szCs w:val="22"/>
        </w:rPr>
        <w:t xml:space="preserve"> </w:t>
      </w:r>
      <w:r w:rsidRPr="00A02687">
        <w:t xml:space="preserve">in the </w:t>
      </w:r>
      <w:hyperlink r:id="rId38" w:history="1">
        <w:r w:rsidRPr="00A02687">
          <w:rPr>
            <w:rStyle w:val="Hyperlink"/>
          </w:rPr>
          <w:t>APVMA Adverse Experience Reporting Program</w:t>
        </w:r>
      </w:hyperlink>
      <w:r w:rsidRPr="0074073C">
        <w:t xml:space="preserve"> </w:t>
      </w:r>
      <w:r>
        <w:t xml:space="preserve">database, between 2010 and 2020. </w:t>
      </w:r>
    </w:p>
    <w:p w14:paraId="16B5073A" w14:textId="77777777" w:rsidR="005F0424" w:rsidRPr="00CB687C" w:rsidRDefault="005F0424" w:rsidP="005F0424">
      <w:pPr>
        <w:pStyle w:val="Heading4"/>
      </w:pPr>
      <w:bookmarkStart w:id="31" w:name="_Toc71182220"/>
      <w:r>
        <w:t>International regulations</w:t>
      </w:r>
      <w:bookmarkEnd w:id="31"/>
    </w:p>
    <w:p w14:paraId="39E3043A" w14:textId="77777777" w:rsidR="005F0424" w:rsidRDefault="005F0424" w:rsidP="005F0424">
      <w:pPr>
        <w:rPr>
          <w:rStyle w:val="normaltextrun"/>
        </w:rPr>
      </w:pPr>
      <w:r>
        <w:t>As of April 2021, 2</w:t>
      </w:r>
      <w:r w:rsidRPr="00CF36B2">
        <w:t>,3-</w:t>
      </w:r>
      <w:r>
        <w:t>p</w:t>
      </w:r>
      <w:r w:rsidRPr="00CF36B2">
        <w:t>yridinediamine, 6-methoxy-N2-methyl-, dihydrochloride</w:t>
      </w:r>
      <w:r>
        <w:rPr>
          <w:rStyle w:val="normaltextrun"/>
        </w:rPr>
        <w:t>:</w:t>
      </w:r>
    </w:p>
    <w:p w14:paraId="5525FBD6" w14:textId="77777777" w:rsidR="005F0424" w:rsidRDefault="005F0424" w:rsidP="005F0424">
      <w:pPr>
        <w:pStyle w:val="ListBullet"/>
        <w:numPr>
          <w:ilvl w:val="0"/>
          <w:numId w:val="22"/>
        </w:numPr>
        <w:spacing w:line="240" w:lineRule="auto"/>
      </w:pPr>
      <w:r>
        <w:t xml:space="preserve">was not in the </w:t>
      </w:r>
      <w:hyperlink r:id="rId39" w:history="1">
        <w:r w:rsidRPr="00CC6398">
          <w:rPr>
            <w:rStyle w:val="Hyperlink"/>
          </w:rPr>
          <w:t>WHO Model List of Essential Medicines 2019</w:t>
        </w:r>
      </w:hyperlink>
      <w:r>
        <w:t xml:space="preserve"> or </w:t>
      </w:r>
      <w:r w:rsidRPr="00071199">
        <w:t>United States Food and Drug Administration Approved Drug Products Database (</w:t>
      </w:r>
      <w:hyperlink r:id="rId40" w:history="1">
        <w:r w:rsidRPr="00071199">
          <w:rPr>
            <w:rStyle w:val="Hyperlink"/>
          </w:rPr>
          <w:t>Drugs@FDA</w:t>
        </w:r>
      </w:hyperlink>
      <w:r w:rsidRPr="00071199">
        <w:t>)</w:t>
      </w:r>
    </w:p>
    <w:p w14:paraId="2D3B279F" w14:textId="0CE9DECD" w:rsidR="005F0424" w:rsidRDefault="005F0424" w:rsidP="005F0424">
      <w:pPr>
        <w:pStyle w:val="ListBullet"/>
        <w:numPr>
          <w:ilvl w:val="0"/>
          <w:numId w:val="22"/>
        </w:numPr>
        <w:spacing w:line="240" w:lineRule="auto"/>
      </w:pPr>
      <w:r>
        <w:t xml:space="preserve">was in the </w:t>
      </w:r>
      <w:hyperlink r:id="rId41" w:history="1">
        <w:r w:rsidRPr="00C81411">
          <w:rPr>
            <w:rStyle w:val="Hyperlink"/>
          </w:rPr>
          <w:t>European Commission database for information on cosm</w:t>
        </w:r>
        <w:r>
          <w:rPr>
            <w:rStyle w:val="Hyperlink"/>
          </w:rPr>
          <w:t>etic substances and ingredients</w:t>
        </w:r>
      </w:hyperlink>
      <w:r>
        <w:t xml:space="preserve">. The </w:t>
      </w:r>
      <w:r w:rsidR="001F1A53">
        <w:t>SCCP</w:t>
      </w:r>
      <w:r>
        <w:t xml:space="preserve"> </w:t>
      </w:r>
      <w:hyperlink r:id="rId42" w:history="1">
        <w:r>
          <w:rPr>
            <w:rStyle w:val="Hyperlink"/>
          </w:rPr>
          <w:t>opinion on 2,3-pyridinediamine, 6-methoxy-N2-methyl-, dihydrochloride</w:t>
        </w:r>
      </w:hyperlink>
      <w:r>
        <w:t xml:space="preserve"> is that </w:t>
      </w:r>
      <w:r w:rsidRPr="007D499A">
        <w:t>the use of the chemical as an oxidative and non-oxidative hair dye ingredient at a maximum on-head concentration of 1.0 % does not pose a risk to the health of the consumer.</w:t>
      </w:r>
    </w:p>
    <w:p w14:paraId="516BC14C" w14:textId="77777777" w:rsidR="005F0424" w:rsidRDefault="005F0424" w:rsidP="005F0424">
      <w:pPr>
        <w:pStyle w:val="ListBullet"/>
        <w:numPr>
          <w:ilvl w:val="0"/>
          <w:numId w:val="22"/>
        </w:numPr>
        <w:spacing w:line="240" w:lineRule="auto"/>
      </w:pPr>
      <w:r>
        <w:t xml:space="preserve">is not in the </w:t>
      </w:r>
      <w:hyperlink r:id="rId43" w:history="1">
        <w:r w:rsidRPr="000B75D5">
          <w:rPr>
            <w:rStyle w:val="Hyperlink"/>
          </w:rPr>
          <w:t>Canadian (Health Canada) Drug Product Database</w:t>
        </w:r>
      </w:hyperlink>
      <w:r>
        <w:rPr>
          <w:rStyle w:val="Hyperlink"/>
        </w:rPr>
        <w:t xml:space="preserve"> </w:t>
      </w:r>
      <w:r>
        <w:t>or</w:t>
      </w:r>
      <w:r>
        <w:rPr>
          <w:rStyle w:val="Hyperlink"/>
        </w:rPr>
        <w:t xml:space="preserve"> </w:t>
      </w:r>
      <w:hyperlink r:id="rId44" w:history="1">
        <w:r w:rsidRPr="002150D3">
          <w:rPr>
            <w:rStyle w:val="Hyperlink"/>
          </w:rPr>
          <w:t>Health Products Regulatory Authority of Ireland</w:t>
        </w:r>
      </w:hyperlink>
      <w:r>
        <w:rPr>
          <w:rStyle w:val="Hyperlink"/>
        </w:rPr>
        <w:t xml:space="preserve"> </w:t>
      </w:r>
      <w:r w:rsidRPr="004F32F6">
        <w:t>database</w:t>
      </w:r>
    </w:p>
    <w:p w14:paraId="2DE365D7" w14:textId="77777777" w:rsidR="005F0424" w:rsidRDefault="005F0424" w:rsidP="005F0424">
      <w:pPr>
        <w:pStyle w:val="ListBullet"/>
        <w:numPr>
          <w:ilvl w:val="0"/>
          <w:numId w:val="22"/>
        </w:numPr>
        <w:spacing w:line="240" w:lineRule="auto"/>
      </w:pPr>
      <w:r>
        <w:lastRenderedPageBreak/>
        <w:t xml:space="preserve">was added to the </w:t>
      </w:r>
      <w:hyperlink r:id="rId45" w:tgtFrame="_blank" w:tooltip="link to the NZ EPA website" w:history="1">
        <w:r w:rsidRPr="00571015">
          <w:rPr>
            <w:rStyle w:val="Hyperlink"/>
          </w:rPr>
          <w:t>New Zealand Inventory of Chemicals (NZIoC)</w:t>
        </w:r>
      </w:hyperlink>
      <w:r>
        <w:rPr>
          <w:vertAlign w:val="superscript"/>
        </w:rPr>
        <w:t xml:space="preserve"> </w:t>
      </w:r>
      <w:r>
        <w:t>on 1 December 2006</w:t>
      </w:r>
    </w:p>
    <w:p w14:paraId="07C6ABCC" w14:textId="6C8ACA2A" w:rsidR="005F0424" w:rsidRDefault="005F0424" w:rsidP="005F0424">
      <w:pPr>
        <w:pStyle w:val="ListBullet"/>
        <w:numPr>
          <w:ilvl w:val="0"/>
          <w:numId w:val="22"/>
        </w:numPr>
        <w:spacing w:line="240" w:lineRule="auto"/>
      </w:pPr>
      <w:r>
        <w:t xml:space="preserve">is not entered in the </w:t>
      </w:r>
      <w:hyperlink r:id="rId46" w:tgtFrame="_blank" w:tooltip="link to the Medsafe website" w:history="1">
        <w:r w:rsidRPr="00924083">
          <w:rPr>
            <w:rStyle w:val="Hyperlink"/>
          </w:rPr>
          <w:t>New Zealand Medicines and Medical Devices Safety Authority (MedSafe</w:t>
        </w:r>
      </w:hyperlink>
      <w:r>
        <w:rPr>
          <w:rStyle w:val="Hyperlink"/>
        </w:rPr>
        <w:t>)</w:t>
      </w:r>
      <w:r w:rsidR="00CF6C9B" w:rsidRPr="00CF6C9B">
        <w:rPr>
          <w:rStyle w:val="Hyperlink"/>
          <w:color w:val="auto"/>
          <w:u w:val="none"/>
        </w:rPr>
        <w:t xml:space="preserve"> </w:t>
      </w:r>
      <w:r w:rsidR="00CF6C9B">
        <w:rPr>
          <w:rStyle w:val="Hyperlink"/>
          <w:color w:val="auto"/>
          <w:u w:val="none"/>
        </w:rPr>
        <w:t>Medicines Classification Database.</w:t>
      </w:r>
    </w:p>
    <w:p w14:paraId="6BB9578C" w14:textId="6D93817E" w:rsidR="005F0424" w:rsidRPr="005F18DC" w:rsidRDefault="005F0424" w:rsidP="005F0424">
      <w:pPr>
        <w:pStyle w:val="Heading3"/>
      </w:pPr>
      <w:bookmarkStart w:id="32" w:name="_Toc71182221"/>
      <w:r>
        <w:t>Eugenol</w:t>
      </w:r>
      <w:bookmarkEnd w:id="32"/>
      <w:r>
        <w:t xml:space="preserve"> </w:t>
      </w:r>
    </w:p>
    <w:p w14:paraId="406076AB" w14:textId="77777777" w:rsidR="005F0424" w:rsidRDefault="005F0424" w:rsidP="005F0424">
      <w:pPr>
        <w:pStyle w:val="Heading4"/>
      </w:pPr>
      <w:bookmarkStart w:id="33" w:name="_Toc71182222"/>
      <w:r>
        <w:t>Proposal</w:t>
      </w:r>
      <w:bookmarkEnd w:id="33"/>
    </w:p>
    <w:p w14:paraId="4FB54BAC" w14:textId="1D7262D5" w:rsidR="005F0424" w:rsidRDefault="008637DD" w:rsidP="005F0424">
      <w:r>
        <w:t xml:space="preserve">The </w:t>
      </w:r>
      <w:r w:rsidR="00062AFC" w:rsidRPr="00A51C8F">
        <w:t>Delegate of the Secretary of the Commonwealth Department of Health</w:t>
      </w:r>
      <w:r w:rsidR="00062AFC">
        <w:t xml:space="preserve"> (the Delegate) </w:t>
      </w:r>
      <w:r>
        <w:t xml:space="preserve"> proposes to a</w:t>
      </w:r>
      <w:r w:rsidR="005F0424">
        <w:t>mend the current Schedule  6 entr</w:t>
      </w:r>
      <w:r w:rsidR="00EC720E">
        <w:t>y</w:t>
      </w:r>
      <w:r w:rsidR="005F0424">
        <w:t xml:space="preserve"> for eugenol to reduce concentration cut-offs for cosmetic preparations intended for skin contact</w:t>
      </w:r>
      <w:r w:rsidR="00EC720E">
        <w:t>, depending on whether the product will be rinsed off or not</w:t>
      </w:r>
      <w:r w:rsidR="005F0424">
        <w:t>.</w:t>
      </w:r>
    </w:p>
    <w:p w14:paraId="7924DF3F" w14:textId="77777777" w:rsidR="005F0424" w:rsidRDefault="005F0424" w:rsidP="005F0424">
      <w:pPr>
        <w:pStyle w:val="Heading4"/>
      </w:pPr>
      <w:bookmarkStart w:id="34" w:name="_Toc71182223"/>
      <w:r>
        <w:t>CAS Number:</w:t>
      </w:r>
      <w:bookmarkEnd w:id="34"/>
    </w:p>
    <w:p w14:paraId="169564F5" w14:textId="77777777" w:rsidR="005F0424" w:rsidRDefault="005F0424" w:rsidP="005F0424">
      <w:pPr>
        <w:jc w:val="both"/>
      </w:pPr>
      <w:r w:rsidRPr="003B75DA">
        <w:t>97-53-0</w:t>
      </w:r>
    </w:p>
    <w:p w14:paraId="7C4EC239" w14:textId="77777777" w:rsidR="005F0424" w:rsidRDefault="005F0424" w:rsidP="005F0424">
      <w:pPr>
        <w:pStyle w:val="Heading4"/>
      </w:pPr>
      <w:bookmarkStart w:id="35" w:name="_Toc71182224"/>
      <w:r>
        <w:t>Alternative names</w:t>
      </w:r>
      <w:bookmarkEnd w:id="35"/>
    </w:p>
    <w:p w14:paraId="747DFFE3" w14:textId="57B35B02" w:rsidR="005F0424" w:rsidRDefault="005F0424" w:rsidP="005F0424">
      <w:pPr>
        <w:rPr>
          <w:b/>
          <w:bCs/>
        </w:rPr>
      </w:pPr>
      <w:r w:rsidRPr="003B75DA">
        <w:t>2-</w:t>
      </w:r>
      <w:r>
        <w:t xml:space="preserve">Methoxy-4-(2-propen-1-yl)phenol; </w:t>
      </w:r>
      <w:r w:rsidRPr="003B75DA">
        <w:t>4-allyl-2-methoxyphenol; allylguaiacol; eugenic acid; caryophyllic acid</w:t>
      </w:r>
      <w:r w:rsidR="00196568">
        <w:t>, clove oil.</w:t>
      </w:r>
    </w:p>
    <w:p w14:paraId="2B8E3E70" w14:textId="77777777" w:rsidR="005F0424" w:rsidRDefault="005F0424" w:rsidP="005F0424">
      <w:pPr>
        <w:pStyle w:val="Heading4"/>
      </w:pPr>
      <w:bookmarkStart w:id="36" w:name="_Toc71182225"/>
      <w:r>
        <w:t>Current scheduling</w:t>
      </w:r>
      <w:bookmarkEnd w:id="36"/>
    </w:p>
    <w:p w14:paraId="0AFE1C18" w14:textId="77777777" w:rsidR="005F0424" w:rsidRDefault="005F0424" w:rsidP="005F0424">
      <w:r>
        <w:t>Eugenol is currently covered under Schedules 5 and 6 of the Poisons Standard as follows:</w:t>
      </w:r>
    </w:p>
    <w:p w14:paraId="34967C94" w14:textId="77777777" w:rsidR="005F0424" w:rsidRPr="003B75DA" w:rsidRDefault="005F0424" w:rsidP="005F0424">
      <w:pPr>
        <w:ind w:firstLine="720"/>
        <w:rPr>
          <w:b/>
        </w:rPr>
      </w:pPr>
      <w:r w:rsidRPr="003B75DA">
        <w:rPr>
          <w:b/>
        </w:rPr>
        <w:t xml:space="preserve">Schedule 6 </w:t>
      </w:r>
    </w:p>
    <w:p w14:paraId="0C360ED0" w14:textId="77777777" w:rsidR="005F0424" w:rsidRDefault="005F0424" w:rsidP="005F0424">
      <w:pPr>
        <w:ind w:firstLine="720"/>
      </w:pPr>
      <w:r>
        <w:t xml:space="preserve">EUGENOL </w:t>
      </w:r>
      <w:r w:rsidRPr="003B75DA">
        <w:rPr>
          <w:b/>
        </w:rPr>
        <w:t>except</w:t>
      </w:r>
      <w:r>
        <w:t>:</w:t>
      </w:r>
    </w:p>
    <w:p w14:paraId="10E2FB43" w14:textId="77777777" w:rsidR="005F0424" w:rsidRDefault="005F0424" w:rsidP="005F0424">
      <w:pPr>
        <w:ind w:firstLine="720"/>
      </w:pPr>
      <w:r>
        <w:t>a)    when included in Schedule 5;</w:t>
      </w:r>
    </w:p>
    <w:p w14:paraId="6ECDE791" w14:textId="77777777" w:rsidR="005F0424" w:rsidRDefault="005F0424" w:rsidP="005F0424">
      <w:pPr>
        <w:ind w:left="720"/>
      </w:pPr>
      <w:r>
        <w:t>b)    in medicines for human therapeutic use, when packed in containers having a nominal capacity of 15 mL or less fitted with a restricted flow insert and compliant with the requirements of the Required Advisory Statements for Medicine Labels;</w:t>
      </w:r>
    </w:p>
    <w:p w14:paraId="6C39A8A6" w14:textId="77777777" w:rsidR="005F0424" w:rsidRDefault="005F0424" w:rsidP="005F0424">
      <w:pPr>
        <w:ind w:left="720"/>
      </w:pPr>
      <w:r>
        <w:t>c)    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7B07D59F" w14:textId="77777777" w:rsidR="005F0424" w:rsidRDefault="005F0424" w:rsidP="005F0424">
      <w:pPr>
        <w:ind w:left="720"/>
      </w:pPr>
      <w:r>
        <w:t>d)    in preparations other than medicines for human therapeutic use, when packed in containers having a nominal capacity of 15 mL or less fitted with a restricted flow insert and labelled with the warnings:</w:t>
      </w:r>
    </w:p>
    <w:p w14:paraId="769B358F" w14:textId="686B15B2" w:rsidR="005F0424" w:rsidRDefault="005F0424" w:rsidP="00F13518">
      <w:pPr>
        <w:pStyle w:val="Normal-hanging"/>
      </w:pPr>
      <w:r>
        <w:t>KEEP OUT OF REACH OF CHILDREN; and</w:t>
      </w:r>
    </w:p>
    <w:p w14:paraId="3B62B871" w14:textId="7FDFB243" w:rsidR="005F0424" w:rsidRPr="00F13518" w:rsidRDefault="005F0424" w:rsidP="00F13518">
      <w:pPr>
        <w:pStyle w:val="Normal-hanging"/>
      </w:pPr>
      <w:r w:rsidRPr="00F13518">
        <w:t>NOT TO BE TAKEN;</w:t>
      </w:r>
    </w:p>
    <w:p w14:paraId="554AACE1" w14:textId="77777777" w:rsidR="005F0424" w:rsidRDefault="005F0424" w:rsidP="005F0424">
      <w:pPr>
        <w:ind w:left="720"/>
      </w:pPr>
      <w:r>
        <w:t>e)    in preparations other than medicines for human therapeutic use, when packed in containers having a nominal capacity of 25 mL or less fitted with a restricted flow insert and a child-resistant closure and labelled with the warnings:</w:t>
      </w:r>
    </w:p>
    <w:p w14:paraId="2CD707CF" w14:textId="1DCF3C59" w:rsidR="005F0424" w:rsidRDefault="005F0424" w:rsidP="00F13518">
      <w:pPr>
        <w:pStyle w:val="Normal-hanging"/>
      </w:pPr>
      <w:r>
        <w:t>KEEP OUT OF REACH OF CHILDREN; and</w:t>
      </w:r>
    </w:p>
    <w:p w14:paraId="50536265" w14:textId="332A2175" w:rsidR="005F0424" w:rsidRDefault="005F0424" w:rsidP="00F13518">
      <w:pPr>
        <w:pStyle w:val="Normal-hanging"/>
      </w:pPr>
      <w:r>
        <w:lastRenderedPageBreak/>
        <w:t>NOT TO BE TAKEN; or</w:t>
      </w:r>
    </w:p>
    <w:p w14:paraId="29F2A07F" w14:textId="77777777" w:rsidR="005F0424" w:rsidRDefault="005F0424" w:rsidP="005F0424">
      <w:pPr>
        <w:ind w:firstLine="720"/>
      </w:pPr>
      <w:r>
        <w:t>f)     in preparations containing 25 per cent or less of eugenol.</w:t>
      </w:r>
    </w:p>
    <w:p w14:paraId="658A86AD" w14:textId="4B4B237B" w:rsidR="00E4033D" w:rsidRPr="003B75DA" w:rsidRDefault="00E4033D" w:rsidP="00E4033D">
      <w:pPr>
        <w:ind w:firstLine="720"/>
        <w:rPr>
          <w:b/>
        </w:rPr>
      </w:pPr>
      <w:r w:rsidRPr="003B75DA">
        <w:rPr>
          <w:b/>
        </w:rPr>
        <w:t xml:space="preserve">Schedule 5 </w:t>
      </w:r>
    </w:p>
    <w:p w14:paraId="0CC35F9B" w14:textId="77449175" w:rsidR="00E4033D" w:rsidRDefault="00E4033D" w:rsidP="00147B1C">
      <w:pPr>
        <w:ind w:left="720"/>
      </w:pPr>
      <w:r>
        <w:t xml:space="preserve">EUGENOL for topical use in the mouth in a pack containing 5 mL or less of eugenol </w:t>
      </w:r>
      <w:r w:rsidRPr="00C57F1C">
        <w:rPr>
          <w:b/>
        </w:rPr>
        <w:t>except</w:t>
      </w:r>
      <w:r>
        <w:t xml:space="preserve"> in preparations containing 25 per cent or less of eugenol.</w:t>
      </w:r>
    </w:p>
    <w:p w14:paraId="5C03FFE0" w14:textId="316F0FF1" w:rsidR="005F0424" w:rsidRPr="00C57F1C" w:rsidRDefault="005F0424" w:rsidP="00147B1C">
      <w:pPr>
        <w:ind w:firstLine="720"/>
        <w:rPr>
          <w:b/>
        </w:rPr>
      </w:pPr>
      <w:r>
        <w:rPr>
          <w:b/>
        </w:rPr>
        <w:t>Appendix E, Part 2</w:t>
      </w:r>
    </w:p>
    <w:tbl>
      <w:tblPr>
        <w:tblStyle w:val="TableTGAblue"/>
        <w:tblW w:w="0" w:type="auto"/>
        <w:tblLook w:val="04A0" w:firstRow="1" w:lastRow="0" w:firstColumn="1" w:lastColumn="0" w:noHBand="0" w:noVBand="1"/>
      </w:tblPr>
      <w:tblGrid>
        <w:gridCol w:w="5486"/>
        <w:gridCol w:w="3008"/>
      </w:tblGrid>
      <w:tr w:rsidR="005F0424" w14:paraId="4081CFCE" w14:textId="77777777" w:rsidTr="00063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6" w:type="dxa"/>
            <w:hideMark/>
          </w:tcPr>
          <w:p w14:paraId="207C291E" w14:textId="77777777" w:rsidR="005F0424" w:rsidRDefault="005F0424" w:rsidP="005F0424">
            <w:pPr>
              <w:rPr>
                <w:b w:val="0"/>
              </w:rPr>
            </w:pPr>
            <w:r>
              <w:rPr>
                <w:b w:val="0"/>
              </w:rPr>
              <w:t>POISON</w:t>
            </w:r>
          </w:p>
        </w:tc>
        <w:tc>
          <w:tcPr>
            <w:tcW w:w="3008" w:type="dxa"/>
            <w:hideMark/>
          </w:tcPr>
          <w:p w14:paraId="56421739" w14:textId="77777777" w:rsidR="005F0424" w:rsidRDefault="005F0424" w:rsidP="005F0424">
            <w:pPr>
              <w:cnfStyle w:val="100000000000" w:firstRow="1" w:lastRow="0" w:firstColumn="0" w:lastColumn="0" w:oddVBand="0" w:evenVBand="0" w:oddHBand="0" w:evenHBand="0" w:firstRowFirstColumn="0" w:firstRowLastColumn="0" w:lastRowFirstColumn="0" w:lastRowLastColumn="0"/>
              <w:rPr>
                <w:b w:val="0"/>
              </w:rPr>
            </w:pPr>
            <w:r>
              <w:rPr>
                <w:b w:val="0"/>
              </w:rPr>
              <w:t>STANDARD STATEMENTS</w:t>
            </w:r>
          </w:p>
        </w:tc>
      </w:tr>
      <w:tr w:rsidR="005F0424" w14:paraId="326F5556" w14:textId="77777777" w:rsidTr="00063495">
        <w:tc>
          <w:tcPr>
            <w:cnfStyle w:val="001000000000" w:firstRow="0" w:lastRow="0" w:firstColumn="1" w:lastColumn="0" w:oddVBand="0" w:evenVBand="0" w:oddHBand="0" w:evenHBand="0" w:firstRowFirstColumn="0" w:firstRowLastColumn="0" w:lastRowFirstColumn="0" w:lastRowLastColumn="0"/>
            <w:tcW w:w="5486" w:type="dxa"/>
            <w:hideMark/>
          </w:tcPr>
          <w:p w14:paraId="4F0DF378" w14:textId="77777777" w:rsidR="005F0424" w:rsidRDefault="005F0424" w:rsidP="005F0424">
            <w:pPr>
              <w:pStyle w:val="ListBullet"/>
              <w:numPr>
                <w:ilvl w:val="0"/>
                <w:numId w:val="0"/>
              </w:numPr>
              <w:ind w:left="360" w:hanging="360"/>
            </w:pPr>
            <w:r>
              <w:t>EUGENOL</w:t>
            </w:r>
          </w:p>
        </w:tc>
        <w:tc>
          <w:tcPr>
            <w:tcW w:w="3008" w:type="dxa"/>
            <w:hideMark/>
          </w:tcPr>
          <w:p w14:paraId="65421011" w14:textId="77777777" w:rsidR="005F0424" w:rsidRDefault="005F0424" w:rsidP="005F0424">
            <w:pPr>
              <w:cnfStyle w:val="000000000000" w:firstRow="0" w:lastRow="0" w:firstColumn="0" w:lastColumn="0" w:oddVBand="0" w:evenVBand="0" w:oddHBand="0" w:evenHBand="0" w:firstRowFirstColumn="0" w:firstRowLastColumn="0" w:lastRowFirstColumn="0" w:lastRowLastColumn="0"/>
            </w:pPr>
            <w:r w:rsidRPr="00C57F1C">
              <w:t>A,G1,G3,E2</w:t>
            </w:r>
          </w:p>
        </w:tc>
      </w:tr>
      <w:tr w:rsidR="005F0424" w:rsidRPr="00A07139" w14:paraId="1E1B094C" w14:textId="77777777" w:rsidTr="00063495">
        <w:tc>
          <w:tcPr>
            <w:cnfStyle w:val="001000000000" w:firstRow="0" w:lastRow="0" w:firstColumn="1" w:lastColumn="0" w:oddVBand="0" w:evenVBand="0" w:oddHBand="0" w:evenHBand="0" w:firstRowFirstColumn="0" w:firstRowLastColumn="0" w:lastRowFirstColumn="0" w:lastRowLastColumn="0"/>
            <w:tcW w:w="8494" w:type="dxa"/>
            <w:gridSpan w:val="2"/>
          </w:tcPr>
          <w:p w14:paraId="74299310" w14:textId="77777777" w:rsidR="005F0424" w:rsidRDefault="005F0424" w:rsidP="005F0424">
            <w:pPr>
              <w:rPr>
                <w:sz w:val="20"/>
              </w:rPr>
            </w:pPr>
            <w:r>
              <w:rPr>
                <w:b/>
                <w:sz w:val="20"/>
              </w:rPr>
              <w:t xml:space="preserve">A </w:t>
            </w:r>
            <w:r>
              <w:rPr>
                <w:sz w:val="20"/>
              </w:rPr>
              <w:t xml:space="preserve">– </w:t>
            </w:r>
            <w:r w:rsidRPr="00C57F1C">
              <w:rPr>
                <w:sz w:val="20"/>
              </w:rPr>
              <w:t>For advice, contact a Poisons Information Centre (e.g. phone Australia 13 11 26; New Zealand 0800 764 766) or a doctor (at once).</w:t>
            </w:r>
          </w:p>
          <w:p w14:paraId="79FBD04F" w14:textId="77777777" w:rsidR="005F0424" w:rsidRPr="00C57F1C" w:rsidRDefault="005F0424" w:rsidP="005F0424">
            <w:pPr>
              <w:rPr>
                <w:sz w:val="20"/>
              </w:rPr>
            </w:pPr>
            <w:r>
              <w:rPr>
                <w:b/>
                <w:sz w:val="20"/>
              </w:rPr>
              <w:t xml:space="preserve">G1 </w:t>
            </w:r>
            <w:r>
              <w:rPr>
                <w:sz w:val="20"/>
              </w:rPr>
              <w:t xml:space="preserve">– </w:t>
            </w:r>
            <w:r w:rsidRPr="00C57F1C">
              <w:rPr>
                <w:sz w:val="20"/>
              </w:rPr>
              <w:t>Urgent hospital tre</w:t>
            </w:r>
            <w:r>
              <w:rPr>
                <w:sz w:val="20"/>
              </w:rPr>
              <w:t xml:space="preserve">atment is likely to be needed. </w:t>
            </w:r>
          </w:p>
          <w:p w14:paraId="4C735E82" w14:textId="77777777" w:rsidR="005F0424" w:rsidRDefault="005F0424" w:rsidP="005F0424">
            <w:pPr>
              <w:rPr>
                <w:sz w:val="20"/>
              </w:rPr>
            </w:pPr>
            <w:r w:rsidRPr="00C57F1C">
              <w:rPr>
                <w:sz w:val="20"/>
              </w:rPr>
              <w:t>(Note - the words ‘at once’</w:t>
            </w:r>
            <w:r>
              <w:rPr>
                <w:sz w:val="20"/>
              </w:rPr>
              <w:t xml:space="preserve"> to be added to instruction A).</w:t>
            </w:r>
          </w:p>
          <w:p w14:paraId="00FD8C27" w14:textId="77777777" w:rsidR="005F0424" w:rsidRDefault="005F0424" w:rsidP="005F0424">
            <w:pPr>
              <w:rPr>
                <w:sz w:val="20"/>
              </w:rPr>
            </w:pPr>
            <w:r>
              <w:rPr>
                <w:b/>
                <w:sz w:val="20"/>
              </w:rPr>
              <w:t xml:space="preserve">G3 </w:t>
            </w:r>
            <w:r>
              <w:rPr>
                <w:sz w:val="20"/>
              </w:rPr>
              <w:t xml:space="preserve">– </w:t>
            </w:r>
            <w:r w:rsidRPr="00C57F1C">
              <w:rPr>
                <w:sz w:val="20"/>
              </w:rPr>
              <w:t>If swallowed, do NOT induce vomiting.</w:t>
            </w:r>
          </w:p>
          <w:p w14:paraId="19F66F5D" w14:textId="77777777" w:rsidR="005F0424" w:rsidRPr="00C57F1C" w:rsidRDefault="005F0424" w:rsidP="005F0424">
            <w:pPr>
              <w:rPr>
                <w:sz w:val="20"/>
              </w:rPr>
            </w:pPr>
            <w:r w:rsidRPr="00C57F1C">
              <w:rPr>
                <w:b/>
                <w:sz w:val="20"/>
              </w:rPr>
              <w:t>E2</w:t>
            </w:r>
            <w:r>
              <w:rPr>
                <w:b/>
                <w:sz w:val="20"/>
              </w:rPr>
              <w:t xml:space="preserve"> </w:t>
            </w:r>
            <w:r>
              <w:rPr>
                <w:sz w:val="20"/>
              </w:rPr>
              <w:t xml:space="preserve">– </w:t>
            </w:r>
            <w:r w:rsidRPr="00C57F1C">
              <w:rPr>
                <w:sz w:val="20"/>
              </w:rPr>
              <w:t>If in eyes, hold eyelids apart and flush the eye continuously with running water. Continue flushing until advised to stop by a Poisons Information Centre (e.g. phone Australia 13 11 26; New Zealand 0800 764 766) or a doctor, or for at least 15 minutes.</w:t>
            </w:r>
          </w:p>
        </w:tc>
      </w:tr>
    </w:tbl>
    <w:p w14:paraId="0E4064AB" w14:textId="77777777" w:rsidR="005F0424" w:rsidRDefault="005F0424" w:rsidP="005F0424">
      <w:pPr>
        <w:rPr>
          <w:b/>
        </w:rPr>
      </w:pPr>
      <w:r>
        <w:tab/>
      </w:r>
      <w:r>
        <w:rPr>
          <w:b/>
        </w:rPr>
        <w:t>Appendix F, Part 3</w:t>
      </w:r>
    </w:p>
    <w:tbl>
      <w:tblPr>
        <w:tblStyle w:val="TableTGAblue"/>
        <w:tblW w:w="0" w:type="auto"/>
        <w:tblLook w:val="04A0" w:firstRow="1" w:lastRow="0" w:firstColumn="1" w:lastColumn="0" w:noHBand="0" w:noVBand="1"/>
      </w:tblPr>
      <w:tblGrid>
        <w:gridCol w:w="5415"/>
        <w:gridCol w:w="1646"/>
        <w:gridCol w:w="1659"/>
      </w:tblGrid>
      <w:tr w:rsidR="005F0424" w:rsidRPr="00C57F1C" w14:paraId="3C9B3A79" w14:textId="77777777" w:rsidTr="00063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hideMark/>
          </w:tcPr>
          <w:p w14:paraId="5762AADB" w14:textId="77777777" w:rsidR="005F0424" w:rsidRPr="00C57F1C" w:rsidRDefault="005F0424" w:rsidP="005F0424">
            <w:pPr>
              <w:rPr>
                <w:b w:val="0"/>
              </w:rPr>
            </w:pPr>
            <w:r w:rsidRPr="00C57F1C">
              <w:rPr>
                <w:b w:val="0"/>
              </w:rPr>
              <w:t>POISON</w:t>
            </w:r>
          </w:p>
        </w:tc>
        <w:tc>
          <w:tcPr>
            <w:tcW w:w="1646" w:type="dxa"/>
            <w:hideMark/>
          </w:tcPr>
          <w:p w14:paraId="7F4174A0" w14:textId="77777777" w:rsidR="005F0424" w:rsidRPr="00C57F1C" w:rsidRDefault="005F0424" w:rsidP="005F0424">
            <w:pPr>
              <w:jc w:val="center"/>
              <w:cnfStyle w:val="100000000000" w:firstRow="1" w:lastRow="0" w:firstColumn="0" w:lastColumn="0" w:oddVBand="0" w:evenVBand="0" w:oddHBand="0" w:evenHBand="0" w:firstRowFirstColumn="0" w:firstRowLastColumn="0" w:lastRowFirstColumn="0" w:lastRowLastColumn="0"/>
              <w:rPr>
                <w:b w:val="0"/>
              </w:rPr>
            </w:pPr>
            <w:r w:rsidRPr="00C57F1C">
              <w:rPr>
                <w:b w:val="0"/>
              </w:rPr>
              <w:t>WARNING STATEMENTS</w:t>
            </w:r>
          </w:p>
        </w:tc>
        <w:tc>
          <w:tcPr>
            <w:tcW w:w="1659" w:type="dxa"/>
            <w:hideMark/>
          </w:tcPr>
          <w:p w14:paraId="0D241736" w14:textId="77777777" w:rsidR="005F0424" w:rsidRPr="00C57F1C" w:rsidRDefault="005F0424" w:rsidP="005F0424">
            <w:pPr>
              <w:jc w:val="center"/>
              <w:cnfStyle w:val="100000000000" w:firstRow="1" w:lastRow="0" w:firstColumn="0" w:lastColumn="0" w:oddVBand="0" w:evenVBand="0" w:oddHBand="0" w:evenHBand="0" w:firstRowFirstColumn="0" w:firstRowLastColumn="0" w:lastRowFirstColumn="0" w:lastRowLastColumn="0"/>
              <w:rPr>
                <w:b w:val="0"/>
              </w:rPr>
            </w:pPr>
            <w:r w:rsidRPr="00C57F1C">
              <w:rPr>
                <w:b w:val="0"/>
              </w:rPr>
              <w:t>SAFETY DIRECTION</w:t>
            </w:r>
          </w:p>
        </w:tc>
      </w:tr>
      <w:tr w:rsidR="005F0424" w:rsidRPr="00C57F1C" w14:paraId="2136E4A9" w14:textId="77777777" w:rsidTr="00063495">
        <w:tc>
          <w:tcPr>
            <w:cnfStyle w:val="001000000000" w:firstRow="0" w:lastRow="0" w:firstColumn="1" w:lastColumn="0" w:oddVBand="0" w:evenVBand="0" w:oddHBand="0" w:evenHBand="0" w:firstRowFirstColumn="0" w:firstRowLastColumn="0" w:lastRowFirstColumn="0" w:lastRowLastColumn="0"/>
            <w:tcW w:w="5415" w:type="dxa"/>
            <w:hideMark/>
          </w:tcPr>
          <w:p w14:paraId="2A1F1537" w14:textId="77777777" w:rsidR="005F0424" w:rsidRPr="00C57F1C" w:rsidRDefault="005F0424" w:rsidP="005F0424">
            <w:pPr>
              <w:spacing w:before="100" w:beforeAutospacing="1" w:after="100" w:afterAutospacing="1" w:line="240" w:lineRule="auto"/>
              <w:rPr>
                <w:rFonts w:asciiTheme="minorHAnsi" w:eastAsia="Times New Roman" w:hAnsiTheme="minorHAnsi"/>
                <w:szCs w:val="22"/>
                <w:lang w:eastAsia="en-AU"/>
              </w:rPr>
            </w:pPr>
            <w:r w:rsidRPr="00C57F1C">
              <w:rPr>
                <w:rFonts w:asciiTheme="minorHAnsi" w:hAnsiTheme="minorHAnsi"/>
                <w:szCs w:val="22"/>
              </w:rPr>
              <w:t>EUGENOL.</w:t>
            </w:r>
          </w:p>
        </w:tc>
        <w:tc>
          <w:tcPr>
            <w:tcW w:w="1646" w:type="dxa"/>
            <w:hideMark/>
          </w:tcPr>
          <w:p w14:paraId="057DAFFB" w14:textId="77777777" w:rsidR="005F0424" w:rsidRPr="00C57F1C" w:rsidRDefault="005F0424" w:rsidP="005F0424">
            <w:pPr>
              <w:spacing w:before="100" w:beforeAutospacing="1" w:after="10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C57F1C">
              <w:rPr>
                <w:rFonts w:asciiTheme="minorHAnsi" w:hAnsiTheme="minorHAnsi"/>
                <w:szCs w:val="22"/>
              </w:rPr>
              <w:t> </w:t>
            </w:r>
          </w:p>
        </w:tc>
        <w:tc>
          <w:tcPr>
            <w:tcW w:w="1659" w:type="dxa"/>
            <w:hideMark/>
          </w:tcPr>
          <w:p w14:paraId="41D4F139" w14:textId="77777777" w:rsidR="005F0424" w:rsidRPr="00C57F1C" w:rsidRDefault="005F0424" w:rsidP="005F042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C57F1C">
              <w:rPr>
                <w:rFonts w:asciiTheme="minorHAnsi" w:hAnsiTheme="minorHAnsi"/>
                <w:b/>
                <w:szCs w:val="22"/>
              </w:rPr>
              <w:t>1</w:t>
            </w:r>
            <w:r>
              <w:rPr>
                <w:rFonts w:asciiTheme="minorHAnsi" w:hAnsiTheme="minorHAnsi"/>
                <w:b/>
                <w:szCs w:val="22"/>
              </w:rPr>
              <w:t xml:space="preserve"> </w:t>
            </w:r>
            <w:r>
              <w:rPr>
                <w:rFonts w:asciiTheme="minorHAnsi" w:hAnsiTheme="minorHAnsi"/>
                <w:szCs w:val="22"/>
              </w:rPr>
              <w:t xml:space="preserve">– </w:t>
            </w:r>
            <w:r w:rsidRPr="00C57F1C">
              <w:rPr>
                <w:rFonts w:asciiTheme="minorHAnsi" w:hAnsiTheme="minorHAnsi"/>
                <w:szCs w:val="22"/>
              </w:rPr>
              <w:t>Avoid contact with eyes.</w:t>
            </w:r>
          </w:p>
        </w:tc>
      </w:tr>
    </w:tbl>
    <w:p w14:paraId="51EEEFC6" w14:textId="77777777" w:rsidR="005F0424" w:rsidRDefault="005F0424" w:rsidP="005F0424">
      <w:pPr>
        <w:rPr>
          <w:b/>
        </w:rPr>
      </w:pPr>
      <w:r>
        <w:rPr>
          <w:b/>
        </w:rPr>
        <w:tab/>
        <w:t>SECTION TWO CONTAINERS</w:t>
      </w:r>
    </w:p>
    <w:p w14:paraId="56716A9A" w14:textId="77777777" w:rsidR="005F0424" w:rsidRDefault="005F0424" w:rsidP="005F0424">
      <w:pPr>
        <w:rPr>
          <w:b/>
        </w:rPr>
      </w:pPr>
      <w:r>
        <w:rPr>
          <w:b/>
        </w:rPr>
        <w:tab/>
        <w:t>2.4 Child-resistant closures (1)</w:t>
      </w:r>
    </w:p>
    <w:tbl>
      <w:tblPr>
        <w:tblStyle w:val="TableTGAblue"/>
        <w:tblW w:w="0" w:type="auto"/>
        <w:tblLook w:val="04A0" w:firstRow="1" w:lastRow="0" w:firstColumn="1" w:lastColumn="0" w:noHBand="0" w:noVBand="1"/>
      </w:tblPr>
      <w:tblGrid>
        <w:gridCol w:w="4164"/>
        <w:gridCol w:w="4164"/>
      </w:tblGrid>
      <w:tr w:rsidR="005F0424" w:rsidRPr="0086281B" w14:paraId="0B0F6FB6" w14:textId="77777777" w:rsidTr="00063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4" w:type="dxa"/>
            <w:hideMark/>
          </w:tcPr>
          <w:p w14:paraId="58137075" w14:textId="77777777" w:rsidR="005F0424" w:rsidRPr="0086281B" w:rsidRDefault="005F0424" w:rsidP="005F0424">
            <w:pPr>
              <w:spacing w:before="100" w:beforeAutospacing="1" w:after="100" w:afterAutospacing="1" w:line="240" w:lineRule="auto"/>
              <w:rPr>
                <w:rFonts w:asciiTheme="minorHAnsi" w:eastAsia="Times New Roman" w:hAnsiTheme="minorHAnsi"/>
                <w:szCs w:val="22"/>
                <w:lang w:eastAsia="en-AU"/>
              </w:rPr>
            </w:pPr>
            <w:r w:rsidRPr="0086281B">
              <w:rPr>
                <w:rFonts w:asciiTheme="minorHAnsi" w:eastAsia="Times New Roman" w:hAnsiTheme="minorHAnsi"/>
                <w:b w:val="0"/>
                <w:bCs/>
                <w:szCs w:val="22"/>
                <w:lang w:eastAsia="en-AU"/>
              </w:rPr>
              <w:t xml:space="preserve">Column 1 </w:t>
            </w:r>
            <w:r w:rsidRPr="0086281B">
              <w:rPr>
                <w:rFonts w:asciiTheme="minorHAnsi" w:eastAsia="Times New Roman" w:hAnsiTheme="minorHAnsi"/>
                <w:b w:val="0"/>
                <w:bCs/>
                <w:szCs w:val="22"/>
                <w:lang w:eastAsia="en-AU"/>
              </w:rPr>
              <w:br/>
              <w:t>Name of the poison</w:t>
            </w:r>
          </w:p>
        </w:tc>
        <w:tc>
          <w:tcPr>
            <w:tcW w:w="4164" w:type="dxa"/>
            <w:hideMark/>
          </w:tcPr>
          <w:p w14:paraId="7CCE2286" w14:textId="77777777" w:rsidR="005F0424" w:rsidRPr="0086281B" w:rsidRDefault="005F0424" w:rsidP="005F042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86281B">
              <w:rPr>
                <w:rFonts w:asciiTheme="minorHAnsi" w:eastAsia="Times New Roman" w:hAnsiTheme="minorHAnsi"/>
                <w:b w:val="0"/>
                <w:bCs/>
                <w:szCs w:val="22"/>
                <w:lang w:eastAsia="en-AU"/>
              </w:rPr>
              <w:t>Column 2</w:t>
            </w:r>
            <w:r w:rsidRPr="0086281B">
              <w:rPr>
                <w:rFonts w:asciiTheme="minorHAnsi" w:eastAsia="Times New Roman" w:hAnsiTheme="minorHAnsi"/>
                <w:b w:val="0"/>
                <w:bCs/>
                <w:szCs w:val="22"/>
                <w:lang w:eastAsia="en-AU"/>
              </w:rPr>
              <w:br/>
              <w:t>Nominal capacity</w:t>
            </w:r>
          </w:p>
        </w:tc>
      </w:tr>
      <w:tr w:rsidR="005F0424" w:rsidRPr="0086281B" w14:paraId="19353C07" w14:textId="77777777" w:rsidTr="00063495">
        <w:tc>
          <w:tcPr>
            <w:cnfStyle w:val="001000000000" w:firstRow="0" w:lastRow="0" w:firstColumn="1" w:lastColumn="0" w:oddVBand="0" w:evenVBand="0" w:oddHBand="0" w:evenHBand="0" w:firstRowFirstColumn="0" w:firstRowLastColumn="0" w:lastRowFirstColumn="0" w:lastRowLastColumn="0"/>
            <w:tcW w:w="4164" w:type="dxa"/>
            <w:hideMark/>
          </w:tcPr>
          <w:p w14:paraId="6A3D4480" w14:textId="77777777" w:rsidR="005F0424" w:rsidRPr="0086281B" w:rsidRDefault="005F0424" w:rsidP="005F0424">
            <w:pPr>
              <w:spacing w:before="100" w:beforeAutospacing="1" w:after="100" w:afterAutospacing="1" w:line="240" w:lineRule="auto"/>
              <w:rPr>
                <w:rFonts w:asciiTheme="minorHAnsi" w:eastAsia="Times New Roman" w:hAnsiTheme="minorHAnsi"/>
                <w:szCs w:val="22"/>
                <w:lang w:eastAsia="en-AU"/>
              </w:rPr>
            </w:pPr>
            <w:r w:rsidRPr="0086281B">
              <w:rPr>
                <w:rFonts w:asciiTheme="minorHAnsi" w:hAnsiTheme="minorHAnsi"/>
                <w:szCs w:val="22"/>
              </w:rPr>
              <w:t>Eugenol when included in Schedule 6.</w:t>
            </w:r>
          </w:p>
        </w:tc>
        <w:tc>
          <w:tcPr>
            <w:tcW w:w="4164" w:type="dxa"/>
            <w:hideMark/>
          </w:tcPr>
          <w:p w14:paraId="4B79C2DB" w14:textId="77777777" w:rsidR="005F0424" w:rsidRPr="0086281B" w:rsidRDefault="005F0424" w:rsidP="005F042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86281B">
              <w:rPr>
                <w:rFonts w:asciiTheme="minorHAnsi" w:hAnsiTheme="minorHAnsi"/>
                <w:szCs w:val="22"/>
              </w:rPr>
              <w:t>200 millilitres or less</w:t>
            </w:r>
          </w:p>
        </w:tc>
      </w:tr>
    </w:tbl>
    <w:p w14:paraId="2A4CA4AC" w14:textId="77777777" w:rsidR="005F0424" w:rsidRPr="0086281B" w:rsidRDefault="005F0424" w:rsidP="005F0424">
      <w:pPr>
        <w:ind w:firstLine="720"/>
        <w:rPr>
          <w:b/>
        </w:rPr>
      </w:pPr>
      <w:r w:rsidRPr="0086281B">
        <w:rPr>
          <w:b/>
        </w:rPr>
        <w:t>Index</w:t>
      </w:r>
    </w:p>
    <w:p w14:paraId="595622F0" w14:textId="77777777" w:rsidR="005F0424" w:rsidRPr="0086281B" w:rsidRDefault="005F0424" w:rsidP="005F0424">
      <w:r w:rsidRPr="0086281B">
        <w:rPr>
          <w:b/>
        </w:rPr>
        <w:tab/>
      </w:r>
      <w:r w:rsidRPr="0086281B">
        <w:t>EUGENOL</w:t>
      </w:r>
    </w:p>
    <w:p w14:paraId="588743D4" w14:textId="77777777" w:rsidR="005F0424" w:rsidRPr="0086281B" w:rsidRDefault="005F0424" w:rsidP="005F0424">
      <w:r>
        <w:tab/>
        <w:t>Schedule 6</w:t>
      </w:r>
      <w:r>
        <w:br/>
      </w:r>
      <w:r>
        <w:tab/>
        <w:t>Schedule 5</w:t>
      </w:r>
      <w:r>
        <w:br/>
      </w:r>
      <w:r>
        <w:tab/>
        <w:t>Appendix E, Part 2</w:t>
      </w:r>
      <w:r>
        <w:br/>
      </w:r>
      <w:r>
        <w:tab/>
        <w:t>Appendix F, Part 3</w:t>
      </w:r>
    </w:p>
    <w:p w14:paraId="5841F268" w14:textId="77777777" w:rsidR="005F0424" w:rsidRDefault="005F0424" w:rsidP="005F0424">
      <w:pPr>
        <w:pStyle w:val="Heading4"/>
      </w:pPr>
      <w:bookmarkStart w:id="37" w:name="_Toc71182226"/>
      <w:r>
        <w:t>Proposed scheduling</w:t>
      </w:r>
      <w:bookmarkEnd w:id="37"/>
      <w:r>
        <w:t xml:space="preserve"> </w:t>
      </w:r>
    </w:p>
    <w:p w14:paraId="065EC3BC" w14:textId="77777777" w:rsidR="005F0424" w:rsidRPr="0086281B" w:rsidRDefault="005F0424" w:rsidP="005F0424">
      <w:pPr>
        <w:rPr>
          <w:b/>
        </w:rPr>
      </w:pPr>
      <w:r>
        <w:rPr>
          <w:b/>
        </w:rPr>
        <w:tab/>
        <w:t>Schedule 6 – Amend entry</w:t>
      </w:r>
    </w:p>
    <w:p w14:paraId="7C87B246" w14:textId="77777777" w:rsidR="005F0424" w:rsidRDefault="005F0424" w:rsidP="005F0424">
      <w:pPr>
        <w:ind w:firstLine="720"/>
      </w:pPr>
      <w:r>
        <w:lastRenderedPageBreak/>
        <w:t xml:space="preserve">EUGENOL </w:t>
      </w:r>
      <w:r w:rsidRPr="003B75DA">
        <w:rPr>
          <w:b/>
        </w:rPr>
        <w:t>except</w:t>
      </w:r>
      <w:r>
        <w:t>:</w:t>
      </w:r>
    </w:p>
    <w:p w14:paraId="7CCF235C" w14:textId="41D78AAC" w:rsidR="005F0424" w:rsidRPr="00D60ED3" w:rsidRDefault="005F0424" w:rsidP="00196568">
      <w:pPr>
        <w:pStyle w:val="ListBulleta"/>
        <w:rPr>
          <w:color w:val="FF0000"/>
        </w:rPr>
      </w:pPr>
      <w:r>
        <w:t xml:space="preserve">when included in Schedule 5; </w:t>
      </w:r>
      <w:r w:rsidRPr="00063495">
        <w:rPr>
          <w:color w:val="00B050"/>
        </w:rPr>
        <w:t>or</w:t>
      </w:r>
    </w:p>
    <w:p w14:paraId="318C6B0C" w14:textId="04EFCA58" w:rsidR="005F0424" w:rsidRDefault="005F0424" w:rsidP="00196568">
      <w:pPr>
        <w:pStyle w:val="ListBulleta"/>
      </w:pPr>
      <w:r>
        <w:t xml:space="preserve">in medicines for human therapeutic use, when packed in containers having a nominal capacity of 15 mL or less fitted with a restricted flow insert and compliant with the requirements of the Required Advisory Statements for Medicine Labels; </w:t>
      </w:r>
      <w:r w:rsidRPr="00063495">
        <w:rPr>
          <w:color w:val="00B050"/>
        </w:rPr>
        <w:t>or</w:t>
      </w:r>
    </w:p>
    <w:p w14:paraId="72F3711D" w14:textId="7E324DFC" w:rsidR="005F0424" w:rsidRDefault="005F0424" w:rsidP="00196568">
      <w:pPr>
        <w:pStyle w:val="ListBulleta"/>
      </w:pPr>
      <w:r>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r w:rsidRPr="00063495">
        <w:rPr>
          <w:color w:val="00B050"/>
        </w:rPr>
        <w:t>or</w:t>
      </w:r>
    </w:p>
    <w:p w14:paraId="004769DD" w14:textId="6AE6A957" w:rsidR="005F0424" w:rsidRDefault="005F0424" w:rsidP="00196568">
      <w:pPr>
        <w:pStyle w:val="ListBulleta"/>
      </w:pPr>
      <w:r>
        <w:t>in preparations other than medicines for human therapeutic use, when packed in containers having a nominal capacity of 15 mL or less fitted with a restricted flow insert and labelled with the warnings:</w:t>
      </w:r>
    </w:p>
    <w:p w14:paraId="4EB4EE5E" w14:textId="54B935D6" w:rsidR="005F0424" w:rsidRDefault="005F0424" w:rsidP="00F13518">
      <w:pPr>
        <w:pStyle w:val="Normal-hanging"/>
      </w:pPr>
      <w:r>
        <w:t>KEEP OUT OF REACH OF CHILDREN; and</w:t>
      </w:r>
    </w:p>
    <w:p w14:paraId="0E297700" w14:textId="04A87458" w:rsidR="005F0424" w:rsidRDefault="005F0424" w:rsidP="00F13518">
      <w:pPr>
        <w:pStyle w:val="Normal-hanging"/>
      </w:pPr>
      <w:r>
        <w:t xml:space="preserve">NOT TO BE TAKEN; </w:t>
      </w:r>
      <w:r w:rsidRPr="00063495">
        <w:rPr>
          <w:color w:val="00B050"/>
        </w:rPr>
        <w:t>or</w:t>
      </w:r>
    </w:p>
    <w:p w14:paraId="67C6FD9C" w14:textId="2DFB64EB" w:rsidR="005F0424" w:rsidRDefault="005F0424" w:rsidP="00196568">
      <w:pPr>
        <w:pStyle w:val="ListBulleta"/>
      </w:pPr>
      <w:r>
        <w:t>in preparations other than medicines for human therapeutic use, when packed in containers having a nominal capacity of 25 mL or less fitted with a restricted flow insert and a child-resistant closure and labelled with the warnings:</w:t>
      </w:r>
    </w:p>
    <w:p w14:paraId="57FC35DE" w14:textId="0BE706CA" w:rsidR="005F0424" w:rsidRDefault="005F0424" w:rsidP="00F13518">
      <w:pPr>
        <w:pStyle w:val="Normal-hanging"/>
      </w:pPr>
      <w:r>
        <w:t>KEEP OUT OF REACH OF CHILDREN; and</w:t>
      </w:r>
    </w:p>
    <w:p w14:paraId="01AB6A95" w14:textId="3000ADB8" w:rsidR="005F0424" w:rsidRDefault="005F0424" w:rsidP="00F13518">
      <w:pPr>
        <w:pStyle w:val="Normal-hanging"/>
      </w:pPr>
      <w:r>
        <w:t>NOT TO BE TAKEN; or</w:t>
      </w:r>
    </w:p>
    <w:p w14:paraId="28247CF2" w14:textId="7D90D048" w:rsidR="005F0424" w:rsidRPr="00D60ED3" w:rsidRDefault="005F0424" w:rsidP="005F0424">
      <w:pPr>
        <w:pStyle w:val="ListBulleta"/>
        <w:rPr>
          <w:color w:val="FF0000"/>
        </w:rPr>
      </w:pPr>
      <w:r>
        <w:t xml:space="preserve">in preparations </w:t>
      </w:r>
      <w:r w:rsidRPr="00063495">
        <w:rPr>
          <w:color w:val="00B050"/>
        </w:rPr>
        <w:t xml:space="preserve">not intended for </w:t>
      </w:r>
      <w:r w:rsidR="00EC720E" w:rsidRPr="00063495">
        <w:rPr>
          <w:color w:val="00B050"/>
        </w:rPr>
        <w:t xml:space="preserve">human </w:t>
      </w:r>
      <w:r w:rsidRPr="00063495">
        <w:rPr>
          <w:color w:val="00B050"/>
        </w:rPr>
        <w:t xml:space="preserve">skin contact </w:t>
      </w:r>
      <w:r>
        <w:t>containing 25 per cent or less of eugenol</w:t>
      </w:r>
      <w:r w:rsidRPr="00063495">
        <w:rPr>
          <w:color w:val="00B050"/>
        </w:rPr>
        <w:t>; or</w:t>
      </w:r>
    </w:p>
    <w:p w14:paraId="1ADA06D7" w14:textId="52C6B524" w:rsidR="005F0424" w:rsidRDefault="00C56992" w:rsidP="00196568">
      <w:pPr>
        <w:pStyle w:val="ListBulleta"/>
        <w:numPr>
          <w:ilvl w:val="0"/>
          <w:numId w:val="0"/>
        </w:numPr>
        <w:ind w:left="1134" w:hanging="348"/>
        <w:rPr>
          <w:color w:val="FF0000"/>
        </w:rPr>
      </w:pPr>
      <w:r w:rsidRPr="00063495">
        <w:rPr>
          <w:color w:val="00B050"/>
        </w:rPr>
        <w:t xml:space="preserve">g) </w:t>
      </w:r>
      <w:r w:rsidRPr="00063495">
        <w:rPr>
          <w:color w:val="00B050"/>
        </w:rPr>
        <w:tab/>
      </w:r>
      <w:r w:rsidR="005F0424" w:rsidRPr="00063495">
        <w:rPr>
          <w:color w:val="00B050"/>
        </w:rPr>
        <w:t>in leave-on preparations intended for skin contact containing 0.001 per cent or less of eugenol; or</w:t>
      </w:r>
    </w:p>
    <w:p w14:paraId="669EDA22" w14:textId="06A5CB6E" w:rsidR="00E4033D" w:rsidRDefault="00C56992" w:rsidP="00196568">
      <w:pPr>
        <w:pStyle w:val="ListBulleta"/>
        <w:numPr>
          <w:ilvl w:val="0"/>
          <w:numId w:val="0"/>
        </w:numPr>
        <w:ind w:left="1134" w:hanging="348"/>
        <w:rPr>
          <w:color w:val="00B050"/>
        </w:rPr>
      </w:pPr>
      <w:r w:rsidRPr="00063495">
        <w:rPr>
          <w:color w:val="00B050"/>
        </w:rPr>
        <w:t xml:space="preserve">h) </w:t>
      </w:r>
      <w:r w:rsidRPr="00063495">
        <w:rPr>
          <w:color w:val="00B050"/>
        </w:rPr>
        <w:tab/>
        <w:t>in rinse-off preparations intended for skin contact containing 0.01 per cent or less of eugenol.</w:t>
      </w:r>
    </w:p>
    <w:p w14:paraId="5E0720D3" w14:textId="77777777" w:rsidR="002B1FB5" w:rsidRPr="003B75DA" w:rsidRDefault="002B1FB5" w:rsidP="002B1FB5">
      <w:pPr>
        <w:ind w:firstLine="720"/>
        <w:rPr>
          <w:b/>
        </w:rPr>
      </w:pPr>
      <w:r w:rsidRPr="003B75DA">
        <w:rPr>
          <w:b/>
        </w:rPr>
        <w:t xml:space="preserve">Schedule 5 </w:t>
      </w:r>
    </w:p>
    <w:p w14:paraId="5283230E" w14:textId="77777777" w:rsidR="002B1FB5" w:rsidRDefault="002B1FB5" w:rsidP="002B1FB5">
      <w:pPr>
        <w:ind w:left="720"/>
      </w:pPr>
      <w:r>
        <w:t xml:space="preserve">EUGENOL for topical use in the mouth in a pack containing 5 mL or less of eugenol </w:t>
      </w:r>
      <w:r w:rsidRPr="00C57F1C">
        <w:rPr>
          <w:b/>
        </w:rPr>
        <w:t>except</w:t>
      </w:r>
      <w:r>
        <w:t xml:space="preserve"> in preparations containing 25 per cent or less of eugenol.</w:t>
      </w:r>
    </w:p>
    <w:p w14:paraId="0BE4B937" w14:textId="77777777" w:rsidR="002B1FB5" w:rsidRPr="00C57F1C" w:rsidRDefault="002B1FB5" w:rsidP="002B1FB5">
      <w:pPr>
        <w:ind w:firstLine="720"/>
        <w:rPr>
          <w:b/>
        </w:rPr>
      </w:pPr>
      <w:r>
        <w:rPr>
          <w:b/>
        </w:rPr>
        <w:t>Appendix E, Part 2</w:t>
      </w:r>
    </w:p>
    <w:tbl>
      <w:tblPr>
        <w:tblStyle w:val="TableTGAblue"/>
        <w:tblW w:w="0" w:type="auto"/>
        <w:tblLook w:val="04A0" w:firstRow="1" w:lastRow="0" w:firstColumn="1" w:lastColumn="0" w:noHBand="0" w:noVBand="1"/>
      </w:tblPr>
      <w:tblGrid>
        <w:gridCol w:w="5486"/>
        <w:gridCol w:w="3008"/>
      </w:tblGrid>
      <w:tr w:rsidR="002B1FB5" w14:paraId="018C9E99" w14:textId="77777777" w:rsidTr="002B1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6" w:type="dxa"/>
            <w:hideMark/>
          </w:tcPr>
          <w:p w14:paraId="60A22063" w14:textId="77777777" w:rsidR="002B1FB5" w:rsidRDefault="002B1FB5" w:rsidP="002B1FB5">
            <w:pPr>
              <w:rPr>
                <w:b w:val="0"/>
              </w:rPr>
            </w:pPr>
            <w:r>
              <w:rPr>
                <w:b w:val="0"/>
              </w:rPr>
              <w:t>POISON</w:t>
            </w:r>
          </w:p>
        </w:tc>
        <w:tc>
          <w:tcPr>
            <w:tcW w:w="3008" w:type="dxa"/>
            <w:hideMark/>
          </w:tcPr>
          <w:p w14:paraId="46C152A7" w14:textId="77777777" w:rsidR="002B1FB5" w:rsidRDefault="002B1FB5" w:rsidP="002B1FB5">
            <w:pPr>
              <w:cnfStyle w:val="100000000000" w:firstRow="1" w:lastRow="0" w:firstColumn="0" w:lastColumn="0" w:oddVBand="0" w:evenVBand="0" w:oddHBand="0" w:evenHBand="0" w:firstRowFirstColumn="0" w:firstRowLastColumn="0" w:lastRowFirstColumn="0" w:lastRowLastColumn="0"/>
              <w:rPr>
                <w:b w:val="0"/>
              </w:rPr>
            </w:pPr>
            <w:r>
              <w:rPr>
                <w:b w:val="0"/>
              </w:rPr>
              <w:t>STANDARD STATEMENTS</w:t>
            </w:r>
          </w:p>
        </w:tc>
      </w:tr>
      <w:tr w:rsidR="002B1FB5" w14:paraId="57E25B66" w14:textId="77777777" w:rsidTr="002B1FB5">
        <w:tc>
          <w:tcPr>
            <w:cnfStyle w:val="001000000000" w:firstRow="0" w:lastRow="0" w:firstColumn="1" w:lastColumn="0" w:oddVBand="0" w:evenVBand="0" w:oddHBand="0" w:evenHBand="0" w:firstRowFirstColumn="0" w:firstRowLastColumn="0" w:lastRowFirstColumn="0" w:lastRowLastColumn="0"/>
            <w:tcW w:w="5486" w:type="dxa"/>
            <w:hideMark/>
          </w:tcPr>
          <w:p w14:paraId="0AAD0377" w14:textId="77777777" w:rsidR="002B1FB5" w:rsidRDefault="002B1FB5" w:rsidP="002B1FB5">
            <w:pPr>
              <w:pStyle w:val="ListBullet"/>
              <w:numPr>
                <w:ilvl w:val="0"/>
                <w:numId w:val="0"/>
              </w:numPr>
              <w:ind w:left="360" w:hanging="360"/>
            </w:pPr>
            <w:r>
              <w:t>EUGENOL</w:t>
            </w:r>
          </w:p>
        </w:tc>
        <w:tc>
          <w:tcPr>
            <w:tcW w:w="3008" w:type="dxa"/>
            <w:hideMark/>
          </w:tcPr>
          <w:p w14:paraId="2A6AA255" w14:textId="77777777" w:rsidR="002B1FB5" w:rsidRDefault="002B1FB5" w:rsidP="002B1FB5">
            <w:pPr>
              <w:cnfStyle w:val="000000000000" w:firstRow="0" w:lastRow="0" w:firstColumn="0" w:lastColumn="0" w:oddVBand="0" w:evenVBand="0" w:oddHBand="0" w:evenHBand="0" w:firstRowFirstColumn="0" w:firstRowLastColumn="0" w:lastRowFirstColumn="0" w:lastRowLastColumn="0"/>
            </w:pPr>
            <w:r w:rsidRPr="00C57F1C">
              <w:t>A,G1,G3,E2</w:t>
            </w:r>
          </w:p>
        </w:tc>
      </w:tr>
      <w:tr w:rsidR="002B1FB5" w:rsidRPr="00A07139" w14:paraId="203D9297" w14:textId="77777777" w:rsidTr="002B1FB5">
        <w:tc>
          <w:tcPr>
            <w:cnfStyle w:val="001000000000" w:firstRow="0" w:lastRow="0" w:firstColumn="1" w:lastColumn="0" w:oddVBand="0" w:evenVBand="0" w:oddHBand="0" w:evenHBand="0" w:firstRowFirstColumn="0" w:firstRowLastColumn="0" w:lastRowFirstColumn="0" w:lastRowLastColumn="0"/>
            <w:tcW w:w="8494" w:type="dxa"/>
            <w:gridSpan w:val="2"/>
          </w:tcPr>
          <w:p w14:paraId="21D94950" w14:textId="77777777" w:rsidR="002B1FB5" w:rsidRDefault="002B1FB5" w:rsidP="002B1FB5">
            <w:pPr>
              <w:rPr>
                <w:sz w:val="20"/>
              </w:rPr>
            </w:pPr>
            <w:r>
              <w:rPr>
                <w:b/>
                <w:sz w:val="20"/>
              </w:rPr>
              <w:lastRenderedPageBreak/>
              <w:t xml:space="preserve">A </w:t>
            </w:r>
            <w:r>
              <w:rPr>
                <w:sz w:val="20"/>
              </w:rPr>
              <w:t xml:space="preserve">– </w:t>
            </w:r>
            <w:r w:rsidRPr="00C57F1C">
              <w:rPr>
                <w:sz w:val="20"/>
              </w:rPr>
              <w:t>For advice, contact a Poisons Information Centre (e.g. phone Australia 13 11 26; New Zealand 0800 764 766) or a doctor (at once).</w:t>
            </w:r>
          </w:p>
          <w:p w14:paraId="27DE376A" w14:textId="77777777" w:rsidR="002B1FB5" w:rsidRPr="00C57F1C" w:rsidRDefault="002B1FB5" w:rsidP="002B1FB5">
            <w:pPr>
              <w:rPr>
                <w:sz w:val="20"/>
              </w:rPr>
            </w:pPr>
            <w:r>
              <w:rPr>
                <w:b/>
                <w:sz w:val="20"/>
              </w:rPr>
              <w:t xml:space="preserve">G1 </w:t>
            </w:r>
            <w:r>
              <w:rPr>
                <w:sz w:val="20"/>
              </w:rPr>
              <w:t xml:space="preserve">– </w:t>
            </w:r>
            <w:r w:rsidRPr="00C57F1C">
              <w:rPr>
                <w:sz w:val="20"/>
              </w:rPr>
              <w:t>Urgent hospital tre</w:t>
            </w:r>
            <w:r>
              <w:rPr>
                <w:sz w:val="20"/>
              </w:rPr>
              <w:t xml:space="preserve">atment is likely to be needed. </w:t>
            </w:r>
          </w:p>
          <w:p w14:paraId="13009D93" w14:textId="77777777" w:rsidR="002B1FB5" w:rsidRDefault="002B1FB5" w:rsidP="002B1FB5">
            <w:pPr>
              <w:rPr>
                <w:sz w:val="20"/>
              </w:rPr>
            </w:pPr>
            <w:r w:rsidRPr="00C57F1C">
              <w:rPr>
                <w:sz w:val="20"/>
              </w:rPr>
              <w:t>(Note - the words ‘at once’</w:t>
            </w:r>
            <w:r>
              <w:rPr>
                <w:sz w:val="20"/>
              </w:rPr>
              <w:t xml:space="preserve"> to be added to instruction A).</w:t>
            </w:r>
          </w:p>
          <w:p w14:paraId="19A9CF7F" w14:textId="77777777" w:rsidR="002B1FB5" w:rsidRDefault="002B1FB5" w:rsidP="002B1FB5">
            <w:pPr>
              <w:rPr>
                <w:sz w:val="20"/>
              </w:rPr>
            </w:pPr>
            <w:r>
              <w:rPr>
                <w:b/>
                <w:sz w:val="20"/>
              </w:rPr>
              <w:t xml:space="preserve">G3 </w:t>
            </w:r>
            <w:r>
              <w:rPr>
                <w:sz w:val="20"/>
              </w:rPr>
              <w:t xml:space="preserve">– </w:t>
            </w:r>
            <w:r w:rsidRPr="00C57F1C">
              <w:rPr>
                <w:sz w:val="20"/>
              </w:rPr>
              <w:t>If swallowed, do NOT induce vomiting.</w:t>
            </w:r>
          </w:p>
          <w:p w14:paraId="2289EC5E" w14:textId="77777777" w:rsidR="002B1FB5" w:rsidRPr="00C57F1C" w:rsidRDefault="002B1FB5" w:rsidP="002B1FB5">
            <w:pPr>
              <w:rPr>
                <w:sz w:val="20"/>
              </w:rPr>
            </w:pPr>
            <w:r w:rsidRPr="00C57F1C">
              <w:rPr>
                <w:b/>
                <w:sz w:val="20"/>
              </w:rPr>
              <w:t>E2</w:t>
            </w:r>
            <w:r>
              <w:rPr>
                <w:b/>
                <w:sz w:val="20"/>
              </w:rPr>
              <w:t xml:space="preserve"> </w:t>
            </w:r>
            <w:r>
              <w:rPr>
                <w:sz w:val="20"/>
              </w:rPr>
              <w:t xml:space="preserve">– </w:t>
            </w:r>
            <w:r w:rsidRPr="00C57F1C">
              <w:rPr>
                <w:sz w:val="20"/>
              </w:rPr>
              <w:t>If in eyes, hold eyelids apart and flush the eye continuously with running water. Continue flushing until advised to stop by a Poisons Information Centre (e.g. phone Australia 13 11 26; New Zealand 0800 764 766) or a doctor, or for at least 15 minutes.</w:t>
            </w:r>
          </w:p>
        </w:tc>
      </w:tr>
    </w:tbl>
    <w:p w14:paraId="752D666C" w14:textId="77777777" w:rsidR="002B1FB5" w:rsidRDefault="002B1FB5" w:rsidP="002B1FB5">
      <w:pPr>
        <w:rPr>
          <w:b/>
        </w:rPr>
      </w:pPr>
      <w:r>
        <w:tab/>
      </w:r>
      <w:r>
        <w:rPr>
          <w:b/>
        </w:rPr>
        <w:t>Appendix F, Part 3</w:t>
      </w:r>
    </w:p>
    <w:tbl>
      <w:tblPr>
        <w:tblStyle w:val="TableTGAblue"/>
        <w:tblW w:w="0" w:type="auto"/>
        <w:tblLook w:val="04A0" w:firstRow="1" w:lastRow="0" w:firstColumn="1" w:lastColumn="0" w:noHBand="0" w:noVBand="1"/>
      </w:tblPr>
      <w:tblGrid>
        <w:gridCol w:w="5415"/>
        <w:gridCol w:w="1646"/>
        <w:gridCol w:w="1659"/>
      </w:tblGrid>
      <w:tr w:rsidR="002B1FB5" w:rsidRPr="00C57F1C" w14:paraId="20DA34BA" w14:textId="77777777" w:rsidTr="002B1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hideMark/>
          </w:tcPr>
          <w:p w14:paraId="69BF2695" w14:textId="77777777" w:rsidR="002B1FB5" w:rsidRPr="00C57F1C" w:rsidRDefault="002B1FB5" w:rsidP="002B1FB5">
            <w:pPr>
              <w:rPr>
                <w:b w:val="0"/>
              </w:rPr>
            </w:pPr>
            <w:r w:rsidRPr="00C57F1C">
              <w:rPr>
                <w:b w:val="0"/>
              </w:rPr>
              <w:t>POISON</w:t>
            </w:r>
          </w:p>
        </w:tc>
        <w:tc>
          <w:tcPr>
            <w:tcW w:w="1646" w:type="dxa"/>
            <w:hideMark/>
          </w:tcPr>
          <w:p w14:paraId="65380AF4" w14:textId="77777777" w:rsidR="002B1FB5" w:rsidRPr="00C57F1C" w:rsidRDefault="002B1FB5" w:rsidP="002B1FB5">
            <w:pPr>
              <w:jc w:val="center"/>
              <w:cnfStyle w:val="100000000000" w:firstRow="1" w:lastRow="0" w:firstColumn="0" w:lastColumn="0" w:oddVBand="0" w:evenVBand="0" w:oddHBand="0" w:evenHBand="0" w:firstRowFirstColumn="0" w:firstRowLastColumn="0" w:lastRowFirstColumn="0" w:lastRowLastColumn="0"/>
              <w:rPr>
                <w:b w:val="0"/>
              </w:rPr>
            </w:pPr>
            <w:r w:rsidRPr="00C57F1C">
              <w:rPr>
                <w:b w:val="0"/>
              </w:rPr>
              <w:t>WARNING STATEMENTS</w:t>
            </w:r>
          </w:p>
        </w:tc>
        <w:tc>
          <w:tcPr>
            <w:tcW w:w="1659" w:type="dxa"/>
            <w:hideMark/>
          </w:tcPr>
          <w:p w14:paraId="320910E7" w14:textId="77777777" w:rsidR="002B1FB5" w:rsidRPr="00C57F1C" w:rsidRDefault="002B1FB5" w:rsidP="002B1FB5">
            <w:pPr>
              <w:jc w:val="center"/>
              <w:cnfStyle w:val="100000000000" w:firstRow="1" w:lastRow="0" w:firstColumn="0" w:lastColumn="0" w:oddVBand="0" w:evenVBand="0" w:oddHBand="0" w:evenHBand="0" w:firstRowFirstColumn="0" w:firstRowLastColumn="0" w:lastRowFirstColumn="0" w:lastRowLastColumn="0"/>
              <w:rPr>
                <w:b w:val="0"/>
              </w:rPr>
            </w:pPr>
            <w:r w:rsidRPr="00C57F1C">
              <w:rPr>
                <w:b w:val="0"/>
              </w:rPr>
              <w:t>SAFETY DIRECTION</w:t>
            </w:r>
          </w:p>
        </w:tc>
      </w:tr>
      <w:tr w:rsidR="002B1FB5" w:rsidRPr="00C57F1C" w14:paraId="3B15223A" w14:textId="77777777" w:rsidTr="002B1FB5">
        <w:tc>
          <w:tcPr>
            <w:cnfStyle w:val="001000000000" w:firstRow="0" w:lastRow="0" w:firstColumn="1" w:lastColumn="0" w:oddVBand="0" w:evenVBand="0" w:oddHBand="0" w:evenHBand="0" w:firstRowFirstColumn="0" w:firstRowLastColumn="0" w:lastRowFirstColumn="0" w:lastRowLastColumn="0"/>
            <w:tcW w:w="5415" w:type="dxa"/>
            <w:hideMark/>
          </w:tcPr>
          <w:p w14:paraId="6E258FFF" w14:textId="77777777" w:rsidR="002B1FB5" w:rsidRPr="00C57F1C" w:rsidRDefault="002B1FB5" w:rsidP="002B1FB5">
            <w:pPr>
              <w:spacing w:before="100" w:beforeAutospacing="1" w:after="100" w:afterAutospacing="1" w:line="240" w:lineRule="auto"/>
              <w:rPr>
                <w:rFonts w:asciiTheme="minorHAnsi" w:eastAsia="Times New Roman" w:hAnsiTheme="minorHAnsi"/>
                <w:szCs w:val="22"/>
                <w:lang w:eastAsia="en-AU"/>
              </w:rPr>
            </w:pPr>
            <w:r w:rsidRPr="00C57F1C">
              <w:rPr>
                <w:rFonts w:asciiTheme="minorHAnsi" w:hAnsiTheme="minorHAnsi"/>
                <w:szCs w:val="22"/>
              </w:rPr>
              <w:t>EUGENOL.</w:t>
            </w:r>
          </w:p>
        </w:tc>
        <w:tc>
          <w:tcPr>
            <w:tcW w:w="1646" w:type="dxa"/>
            <w:hideMark/>
          </w:tcPr>
          <w:p w14:paraId="32120DF8" w14:textId="77777777" w:rsidR="002B1FB5" w:rsidRPr="00C57F1C" w:rsidRDefault="002B1FB5" w:rsidP="002B1FB5">
            <w:pPr>
              <w:spacing w:before="100" w:beforeAutospacing="1" w:after="10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C57F1C">
              <w:rPr>
                <w:rFonts w:asciiTheme="minorHAnsi" w:hAnsiTheme="minorHAnsi"/>
                <w:szCs w:val="22"/>
              </w:rPr>
              <w:t> </w:t>
            </w:r>
          </w:p>
        </w:tc>
        <w:tc>
          <w:tcPr>
            <w:tcW w:w="1659" w:type="dxa"/>
            <w:hideMark/>
          </w:tcPr>
          <w:p w14:paraId="79AE9EF5" w14:textId="77777777" w:rsidR="002B1FB5" w:rsidRPr="00C57F1C" w:rsidRDefault="002B1FB5" w:rsidP="002B1FB5">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C57F1C">
              <w:rPr>
                <w:rFonts w:asciiTheme="minorHAnsi" w:hAnsiTheme="minorHAnsi"/>
                <w:b/>
                <w:szCs w:val="22"/>
              </w:rPr>
              <w:t>1</w:t>
            </w:r>
            <w:r>
              <w:rPr>
                <w:rFonts w:asciiTheme="minorHAnsi" w:hAnsiTheme="minorHAnsi"/>
                <w:b/>
                <w:szCs w:val="22"/>
              </w:rPr>
              <w:t xml:space="preserve"> </w:t>
            </w:r>
            <w:r>
              <w:rPr>
                <w:rFonts w:asciiTheme="minorHAnsi" w:hAnsiTheme="minorHAnsi"/>
                <w:szCs w:val="22"/>
              </w:rPr>
              <w:t xml:space="preserve">– </w:t>
            </w:r>
            <w:r w:rsidRPr="00C57F1C">
              <w:rPr>
                <w:rFonts w:asciiTheme="minorHAnsi" w:hAnsiTheme="minorHAnsi"/>
                <w:szCs w:val="22"/>
              </w:rPr>
              <w:t>Avoid contact with eyes.</w:t>
            </w:r>
          </w:p>
        </w:tc>
      </w:tr>
    </w:tbl>
    <w:p w14:paraId="34CEE369" w14:textId="77777777" w:rsidR="002B1FB5" w:rsidRDefault="002B1FB5" w:rsidP="002B1FB5">
      <w:pPr>
        <w:rPr>
          <w:b/>
        </w:rPr>
      </w:pPr>
      <w:r>
        <w:rPr>
          <w:b/>
        </w:rPr>
        <w:tab/>
        <w:t>SECTION TWO CONTAINERS</w:t>
      </w:r>
    </w:p>
    <w:p w14:paraId="7FF712E6" w14:textId="77777777" w:rsidR="002B1FB5" w:rsidRDefault="002B1FB5" w:rsidP="002B1FB5">
      <w:pPr>
        <w:rPr>
          <w:b/>
        </w:rPr>
      </w:pPr>
      <w:r>
        <w:rPr>
          <w:b/>
        </w:rPr>
        <w:tab/>
        <w:t>2.4 Child-resistant closures (1)</w:t>
      </w:r>
    </w:p>
    <w:tbl>
      <w:tblPr>
        <w:tblStyle w:val="TableTGAblue"/>
        <w:tblW w:w="0" w:type="auto"/>
        <w:tblLook w:val="04A0" w:firstRow="1" w:lastRow="0" w:firstColumn="1" w:lastColumn="0" w:noHBand="0" w:noVBand="1"/>
      </w:tblPr>
      <w:tblGrid>
        <w:gridCol w:w="4164"/>
        <w:gridCol w:w="4164"/>
      </w:tblGrid>
      <w:tr w:rsidR="002B1FB5" w:rsidRPr="0086281B" w14:paraId="6068FC69" w14:textId="77777777" w:rsidTr="002B1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4" w:type="dxa"/>
            <w:hideMark/>
          </w:tcPr>
          <w:p w14:paraId="449D0701" w14:textId="77777777" w:rsidR="002B1FB5" w:rsidRPr="0086281B" w:rsidRDefault="002B1FB5" w:rsidP="002B1FB5">
            <w:pPr>
              <w:spacing w:before="100" w:beforeAutospacing="1" w:after="100" w:afterAutospacing="1" w:line="240" w:lineRule="auto"/>
              <w:rPr>
                <w:rFonts w:asciiTheme="minorHAnsi" w:eastAsia="Times New Roman" w:hAnsiTheme="minorHAnsi"/>
                <w:szCs w:val="22"/>
                <w:lang w:eastAsia="en-AU"/>
              </w:rPr>
            </w:pPr>
            <w:r w:rsidRPr="0086281B">
              <w:rPr>
                <w:rFonts w:asciiTheme="minorHAnsi" w:eastAsia="Times New Roman" w:hAnsiTheme="minorHAnsi"/>
                <w:b w:val="0"/>
                <w:bCs/>
                <w:szCs w:val="22"/>
                <w:lang w:eastAsia="en-AU"/>
              </w:rPr>
              <w:t xml:space="preserve">Column 1 </w:t>
            </w:r>
            <w:r w:rsidRPr="0086281B">
              <w:rPr>
                <w:rFonts w:asciiTheme="minorHAnsi" w:eastAsia="Times New Roman" w:hAnsiTheme="minorHAnsi"/>
                <w:b w:val="0"/>
                <w:bCs/>
                <w:szCs w:val="22"/>
                <w:lang w:eastAsia="en-AU"/>
              </w:rPr>
              <w:br/>
              <w:t>Name of the poison</w:t>
            </w:r>
          </w:p>
        </w:tc>
        <w:tc>
          <w:tcPr>
            <w:tcW w:w="4164" w:type="dxa"/>
            <w:hideMark/>
          </w:tcPr>
          <w:p w14:paraId="5722782B" w14:textId="77777777" w:rsidR="002B1FB5" w:rsidRPr="0086281B" w:rsidRDefault="002B1FB5" w:rsidP="002B1FB5">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86281B">
              <w:rPr>
                <w:rFonts w:asciiTheme="minorHAnsi" w:eastAsia="Times New Roman" w:hAnsiTheme="minorHAnsi"/>
                <w:b w:val="0"/>
                <w:bCs/>
                <w:szCs w:val="22"/>
                <w:lang w:eastAsia="en-AU"/>
              </w:rPr>
              <w:t>Column 2</w:t>
            </w:r>
            <w:r w:rsidRPr="0086281B">
              <w:rPr>
                <w:rFonts w:asciiTheme="minorHAnsi" w:eastAsia="Times New Roman" w:hAnsiTheme="minorHAnsi"/>
                <w:b w:val="0"/>
                <w:bCs/>
                <w:szCs w:val="22"/>
                <w:lang w:eastAsia="en-AU"/>
              </w:rPr>
              <w:br/>
              <w:t>Nominal capacity</w:t>
            </w:r>
          </w:p>
        </w:tc>
      </w:tr>
      <w:tr w:rsidR="002B1FB5" w:rsidRPr="0086281B" w14:paraId="7674306C" w14:textId="77777777" w:rsidTr="002B1FB5">
        <w:tc>
          <w:tcPr>
            <w:cnfStyle w:val="001000000000" w:firstRow="0" w:lastRow="0" w:firstColumn="1" w:lastColumn="0" w:oddVBand="0" w:evenVBand="0" w:oddHBand="0" w:evenHBand="0" w:firstRowFirstColumn="0" w:firstRowLastColumn="0" w:lastRowFirstColumn="0" w:lastRowLastColumn="0"/>
            <w:tcW w:w="4164" w:type="dxa"/>
            <w:hideMark/>
          </w:tcPr>
          <w:p w14:paraId="36A82C79" w14:textId="77777777" w:rsidR="002B1FB5" w:rsidRPr="0086281B" w:rsidRDefault="002B1FB5" w:rsidP="002B1FB5">
            <w:pPr>
              <w:spacing w:before="100" w:beforeAutospacing="1" w:after="100" w:afterAutospacing="1" w:line="240" w:lineRule="auto"/>
              <w:rPr>
                <w:rFonts w:asciiTheme="minorHAnsi" w:eastAsia="Times New Roman" w:hAnsiTheme="minorHAnsi"/>
                <w:szCs w:val="22"/>
                <w:lang w:eastAsia="en-AU"/>
              </w:rPr>
            </w:pPr>
            <w:r w:rsidRPr="0086281B">
              <w:rPr>
                <w:rFonts w:asciiTheme="minorHAnsi" w:hAnsiTheme="minorHAnsi"/>
                <w:szCs w:val="22"/>
              </w:rPr>
              <w:t>Eugenol when included in Schedule 6.</w:t>
            </w:r>
          </w:p>
        </w:tc>
        <w:tc>
          <w:tcPr>
            <w:tcW w:w="4164" w:type="dxa"/>
            <w:hideMark/>
          </w:tcPr>
          <w:p w14:paraId="6CBF001C" w14:textId="77777777" w:rsidR="002B1FB5" w:rsidRPr="0086281B" w:rsidRDefault="002B1FB5" w:rsidP="002B1FB5">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86281B">
              <w:rPr>
                <w:rFonts w:asciiTheme="minorHAnsi" w:hAnsiTheme="minorHAnsi"/>
                <w:szCs w:val="22"/>
              </w:rPr>
              <w:t>200 millilitres or less</w:t>
            </w:r>
          </w:p>
        </w:tc>
      </w:tr>
    </w:tbl>
    <w:p w14:paraId="6272A1FC" w14:textId="77777777" w:rsidR="002B1FB5" w:rsidRPr="0086281B" w:rsidRDefault="002B1FB5" w:rsidP="002B1FB5">
      <w:pPr>
        <w:ind w:firstLine="720"/>
        <w:rPr>
          <w:b/>
        </w:rPr>
      </w:pPr>
      <w:r w:rsidRPr="0086281B">
        <w:rPr>
          <w:b/>
        </w:rPr>
        <w:t>Index</w:t>
      </w:r>
    </w:p>
    <w:p w14:paraId="0521F37B" w14:textId="77777777" w:rsidR="002B1FB5" w:rsidRDefault="002B1FB5" w:rsidP="002B1FB5">
      <w:r w:rsidRPr="0086281B">
        <w:rPr>
          <w:b/>
        </w:rPr>
        <w:tab/>
      </w:r>
      <w:r w:rsidRPr="0086281B">
        <w:t>EUGENOL</w:t>
      </w:r>
    </w:p>
    <w:p w14:paraId="2179FD0D" w14:textId="6EC48B53" w:rsidR="002B1FB5" w:rsidRPr="002B1FB5" w:rsidRDefault="002B1FB5" w:rsidP="002B1FB5">
      <w:pPr>
        <w:ind w:left="709"/>
      </w:pPr>
      <w:r>
        <w:t>Schedule 6</w:t>
      </w:r>
      <w:r>
        <w:br/>
      </w:r>
      <w:r>
        <w:tab/>
        <w:t>Schedule 5</w:t>
      </w:r>
      <w:r>
        <w:br/>
      </w:r>
      <w:r>
        <w:tab/>
        <w:t>Appendix E, Part 2</w:t>
      </w:r>
      <w:r>
        <w:br/>
      </w:r>
      <w:r>
        <w:tab/>
        <w:t>Appendix F, Part 3</w:t>
      </w:r>
    </w:p>
    <w:p w14:paraId="2F3789A9" w14:textId="306A48AC" w:rsidR="005F0424" w:rsidRDefault="005F0424" w:rsidP="00CF6A94">
      <w:pPr>
        <w:pStyle w:val="Heading4"/>
      </w:pPr>
      <w:bookmarkStart w:id="38" w:name="_Toc71182227"/>
      <w:r>
        <w:t>Key uses / expected use</w:t>
      </w:r>
      <w:bookmarkEnd w:id="38"/>
    </w:p>
    <w:p w14:paraId="00A8D251" w14:textId="185895BC" w:rsidR="005F0424" w:rsidRDefault="00BC7178" w:rsidP="002E1A00">
      <w:pPr>
        <w:spacing w:before="0" w:after="160" w:line="259" w:lineRule="auto"/>
      </w:pPr>
      <w:r w:rsidRPr="002E1A00">
        <w:t>Eugneol, or clove oil, has uses in cosmetic and domestic products in Australia and overseas (in moisturisers, hand and body wash products as well as a component of air fresheners, cleaning and polishing products). It is widely available as a component of essential oils</w:t>
      </w:r>
      <w:r w:rsidR="005E16BA">
        <w:t>,</w:t>
      </w:r>
      <w:r w:rsidRPr="002E1A00">
        <w:t xml:space="preserve"> and is also a component in medicines. </w:t>
      </w:r>
    </w:p>
    <w:p w14:paraId="1A9EACCF" w14:textId="4A953C14" w:rsidR="00EE3C3B" w:rsidRDefault="00EE3C3B" w:rsidP="00EE3C3B">
      <w:pPr>
        <w:pStyle w:val="Heading4"/>
      </w:pPr>
      <w:bookmarkStart w:id="39" w:name="_Toc71182228"/>
      <w:r>
        <w:t>Summary of reasons for proposal</w:t>
      </w:r>
      <w:bookmarkEnd w:id="39"/>
    </w:p>
    <w:p w14:paraId="04F0D698" w14:textId="5AED4E75" w:rsidR="00196568" w:rsidRDefault="00196568" w:rsidP="005F0424">
      <w:pPr>
        <w:pStyle w:val="ListBullet"/>
        <w:numPr>
          <w:ilvl w:val="0"/>
          <w:numId w:val="1"/>
        </w:numPr>
      </w:pPr>
      <w:r>
        <w:t>Eugenol is an aromatic oil extracted from cloves widely used as a flavouring for foods and to</w:t>
      </w:r>
      <w:r w:rsidR="00CF6C9B">
        <w:t xml:space="preserve"> </w:t>
      </w:r>
      <w:r>
        <w:t>topically treat toothache.</w:t>
      </w:r>
    </w:p>
    <w:p w14:paraId="7AE8D48F" w14:textId="7D962AB1" w:rsidR="005F0424" w:rsidRDefault="005F0424" w:rsidP="005F0424">
      <w:pPr>
        <w:pStyle w:val="ListBullet"/>
        <w:numPr>
          <w:ilvl w:val="0"/>
          <w:numId w:val="1"/>
        </w:numPr>
      </w:pPr>
      <w:r>
        <w:t>Eugenol has reported uses in cosmetic and domestic products in Australia, including moisturisers, hand and body wash products, air fresheners, cleaning and polishing products. It is also widely available as a component of essential oils.</w:t>
      </w:r>
    </w:p>
    <w:p w14:paraId="512F6BDB" w14:textId="77777777" w:rsidR="005F0424" w:rsidRDefault="005F0424" w:rsidP="005F0424">
      <w:pPr>
        <w:pStyle w:val="ListBullet"/>
        <w:numPr>
          <w:ilvl w:val="0"/>
          <w:numId w:val="1"/>
        </w:numPr>
      </w:pPr>
      <w:r>
        <w:t>It is a well-known skin sensitiser and eye irritant, verified across several scientific studies – conducted in rabbits, mice and guinea pigs.</w:t>
      </w:r>
    </w:p>
    <w:p w14:paraId="23499EC8" w14:textId="402C5CE8" w:rsidR="005F0424" w:rsidRDefault="005F0424" w:rsidP="005F0424">
      <w:pPr>
        <w:pStyle w:val="ListBullet"/>
        <w:numPr>
          <w:ilvl w:val="0"/>
          <w:numId w:val="1"/>
        </w:numPr>
      </w:pPr>
      <w:r>
        <w:lastRenderedPageBreak/>
        <w:t>Eugenol</w:t>
      </w:r>
      <w:r w:rsidRPr="00F17126">
        <w:t xml:space="preserve"> is listed as one of the most frequently reported allergens in consumer products</w:t>
      </w:r>
      <w:r>
        <w:t>, likely to induce a</w:t>
      </w:r>
      <w:r w:rsidR="001359E2">
        <w:t xml:space="preserve"> reaction in a </w:t>
      </w:r>
      <w:r>
        <w:t xml:space="preserve">significant proportion of the population, and is an ingredient in the fragrance mix used to diagnose fragrance contact allergy. </w:t>
      </w:r>
    </w:p>
    <w:p w14:paraId="5A5D198C" w14:textId="77777777" w:rsidR="005F0424" w:rsidRDefault="005F0424" w:rsidP="005F0424">
      <w:pPr>
        <w:pStyle w:val="ListBullet"/>
        <w:numPr>
          <w:ilvl w:val="0"/>
          <w:numId w:val="1"/>
        </w:numPr>
      </w:pPr>
      <w:r>
        <w:t>Due to its allergenic potential, eugenol use is regulated internationally:</w:t>
      </w:r>
    </w:p>
    <w:p w14:paraId="40AA0738" w14:textId="77777777" w:rsidR="005F0424" w:rsidRDefault="005F0424" w:rsidP="005F0424">
      <w:pPr>
        <w:pStyle w:val="ListBullet"/>
        <w:numPr>
          <w:ilvl w:val="0"/>
          <w:numId w:val="17"/>
        </w:numPr>
      </w:pPr>
      <w:r>
        <w:t>In the European Union (EU), cosmetics must not contain eugenol at concentrations above 0.001% in leave-on products or above 0.01% in rinse-off products. It must not be present in toys, except in trace amounts where its presence is unavoidable.</w:t>
      </w:r>
    </w:p>
    <w:p w14:paraId="55E3D6BE" w14:textId="77777777" w:rsidR="005F0424" w:rsidRDefault="005F0424" w:rsidP="005F0424">
      <w:pPr>
        <w:pStyle w:val="ListBullet"/>
        <w:numPr>
          <w:ilvl w:val="0"/>
          <w:numId w:val="17"/>
        </w:numPr>
      </w:pPr>
      <w:r>
        <w:t xml:space="preserve">The </w:t>
      </w:r>
      <w:r w:rsidRPr="00C25E9B">
        <w:t>International Fragrance Association</w:t>
      </w:r>
      <w:r>
        <w:t xml:space="preserve"> has restricted the use of eugenol in finished products at concentrations of 0.21 – 18% depending on the product category; a limit of 0.14 to 4.9 % concentration applies to products requiring skin contact.  </w:t>
      </w:r>
    </w:p>
    <w:p w14:paraId="20B22A57" w14:textId="77777777" w:rsidR="005F0424" w:rsidRPr="00F17126" w:rsidRDefault="005F0424" w:rsidP="005F0424">
      <w:pPr>
        <w:pStyle w:val="ListBullet"/>
        <w:numPr>
          <w:ilvl w:val="0"/>
          <w:numId w:val="1"/>
        </w:numPr>
      </w:pPr>
      <w:r>
        <w:t>The introduction of labelling requirements is an appropriate avenue to address elicitation of allergic responses and align with international restrictions.</w:t>
      </w:r>
    </w:p>
    <w:p w14:paraId="6E0F13FC" w14:textId="77777777" w:rsidR="005F0424" w:rsidRPr="00C11A45" w:rsidRDefault="005F0424" w:rsidP="005F0424">
      <w:pPr>
        <w:pStyle w:val="ListBullet"/>
        <w:numPr>
          <w:ilvl w:val="0"/>
          <w:numId w:val="1"/>
        </w:numPr>
      </w:pPr>
      <w:r>
        <w:t xml:space="preserve">It is recommended that the </w:t>
      </w:r>
      <w:r w:rsidRPr="00F03561">
        <w:t xml:space="preserve">current entries for </w:t>
      </w:r>
      <w:r>
        <w:t xml:space="preserve">eugenol </w:t>
      </w:r>
      <w:r w:rsidRPr="00F03561">
        <w:t>in Schedule 5 and 6</w:t>
      </w:r>
      <w:r>
        <w:t xml:space="preserve"> be amended</w:t>
      </w:r>
      <w:r w:rsidRPr="00F03561">
        <w:t xml:space="preserve"> to reduce the concentration cut-off for use in cosmetic preparations</w:t>
      </w:r>
      <w:r>
        <w:t xml:space="preserve"> intended for skin contact. </w:t>
      </w:r>
    </w:p>
    <w:p w14:paraId="537E9638" w14:textId="5CFE3EEB" w:rsidR="005F0424" w:rsidRDefault="005F0424" w:rsidP="005F0424">
      <w:pPr>
        <w:pStyle w:val="Heading4"/>
      </w:pPr>
      <w:bookmarkStart w:id="40" w:name="_Toc71182229"/>
      <w:r w:rsidRPr="00DC5AE0">
        <w:t xml:space="preserve">Australian </w:t>
      </w:r>
      <w:r>
        <w:t>regulations</w:t>
      </w:r>
      <w:bookmarkEnd w:id="40"/>
      <w:r w:rsidRPr="00DC5AE0">
        <w:t xml:space="preserve"> </w:t>
      </w:r>
    </w:p>
    <w:p w14:paraId="20C0AA78" w14:textId="54208887" w:rsidR="00111BE6" w:rsidRPr="00196568" w:rsidRDefault="00111BE6" w:rsidP="00196568">
      <w:pPr>
        <w:spacing w:after="120"/>
        <w:rPr>
          <w:rFonts w:eastAsia="Times New Roman"/>
          <w:color w:val="001523"/>
          <w:szCs w:val="22"/>
        </w:rPr>
      </w:pPr>
      <w:r w:rsidRPr="00FB102A">
        <w:rPr>
          <w:rFonts w:eastAsia="Times New Roman"/>
          <w:bCs/>
          <w:color w:val="001523"/>
          <w:szCs w:val="22"/>
        </w:rPr>
        <w:t>As of April 2021:</w:t>
      </w:r>
    </w:p>
    <w:p w14:paraId="3A55BCEF" w14:textId="31BF98FD" w:rsidR="005F0424" w:rsidRDefault="00111BE6" w:rsidP="005F0424">
      <w:pPr>
        <w:pStyle w:val="ListBullet"/>
        <w:numPr>
          <w:ilvl w:val="0"/>
          <w:numId w:val="1"/>
        </w:numPr>
      </w:pPr>
      <w:r>
        <w:t>eugenol is available for the following uses according to the</w:t>
      </w:r>
      <w:r w:rsidR="005F0424">
        <w:t xml:space="preserve"> </w:t>
      </w:r>
      <w:hyperlink r:id="rId47" w:history="1">
        <w:r w:rsidR="00684E81" w:rsidRPr="00C66C5E">
          <w:rPr>
            <w:rStyle w:val="Hyperlink"/>
          </w:rPr>
          <w:t xml:space="preserve">TGA </w:t>
        </w:r>
        <w:r w:rsidR="00684E81">
          <w:rPr>
            <w:rStyle w:val="Hyperlink"/>
          </w:rPr>
          <w:t xml:space="preserve">Ingredient </w:t>
        </w:r>
        <w:r w:rsidR="00684E81" w:rsidRPr="00C66C5E">
          <w:rPr>
            <w:rStyle w:val="Hyperlink"/>
          </w:rPr>
          <w:t>Database</w:t>
        </w:r>
      </w:hyperlink>
      <w:r w:rsidR="00684E81">
        <w:rPr>
          <w:rStyle w:val="FootnoteReference"/>
        </w:rPr>
        <w:footnoteReference w:id="1"/>
      </w:r>
      <w:r w:rsidR="005F0424">
        <w:t>:</w:t>
      </w:r>
    </w:p>
    <w:p w14:paraId="063DE775" w14:textId="1B887A68" w:rsidR="005F0424" w:rsidRDefault="00111BE6" w:rsidP="005F0424">
      <w:pPr>
        <w:pStyle w:val="ListBullet"/>
        <w:numPr>
          <w:ilvl w:val="0"/>
          <w:numId w:val="17"/>
        </w:numPr>
      </w:pPr>
      <w:r>
        <w:t>a</w:t>
      </w:r>
      <w:r w:rsidR="005F0424">
        <w:t>vailable for use as an active ingredient in biologicals, export only, over the counter and prescription medicines</w:t>
      </w:r>
    </w:p>
    <w:p w14:paraId="0FE523B0" w14:textId="03C53595" w:rsidR="005F0424" w:rsidRDefault="00111BE6" w:rsidP="005F0424">
      <w:pPr>
        <w:pStyle w:val="ListBullet"/>
        <w:numPr>
          <w:ilvl w:val="0"/>
          <w:numId w:val="17"/>
        </w:numPr>
      </w:pPr>
      <w:r>
        <w:t>a</w:t>
      </w:r>
      <w:r w:rsidR="005F0424">
        <w:t>vailable for use as an excipient ingredient in biologicals, devices, export only, listed medicines, over the counter and prescription medicines</w:t>
      </w:r>
    </w:p>
    <w:p w14:paraId="6496C28B" w14:textId="60BF7A8A" w:rsidR="005F0424" w:rsidRPr="004B772D" w:rsidRDefault="00111BE6" w:rsidP="005F0424">
      <w:pPr>
        <w:pStyle w:val="ListBullet"/>
        <w:numPr>
          <w:ilvl w:val="0"/>
          <w:numId w:val="17"/>
        </w:numPr>
      </w:pPr>
      <w:r>
        <w:t>a</w:t>
      </w:r>
      <w:r w:rsidR="005F0424">
        <w:t>vailable as an equivalent ingredient in listed medicines</w:t>
      </w:r>
    </w:p>
    <w:p w14:paraId="06B243C3" w14:textId="322294A3" w:rsidR="005F0424" w:rsidRDefault="005F0424" w:rsidP="005F0424">
      <w:pPr>
        <w:pStyle w:val="ListBullet"/>
        <w:numPr>
          <w:ilvl w:val="0"/>
          <w:numId w:val="1"/>
        </w:numPr>
      </w:pPr>
      <w:r>
        <w:t>t</w:t>
      </w:r>
      <w:r w:rsidRPr="00881DFE">
        <w:t xml:space="preserve">here </w:t>
      </w:r>
      <w:r>
        <w:t>were 333 medicines</w:t>
      </w:r>
      <w:r w:rsidRPr="00881DFE">
        <w:t xml:space="preserve"> currently active on the </w:t>
      </w:r>
      <w:hyperlink r:id="rId48" w:history="1">
        <w:r w:rsidR="00D93B74" w:rsidRPr="00293CCA">
          <w:rPr>
            <w:rStyle w:val="Hyperlink"/>
          </w:rPr>
          <w:t>Australian Register of Therapeutic Goods (ARTG)</w:t>
        </w:r>
      </w:hyperlink>
      <w:r w:rsidR="00D93B74">
        <w:rPr>
          <w:rStyle w:val="FootnoteReference"/>
        </w:rPr>
        <w:footnoteReference w:id="2"/>
      </w:r>
      <w:r w:rsidR="00D93B74">
        <w:t xml:space="preserve"> </w:t>
      </w:r>
      <w:r>
        <w:t xml:space="preserve">that contain eugenol. This included 143 listed medicines, 100 non-prescription medicines and 59 prescription medicines. Eugenol was not an active ingredient in any product. </w:t>
      </w:r>
    </w:p>
    <w:p w14:paraId="7FDE4D94" w14:textId="064EFA54" w:rsidR="005F0424" w:rsidRDefault="00111BE6" w:rsidP="005F0424">
      <w:pPr>
        <w:pStyle w:val="ListBullet"/>
        <w:numPr>
          <w:ilvl w:val="0"/>
          <w:numId w:val="1"/>
        </w:numPr>
      </w:pPr>
      <w:r>
        <w:rPr>
          <w:rFonts w:asciiTheme="minorHAnsi" w:hAnsiTheme="minorHAnsi"/>
          <w:szCs w:val="22"/>
        </w:rPr>
        <w:t>e</w:t>
      </w:r>
      <w:r w:rsidR="005F0424">
        <w:rPr>
          <w:rFonts w:asciiTheme="minorHAnsi" w:hAnsiTheme="minorHAnsi"/>
          <w:szCs w:val="22"/>
        </w:rPr>
        <w:t>ugenol</w:t>
      </w:r>
      <w:r w:rsidR="005F0424">
        <w:t xml:space="preserve"> is</w:t>
      </w:r>
      <w:r w:rsidR="005F0424" w:rsidRPr="009C55D5">
        <w:t xml:space="preserve"> permitted to be included in listed medicines </w:t>
      </w:r>
      <w:r w:rsidR="005F0424">
        <w:t xml:space="preserve">as it is included in the </w:t>
      </w:r>
      <w:hyperlink r:id="rId49" w:history="1">
        <w:r w:rsidR="005F0424" w:rsidRPr="00824CAC">
          <w:rPr>
            <w:rStyle w:val="Hyperlink"/>
          </w:rPr>
          <w:t>Therapeutic Goods (Permissible Ingredients) Determination</w:t>
        </w:r>
      </w:hyperlink>
      <w:r w:rsidR="005F0424">
        <w:rPr>
          <w:rStyle w:val="FootnoteReference"/>
        </w:rPr>
        <w:footnoteReference w:id="3"/>
      </w:r>
      <w:r w:rsidR="005F0424" w:rsidRPr="009C55D5">
        <w:t xml:space="preserve"> No</w:t>
      </w:r>
      <w:r w:rsidR="005F0424" w:rsidRPr="008E7CBC">
        <w:t>.1 of 2021</w:t>
      </w:r>
      <w:r w:rsidR="005F0424">
        <w:t xml:space="preserve"> as follows:</w:t>
      </w:r>
    </w:p>
    <w:tbl>
      <w:tblPr>
        <w:tblStyle w:val="TableTGAblue"/>
        <w:tblW w:w="9346" w:type="dxa"/>
        <w:tblLook w:val="04A0" w:firstRow="1" w:lastRow="0" w:firstColumn="1" w:lastColumn="0" w:noHBand="0" w:noVBand="1"/>
      </w:tblPr>
      <w:tblGrid>
        <w:gridCol w:w="704"/>
        <w:gridCol w:w="1287"/>
        <w:gridCol w:w="1244"/>
        <w:gridCol w:w="6111"/>
      </w:tblGrid>
      <w:tr w:rsidR="00F66FBF" w:rsidRPr="00F66FBF" w14:paraId="0BA3E162" w14:textId="77777777" w:rsidTr="00F66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hideMark/>
          </w:tcPr>
          <w:p w14:paraId="0E531A62" w14:textId="77777777" w:rsidR="005F0424" w:rsidRPr="00F66FBF" w:rsidRDefault="005F0424" w:rsidP="005F0424">
            <w:pPr>
              <w:spacing w:before="60" w:after="0"/>
              <w:rPr>
                <w:rFonts w:asciiTheme="minorHAnsi" w:eastAsia="Times New Roman" w:hAnsiTheme="minorHAnsi"/>
                <w:b w:val="0"/>
                <w:bCs/>
                <w:color w:val="FFFFFF" w:themeColor="background1"/>
                <w:szCs w:val="22"/>
                <w:lang w:eastAsia="en-AU"/>
              </w:rPr>
            </w:pPr>
            <w:r w:rsidRPr="00F66FBF">
              <w:rPr>
                <w:rFonts w:asciiTheme="minorHAnsi" w:eastAsia="Times New Roman" w:hAnsiTheme="minorHAnsi"/>
                <w:b w:val="0"/>
                <w:bCs/>
                <w:color w:val="FFFFFF" w:themeColor="background1"/>
                <w:szCs w:val="22"/>
                <w:lang w:eastAsia="en-AU"/>
              </w:rPr>
              <w:lastRenderedPageBreak/>
              <w:t>Item</w:t>
            </w:r>
          </w:p>
        </w:tc>
        <w:tc>
          <w:tcPr>
            <w:tcW w:w="1289" w:type="dxa"/>
            <w:hideMark/>
          </w:tcPr>
          <w:p w14:paraId="2527DF92" w14:textId="77777777" w:rsidR="005F0424" w:rsidRPr="00F66FBF" w:rsidRDefault="005F0424" w:rsidP="005F0424">
            <w:pPr>
              <w:spacing w:before="60"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color w:val="FFFFFF" w:themeColor="background1"/>
                <w:szCs w:val="22"/>
                <w:lang w:eastAsia="en-AU"/>
              </w:rPr>
            </w:pPr>
            <w:r w:rsidRPr="00F66FBF">
              <w:rPr>
                <w:rFonts w:asciiTheme="minorHAnsi" w:eastAsia="Times New Roman" w:hAnsiTheme="minorHAnsi"/>
                <w:b w:val="0"/>
                <w:bCs/>
                <w:color w:val="FFFFFF" w:themeColor="background1"/>
                <w:szCs w:val="22"/>
                <w:lang w:eastAsia="en-AU"/>
              </w:rPr>
              <w:t>Ingredient name</w:t>
            </w:r>
          </w:p>
        </w:tc>
        <w:tc>
          <w:tcPr>
            <w:tcW w:w="1116" w:type="dxa"/>
            <w:hideMark/>
          </w:tcPr>
          <w:p w14:paraId="05B89FD6" w14:textId="77777777" w:rsidR="005F0424" w:rsidRPr="00F66FBF" w:rsidRDefault="005F0424" w:rsidP="005F0424">
            <w:pPr>
              <w:spacing w:before="60"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color w:val="FFFFFF" w:themeColor="background1"/>
                <w:szCs w:val="22"/>
                <w:lang w:eastAsia="en-AU"/>
              </w:rPr>
            </w:pPr>
            <w:r w:rsidRPr="00F66FBF">
              <w:rPr>
                <w:rFonts w:asciiTheme="minorHAnsi" w:eastAsia="Times New Roman" w:hAnsiTheme="minorHAnsi"/>
                <w:b w:val="0"/>
                <w:bCs/>
                <w:color w:val="FFFFFF" w:themeColor="background1"/>
                <w:szCs w:val="22"/>
                <w:lang w:eastAsia="en-AU"/>
              </w:rPr>
              <w:t>Purpose</w:t>
            </w:r>
          </w:p>
        </w:tc>
        <w:tc>
          <w:tcPr>
            <w:tcW w:w="6237" w:type="dxa"/>
            <w:hideMark/>
          </w:tcPr>
          <w:p w14:paraId="16D88646" w14:textId="77777777" w:rsidR="005F0424" w:rsidRPr="00F66FBF" w:rsidRDefault="005F0424" w:rsidP="005F0424">
            <w:pPr>
              <w:spacing w:before="60"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color w:val="FFFFFF" w:themeColor="background1"/>
                <w:szCs w:val="22"/>
                <w:lang w:eastAsia="en-AU"/>
              </w:rPr>
            </w:pPr>
            <w:r w:rsidRPr="00F66FBF">
              <w:rPr>
                <w:rFonts w:asciiTheme="minorHAnsi" w:eastAsia="Times New Roman" w:hAnsiTheme="minorHAnsi"/>
                <w:b w:val="0"/>
                <w:bCs/>
                <w:color w:val="FFFFFF" w:themeColor="background1"/>
                <w:szCs w:val="22"/>
                <w:lang w:eastAsia="en-AU"/>
              </w:rPr>
              <w:t>Specific requirements</w:t>
            </w:r>
          </w:p>
        </w:tc>
      </w:tr>
      <w:tr w:rsidR="005F0424" w:rsidRPr="005F7375" w14:paraId="510FCF78" w14:textId="77777777" w:rsidTr="00F66FBF">
        <w:tc>
          <w:tcPr>
            <w:cnfStyle w:val="001000000000" w:firstRow="0" w:lastRow="0" w:firstColumn="1" w:lastColumn="0" w:oddVBand="0" w:evenVBand="0" w:oddHBand="0" w:evenHBand="0" w:firstRowFirstColumn="0" w:firstRowLastColumn="0" w:lastRowFirstColumn="0" w:lastRowLastColumn="0"/>
            <w:tcW w:w="704" w:type="dxa"/>
          </w:tcPr>
          <w:p w14:paraId="290A17B0" w14:textId="77777777" w:rsidR="005F0424" w:rsidRPr="005F7375" w:rsidRDefault="005F0424" w:rsidP="005F0424">
            <w:pPr>
              <w:keepNext/>
              <w:spacing w:before="60" w:after="0"/>
              <w:rPr>
                <w:rFonts w:asciiTheme="minorHAnsi" w:eastAsia="Times New Roman" w:hAnsiTheme="minorHAnsi"/>
                <w:b/>
                <w:bCs/>
                <w:szCs w:val="22"/>
                <w:lang w:eastAsia="en-AU"/>
              </w:rPr>
            </w:pPr>
            <w:r w:rsidRPr="005F7375">
              <w:rPr>
                <w:rFonts w:asciiTheme="minorHAnsi" w:hAnsiTheme="minorHAnsi"/>
                <w:szCs w:val="22"/>
              </w:rPr>
              <w:t>2152</w:t>
            </w:r>
          </w:p>
        </w:tc>
        <w:tc>
          <w:tcPr>
            <w:tcW w:w="1289" w:type="dxa"/>
          </w:tcPr>
          <w:p w14:paraId="033B7F6D" w14:textId="77777777" w:rsidR="005F0424" w:rsidRPr="005F7375" w:rsidRDefault="005F0424" w:rsidP="005F0424">
            <w:pPr>
              <w:keepNext/>
              <w:spacing w:before="6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szCs w:val="22"/>
                <w:lang w:eastAsia="en-AU"/>
              </w:rPr>
            </w:pPr>
            <w:r w:rsidRPr="005F7375">
              <w:rPr>
                <w:rFonts w:asciiTheme="minorHAnsi" w:hAnsiTheme="minorHAnsi"/>
                <w:szCs w:val="22"/>
              </w:rPr>
              <w:t>EUGENOL</w:t>
            </w:r>
          </w:p>
        </w:tc>
        <w:tc>
          <w:tcPr>
            <w:tcW w:w="1116" w:type="dxa"/>
          </w:tcPr>
          <w:p w14:paraId="1C942CD3" w14:textId="77777777" w:rsidR="005F0424" w:rsidRPr="005F7375" w:rsidRDefault="005F0424" w:rsidP="005F0424">
            <w:pPr>
              <w:keepNext/>
              <w:spacing w:before="6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szCs w:val="22"/>
                <w:lang w:eastAsia="en-AU"/>
              </w:rPr>
            </w:pPr>
            <w:r w:rsidRPr="005F7375">
              <w:rPr>
                <w:rFonts w:asciiTheme="minorHAnsi" w:hAnsiTheme="minorHAnsi"/>
                <w:szCs w:val="22"/>
              </w:rPr>
              <w:t>E</w:t>
            </w:r>
            <w:r>
              <w:rPr>
                <w:rFonts w:asciiTheme="minorHAnsi" w:hAnsiTheme="minorHAnsi"/>
                <w:szCs w:val="22"/>
              </w:rPr>
              <w:t xml:space="preserve"> (excipient)</w:t>
            </w:r>
          </w:p>
        </w:tc>
        <w:tc>
          <w:tcPr>
            <w:tcW w:w="6237" w:type="dxa"/>
          </w:tcPr>
          <w:p w14:paraId="7B886548" w14:textId="77777777" w:rsidR="005F0424" w:rsidRPr="005F7375" w:rsidRDefault="005F0424" w:rsidP="005F0424">
            <w:pPr>
              <w:pStyle w:val="tabletext"/>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7375">
              <w:rPr>
                <w:rFonts w:asciiTheme="minorHAnsi" w:hAnsiTheme="minorHAnsi"/>
                <w:sz w:val="22"/>
                <w:szCs w:val="22"/>
              </w:rPr>
              <w:t>When for oral ingestion, eugenol must not comprise more than 0.06% of the formulation.</w:t>
            </w:r>
          </w:p>
          <w:p w14:paraId="3AA268B4" w14:textId="77777777" w:rsidR="005F0424" w:rsidRPr="005F7375" w:rsidRDefault="005F0424" w:rsidP="005F0424">
            <w:pPr>
              <w:pStyle w:val="tabletext"/>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7375">
              <w:rPr>
                <w:rFonts w:asciiTheme="minorHAnsi" w:hAnsiTheme="minorHAnsi"/>
                <w:sz w:val="22"/>
                <w:szCs w:val="22"/>
              </w:rPr>
              <w:t>When used in topical medicines for dermal application, the following apply:</w:t>
            </w:r>
          </w:p>
          <w:p w14:paraId="03978A73" w14:textId="48E7E764" w:rsidR="005F0424" w:rsidRPr="005F7375" w:rsidRDefault="005F0424" w:rsidP="005F0424">
            <w:pPr>
              <w:pStyle w:val="tabletext"/>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7375">
              <w:rPr>
                <w:rFonts w:asciiTheme="minorHAnsi" w:hAnsiTheme="minorHAnsi"/>
                <w:sz w:val="22"/>
                <w:szCs w:val="22"/>
              </w:rPr>
              <w:t>a) When the concentration of Eugenol in the preparation is more than 25%, the nominal capacity of the co</w:t>
            </w:r>
            <w:r w:rsidR="002F7926">
              <w:rPr>
                <w:rFonts w:asciiTheme="minorHAnsi" w:hAnsiTheme="minorHAnsi"/>
                <w:sz w:val="22"/>
                <w:szCs w:val="22"/>
              </w:rPr>
              <w:t>ntainer must be no more than 25</w:t>
            </w:r>
            <w:r w:rsidRPr="005F7375">
              <w:rPr>
                <w:rFonts w:asciiTheme="minorHAnsi" w:hAnsiTheme="minorHAnsi"/>
                <w:sz w:val="22"/>
                <w:szCs w:val="22"/>
              </w:rPr>
              <w:t xml:space="preserve">mL. </w:t>
            </w:r>
          </w:p>
          <w:p w14:paraId="67A71513" w14:textId="77777777" w:rsidR="005F0424" w:rsidRPr="005F7375" w:rsidRDefault="005F0424" w:rsidP="005F0424">
            <w:pPr>
              <w:pStyle w:val="tabletext"/>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7375">
              <w:rPr>
                <w:rFonts w:asciiTheme="minorHAnsi" w:hAnsiTheme="minorHAnsi"/>
                <w:sz w:val="22"/>
                <w:szCs w:val="22"/>
              </w:rP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0FE055B1" w14:textId="77777777" w:rsidR="005F0424" w:rsidRPr="005F7375" w:rsidRDefault="005F0424" w:rsidP="005F0424">
            <w:pPr>
              <w:pStyle w:val="tabletext"/>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7375">
              <w:rPr>
                <w:rFonts w:asciiTheme="minorHAnsi" w:hAnsiTheme="minorHAnsi"/>
                <w:sz w:val="22"/>
                <w:szCs w:val="22"/>
              </w:rPr>
              <w:t xml:space="preserve">- (CHILD) ‘Keep out of reach of children’ (or words to that effect) </w:t>
            </w:r>
          </w:p>
          <w:p w14:paraId="2C442E56" w14:textId="77777777" w:rsidR="005F0424" w:rsidRPr="005F7375" w:rsidRDefault="005F0424" w:rsidP="005F0424">
            <w:pPr>
              <w:pStyle w:val="tabletext"/>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7375">
              <w:rPr>
                <w:rFonts w:asciiTheme="minorHAnsi" w:hAnsiTheme="minorHAnsi"/>
                <w:sz w:val="22"/>
                <w:szCs w:val="22"/>
              </w:rPr>
              <w:t xml:space="preserve">- (NTAKEN) ‘Not to be taken’ </w:t>
            </w:r>
          </w:p>
          <w:p w14:paraId="4EB25436" w14:textId="77777777" w:rsidR="005F0424" w:rsidRPr="005F7375" w:rsidRDefault="005F0424" w:rsidP="005F0424">
            <w:pPr>
              <w:pStyle w:val="tabletext"/>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7375">
              <w:rPr>
                <w:rFonts w:asciiTheme="minorHAnsi" w:hAnsiTheme="minorHAnsi"/>
                <w:sz w:val="22"/>
                <w:szCs w:val="22"/>
              </w:rP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2A557396" w14:textId="77777777" w:rsidR="005F0424" w:rsidRPr="005F7375" w:rsidRDefault="005F0424" w:rsidP="005F0424">
            <w:pPr>
              <w:pStyle w:val="tabletext"/>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7375">
              <w:rPr>
                <w:rFonts w:asciiTheme="minorHAnsi" w:hAnsiTheme="minorHAnsi"/>
                <w:sz w:val="22"/>
                <w:szCs w:val="22"/>
              </w:rPr>
              <w:t>- (CHILD) ‘Keep out of reach of children’ (or words to that effect)</w:t>
            </w:r>
          </w:p>
          <w:p w14:paraId="2B3FFE69" w14:textId="77777777" w:rsidR="005F0424" w:rsidRPr="005F7375" w:rsidRDefault="005F0424" w:rsidP="005F0424">
            <w:pPr>
              <w:keepNext/>
              <w:spacing w:before="6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szCs w:val="22"/>
                <w:lang w:eastAsia="en-AU"/>
              </w:rPr>
            </w:pPr>
            <w:r w:rsidRPr="005F7375">
              <w:rPr>
                <w:rFonts w:asciiTheme="minorHAnsi" w:hAnsiTheme="minorHAnsi"/>
                <w:szCs w:val="22"/>
              </w:rPr>
              <w:t>- (NTAKEN) ‘Not to be taken’</w:t>
            </w:r>
          </w:p>
        </w:tc>
      </w:tr>
    </w:tbl>
    <w:p w14:paraId="3B513FE6" w14:textId="596C43DA" w:rsidR="00684E81" w:rsidRDefault="00111BE6" w:rsidP="00684E81">
      <w:pPr>
        <w:pStyle w:val="ListBullet"/>
        <w:numPr>
          <w:ilvl w:val="0"/>
          <w:numId w:val="36"/>
        </w:numPr>
      </w:pPr>
      <w:r>
        <w:t>e</w:t>
      </w:r>
      <w:r w:rsidR="005F0424">
        <w:t xml:space="preserve">ugenol is not included </w:t>
      </w:r>
      <w:r w:rsidR="00D85661">
        <w:t xml:space="preserve">in </w:t>
      </w:r>
      <w:r w:rsidR="005F0424">
        <w:t xml:space="preserve">the </w:t>
      </w:r>
      <w:hyperlink r:id="rId50" w:history="1">
        <w:r w:rsidR="00684E81" w:rsidRPr="00C81411">
          <w:rPr>
            <w:rStyle w:val="Hyperlink"/>
          </w:rPr>
          <w:t xml:space="preserve">TGA </w:t>
        </w:r>
        <w:r w:rsidR="00684E81">
          <w:rPr>
            <w:rStyle w:val="Hyperlink"/>
          </w:rPr>
          <w:t>p</w:t>
        </w:r>
        <w:r w:rsidR="00684E81" w:rsidRPr="00C81411">
          <w:rPr>
            <w:rStyle w:val="Hyperlink"/>
          </w:rPr>
          <w:t>rescribing medicines in pregnancy database</w:t>
        </w:r>
      </w:hyperlink>
      <w:r w:rsidR="00684E81">
        <w:rPr>
          <w:rStyle w:val="FootnoteReference"/>
        </w:rPr>
        <w:footnoteReference w:id="4"/>
      </w:r>
    </w:p>
    <w:p w14:paraId="494515A9" w14:textId="75E0588C" w:rsidR="005F0424" w:rsidRPr="00684E81" w:rsidRDefault="00111BE6" w:rsidP="0040269F">
      <w:pPr>
        <w:pStyle w:val="ListBullet"/>
        <w:numPr>
          <w:ilvl w:val="0"/>
          <w:numId w:val="1"/>
        </w:numPr>
        <w:rPr>
          <w:rStyle w:val="Hyperlink"/>
          <w:color w:val="auto"/>
          <w:u w:val="none"/>
        </w:rPr>
      </w:pPr>
      <w:r>
        <w:t>s</w:t>
      </w:r>
      <w:r w:rsidR="005F0424">
        <w:t xml:space="preserve">everal </w:t>
      </w:r>
      <w:r w:rsidR="005F0424" w:rsidRPr="00A30084">
        <w:t xml:space="preserve">warning statements pertaining </w:t>
      </w:r>
      <w:r w:rsidR="005F0424">
        <w:t xml:space="preserve">to </w:t>
      </w:r>
      <w:r w:rsidR="005F0424" w:rsidRPr="00684E81">
        <w:rPr>
          <w:rFonts w:asciiTheme="minorHAnsi" w:hAnsiTheme="minorHAnsi"/>
          <w:szCs w:val="22"/>
        </w:rPr>
        <w:t>eugenol are listed</w:t>
      </w:r>
      <w:r w:rsidR="005F0424">
        <w:t xml:space="preserve"> in the </w:t>
      </w:r>
      <w:hyperlink r:id="rId51" w:history="1">
        <w:r w:rsidR="00684E81" w:rsidRPr="00AB7BF5">
          <w:rPr>
            <w:rStyle w:val="Hyperlink"/>
          </w:rPr>
          <w:t>Therapeutic Goods (Medicines Advisory Statements) Specification 2019</w:t>
        </w:r>
      </w:hyperlink>
      <w:r w:rsidR="00684E81">
        <w:rPr>
          <w:rStyle w:val="FootnoteReference"/>
        </w:rPr>
        <w:footnoteReference w:id="5"/>
      </w:r>
      <w:r w:rsidR="005F0424" w:rsidRPr="00684E81">
        <w:rPr>
          <w:rStyle w:val="Hyperlink"/>
          <w:color w:val="auto"/>
          <w:u w:val="none"/>
        </w:rPr>
        <w:t xml:space="preserve"> as follows:</w:t>
      </w:r>
    </w:p>
    <w:tbl>
      <w:tblPr>
        <w:tblStyle w:val="TableTGAblue"/>
        <w:tblW w:w="5000" w:type="pct"/>
        <w:tblLook w:val="04A0" w:firstRow="1" w:lastRow="0" w:firstColumn="1" w:lastColumn="0" w:noHBand="0" w:noVBand="1"/>
      </w:tblPr>
      <w:tblGrid>
        <w:gridCol w:w="1547"/>
        <w:gridCol w:w="3966"/>
        <w:gridCol w:w="3537"/>
      </w:tblGrid>
      <w:tr w:rsidR="005F0424" w:rsidRPr="005F7375" w14:paraId="47E90ECA" w14:textId="77777777" w:rsidTr="00F66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hideMark/>
          </w:tcPr>
          <w:p w14:paraId="7A5CCCCF" w14:textId="77777777" w:rsidR="005F0424" w:rsidRPr="005F7375" w:rsidRDefault="005F0424" w:rsidP="005F0424">
            <w:pPr>
              <w:spacing w:before="60" w:after="60" w:line="240" w:lineRule="auto"/>
              <w:rPr>
                <w:rFonts w:asciiTheme="minorHAnsi" w:eastAsia="Times New Roman" w:hAnsiTheme="minorHAnsi"/>
                <w:szCs w:val="22"/>
                <w:lang w:eastAsia="en-AU"/>
              </w:rPr>
            </w:pPr>
            <w:r w:rsidRPr="005F7375">
              <w:rPr>
                <w:rFonts w:asciiTheme="minorHAnsi" w:eastAsia="Times New Roman" w:hAnsiTheme="minorHAnsi"/>
                <w:b w:val="0"/>
                <w:bCs/>
                <w:szCs w:val="22"/>
                <w:lang w:eastAsia="en-AU"/>
              </w:rPr>
              <w:t>Substance(s)</w:t>
            </w:r>
          </w:p>
        </w:tc>
        <w:tc>
          <w:tcPr>
            <w:tcW w:w="2191" w:type="pct"/>
            <w:hideMark/>
          </w:tcPr>
          <w:p w14:paraId="552A07ED" w14:textId="77777777" w:rsidR="005F0424" w:rsidRPr="005F7375" w:rsidRDefault="005F0424" w:rsidP="005F042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5F7375">
              <w:rPr>
                <w:rFonts w:asciiTheme="minorHAnsi" w:eastAsia="Times New Roman" w:hAnsiTheme="minorHAnsi"/>
                <w:b w:val="0"/>
                <w:bCs/>
                <w:szCs w:val="22"/>
                <w:lang w:eastAsia="en-AU"/>
              </w:rPr>
              <w:t>Conditions</w:t>
            </w:r>
          </w:p>
        </w:tc>
        <w:tc>
          <w:tcPr>
            <w:tcW w:w="1954" w:type="pct"/>
            <w:hideMark/>
          </w:tcPr>
          <w:p w14:paraId="487EEA23" w14:textId="77777777" w:rsidR="005F0424" w:rsidRPr="005F7375" w:rsidRDefault="005F0424" w:rsidP="005F042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5F7375">
              <w:rPr>
                <w:rFonts w:asciiTheme="minorHAnsi" w:eastAsia="Times New Roman" w:hAnsiTheme="minorHAnsi"/>
                <w:b w:val="0"/>
                <w:bCs/>
                <w:szCs w:val="22"/>
                <w:lang w:eastAsia="en-AU"/>
              </w:rPr>
              <w:t>Required statement(s)</w:t>
            </w:r>
          </w:p>
        </w:tc>
      </w:tr>
      <w:tr w:rsidR="005F0424" w:rsidRPr="005F7375" w14:paraId="7EBB77F7" w14:textId="77777777" w:rsidTr="00F66FBF">
        <w:tc>
          <w:tcPr>
            <w:cnfStyle w:val="001000000000" w:firstRow="0" w:lastRow="0" w:firstColumn="1" w:lastColumn="0" w:oddVBand="0" w:evenVBand="0" w:oddHBand="0" w:evenHBand="0" w:firstRowFirstColumn="0" w:firstRowLastColumn="0" w:lastRowFirstColumn="0" w:lastRowLastColumn="0"/>
            <w:tcW w:w="855" w:type="pct"/>
          </w:tcPr>
          <w:p w14:paraId="52E93F90" w14:textId="77777777" w:rsidR="005F0424" w:rsidRPr="006B340A" w:rsidRDefault="005F0424" w:rsidP="005F0424">
            <w:pPr>
              <w:spacing w:before="60" w:after="60"/>
              <w:rPr>
                <w:rFonts w:asciiTheme="minorHAnsi" w:hAnsiTheme="minorHAnsi"/>
                <w:szCs w:val="22"/>
                <w:lang w:eastAsia="en-AU"/>
              </w:rPr>
            </w:pPr>
            <w:r w:rsidRPr="006B340A">
              <w:rPr>
                <w:rFonts w:asciiTheme="minorHAnsi" w:hAnsiTheme="minorHAnsi"/>
                <w:snapToGrid w:val="0"/>
                <w:szCs w:val="22"/>
              </w:rPr>
              <w:t>Eugenol</w:t>
            </w:r>
          </w:p>
          <w:p w14:paraId="59384B88" w14:textId="77777777" w:rsidR="005F0424" w:rsidRPr="006B340A" w:rsidRDefault="005F0424" w:rsidP="005F0424">
            <w:pPr>
              <w:spacing w:before="60" w:after="60" w:line="240" w:lineRule="auto"/>
              <w:rPr>
                <w:rFonts w:asciiTheme="minorHAnsi" w:eastAsia="Times New Roman" w:hAnsiTheme="minorHAnsi"/>
                <w:b/>
                <w:bCs/>
                <w:szCs w:val="22"/>
                <w:lang w:eastAsia="en-AU"/>
              </w:rPr>
            </w:pPr>
            <w:r w:rsidRPr="006B340A">
              <w:rPr>
                <w:rFonts w:asciiTheme="minorHAnsi" w:hAnsiTheme="minorHAnsi"/>
                <w:i/>
                <w:iCs/>
                <w:snapToGrid w:val="0"/>
                <w:szCs w:val="22"/>
              </w:rPr>
              <w:t>(Entry 1 of 2)</w:t>
            </w:r>
          </w:p>
        </w:tc>
        <w:tc>
          <w:tcPr>
            <w:tcW w:w="2191" w:type="pct"/>
          </w:tcPr>
          <w:p w14:paraId="5FB6808A" w14:textId="77777777" w:rsidR="005F0424" w:rsidRPr="006B340A" w:rsidRDefault="005F0424" w:rsidP="005F042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B340A">
              <w:rPr>
                <w:rFonts w:asciiTheme="minorHAnsi" w:hAnsiTheme="minorHAnsi"/>
                <w:snapToGrid w:val="0"/>
                <w:szCs w:val="22"/>
              </w:rPr>
              <w:t xml:space="preserve">For the purpose of exclusion from the schedules to the SUSMP when: </w:t>
            </w:r>
          </w:p>
          <w:p w14:paraId="776E09B1" w14:textId="0F616C7E" w:rsidR="005F0424" w:rsidRPr="006B340A" w:rsidRDefault="00F13518" w:rsidP="005F0424">
            <w:pPr>
              <w:spacing w:before="60" w:after="60"/>
              <w:ind w:left="203" w:hanging="203"/>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napToGrid w:val="0"/>
                <w:szCs w:val="22"/>
              </w:rPr>
              <w:t>·</w:t>
            </w:r>
            <w:r w:rsidR="005F0424" w:rsidRPr="006B340A">
              <w:rPr>
                <w:rFonts w:asciiTheme="minorHAnsi" w:hAnsiTheme="minorHAnsi"/>
                <w:snapToGrid w:val="0"/>
                <w:szCs w:val="22"/>
              </w:rPr>
              <w:t>in preparations containing more than 25 per cent of eugenol; and</w:t>
            </w:r>
          </w:p>
          <w:p w14:paraId="5376CA27" w14:textId="10F9F315" w:rsidR="005F0424" w:rsidRPr="006B340A" w:rsidRDefault="00F13518" w:rsidP="005F0424">
            <w:pPr>
              <w:spacing w:before="60" w:after="60"/>
              <w:ind w:left="203" w:hanging="203"/>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napToGrid w:val="0"/>
                <w:szCs w:val="22"/>
              </w:rPr>
              <w:t>·</w:t>
            </w:r>
            <w:r w:rsidR="005F0424" w:rsidRPr="006B340A">
              <w:rPr>
                <w:rFonts w:asciiTheme="minorHAnsi" w:hAnsiTheme="minorHAnsi"/>
                <w:snapToGrid w:val="0"/>
                <w:szCs w:val="22"/>
              </w:rPr>
              <w:t>packed in containers having:</w:t>
            </w:r>
          </w:p>
          <w:p w14:paraId="0F3627F1" w14:textId="77777777" w:rsidR="005F0424" w:rsidRPr="006B340A" w:rsidRDefault="005F0424" w:rsidP="005F0424">
            <w:pPr>
              <w:spacing w:before="60" w:after="60"/>
              <w:ind w:left="486" w:hanging="283"/>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B340A">
              <w:rPr>
                <w:rFonts w:asciiTheme="minorHAnsi" w:hAnsiTheme="minorHAnsi"/>
                <w:snapToGrid w:val="0"/>
                <w:szCs w:val="22"/>
              </w:rPr>
              <w:t>-  a nominal capacity of 15 millilitres or less, fitted with a restricted flow insert; or</w:t>
            </w:r>
          </w:p>
          <w:p w14:paraId="2BA70000" w14:textId="77777777" w:rsidR="005F0424" w:rsidRPr="006B340A" w:rsidRDefault="005F0424" w:rsidP="005F042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szCs w:val="22"/>
                <w:lang w:eastAsia="en-AU"/>
              </w:rPr>
            </w:pPr>
            <w:r w:rsidRPr="006B340A">
              <w:rPr>
                <w:rFonts w:asciiTheme="minorHAnsi" w:hAnsiTheme="minorHAnsi"/>
                <w:snapToGrid w:val="0"/>
                <w:szCs w:val="22"/>
              </w:rPr>
              <w:t>-  a nominal capacity of 25 millilitres or less, fitted with a restricted flow insert and child-resistant closure</w:t>
            </w:r>
          </w:p>
        </w:tc>
        <w:tc>
          <w:tcPr>
            <w:tcW w:w="1954" w:type="pct"/>
          </w:tcPr>
          <w:p w14:paraId="40B7C35C" w14:textId="77777777" w:rsidR="005F0424" w:rsidRPr="006B340A" w:rsidRDefault="005F0424" w:rsidP="005F0424">
            <w:pPr>
              <w:pStyle w:val="ListBullet"/>
              <w:numPr>
                <w:ilvl w:val="0"/>
                <w:numId w:val="1"/>
              </w:numPr>
              <w:cnfStyle w:val="000000000000" w:firstRow="0" w:lastRow="0" w:firstColumn="0" w:lastColumn="0" w:oddVBand="0" w:evenVBand="0" w:oddHBand="0" w:evenHBand="0" w:firstRowFirstColumn="0" w:firstRowLastColumn="0" w:lastRowFirstColumn="0" w:lastRowLastColumn="0"/>
            </w:pPr>
            <w:r w:rsidRPr="006B340A">
              <w:t xml:space="preserve">KEEP OUT OF REACH OF CHILDREN.   </w:t>
            </w:r>
          </w:p>
          <w:p w14:paraId="64CE8593" w14:textId="77777777" w:rsidR="005F0424" w:rsidRPr="006B340A" w:rsidRDefault="005F0424" w:rsidP="005F0424">
            <w:pPr>
              <w:pStyle w:val="ListBullet"/>
              <w:numPr>
                <w:ilvl w:val="0"/>
                <w:numId w:val="1"/>
              </w:numPr>
              <w:cnfStyle w:val="000000000000" w:firstRow="0" w:lastRow="0" w:firstColumn="0" w:lastColumn="0" w:oddVBand="0" w:evenVBand="0" w:oddHBand="0" w:evenHBand="0" w:firstRowFirstColumn="0" w:firstRowLastColumn="0" w:lastRowFirstColumn="0" w:lastRowLastColumn="0"/>
            </w:pPr>
            <w:r w:rsidRPr="006B340A">
              <w:t xml:space="preserve">NOT TO BE TAKEN.  </w:t>
            </w:r>
          </w:p>
          <w:p w14:paraId="61E73A7B" w14:textId="77777777" w:rsidR="005F0424" w:rsidRPr="006B340A" w:rsidRDefault="005F0424" w:rsidP="005F042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szCs w:val="22"/>
                <w:lang w:eastAsia="en-AU"/>
              </w:rPr>
            </w:pPr>
            <w:r w:rsidRPr="006B340A">
              <w:rPr>
                <w:rFonts w:asciiTheme="minorHAnsi" w:hAnsiTheme="minorHAnsi"/>
                <w:szCs w:val="22"/>
              </w:rPr>
              <w:t> </w:t>
            </w:r>
          </w:p>
        </w:tc>
      </w:tr>
      <w:tr w:rsidR="005F0424" w:rsidRPr="005F7375" w14:paraId="242742AE" w14:textId="77777777" w:rsidTr="00F66FBF">
        <w:tc>
          <w:tcPr>
            <w:cnfStyle w:val="001000000000" w:firstRow="0" w:lastRow="0" w:firstColumn="1" w:lastColumn="0" w:oddVBand="0" w:evenVBand="0" w:oddHBand="0" w:evenHBand="0" w:firstRowFirstColumn="0" w:firstRowLastColumn="0" w:lastRowFirstColumn="0" w:lastRowLastColumn="0"/>
            <w:tcW w:w="855" w:type="pct"/>
          </w:tcPr>
          <w:p w14:paraId="78F64586" w14:textId="77777777" w:rsidR="005F0424" w:rsidRPr="006B340A" w:rsidRDefault="005F0424" w:rsidP="005F0424">
            <w:pPr>
              <w:spacing w:before="60" w:after="60"/>
              <w:rPr>
                <w:rFonts w:asciiTheme="minorHAnsi" w:hAnsiTheme="minorHAnsi"/>
                <w:szCs w:val="22"/>
              </w:rPr>
            </w:pPr>
            <w:r w:rsidRPr="006B340A">
              <w:rPr>
                <w:rFonts w:asciiTheme="minorHAnsi" w:hAnsiTheme="minorHAnsi"/>
                <w:snapToGrid w:val="0"/>
                <w:szCs w:val="22"/>
              </w:rPr>
              <w:lastRenderedPageBreak/>
              <w:t>Eugenol</w:t>
            </w:r>
          </w:p>
          <w:p w14:paraId="1AD61D31" w14:textId="77777777" w:rsidR="005F0424" w:rsidRPr="006B340A" w:rsidRDefault="005F0424" w:rsidP="005F0424">
            <w:pPr>
              <w:spacing w:before="60" w:after="60" w:line="240" w:lineRule="auto"/>
              <w:rPr>
                <w:rFonts w:asciiTheme="minorHAnsi" w:eastAsia="Times New Roman" w:hAnsiTheme="minorHAnsi"/>
                <w:b/>
                <w:bCs/>
                <w:szCs w:val="22"/>
                <w:lang w:eastAsia="en-AU"/>
              </w:rPr>
            </w:pPr>
            <w:r w:rsidRPr="006B340A">
              <w:rPr>
                <w:rFonts w:asciiTheme="minorHAnsi" w:hAnsiTheme="minorHAnsi"/>
                <w:i/>
                <w:iCs/>
                <w:snapToGrid w:val="0"/>
                <w:szCs w:val="22"/>
              </w:rPr>
              <w:t>(Entry 2 of 2)</w:t>
            </w:r>
          </w:p>
        </w:tc>
        <w:tc>
          <w:tcPr>
            <w:tcW w:w="2191" w:type="pct"/>
          </w:tcPr>
          <w:p w14:paraId="232AAFDA" w14:textId="77777777" w:rsidR="005F0424" w:rsidRPr="006B340A" w:rsidRDefault="005F0424" w:rsidP="005F042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szCs w:val="22"/>
                <w:lang w:eastAsia="en-AU"/>
              </w:rPr>
            </w:pPr>
            <w:r w:rsidRPr="006B340A">
              <w:rPr>
                <w:rFonts w:asciiTheme="minorHAnsi" w:hAnsiTheme="minorHAnsi"/>
                <w:snapToGrid w:val="0"/>
                <w:szCs w:val="22"/>
              </w:rPr>
              <w:t>When included in a schedule to the SUSMP</w:t>
            </w:r>
          </w:p>
        </w:tc>
        <w:tc>
          <w:tcPr>
            <w:tcW w:w="1954" w:type="pct"/>
          </w:tcPr>
          <w:p w14:paraId="37A909E0" w14:textId="77777777" w:rsidR="005F0424" w:rsidRPr="006B340A" w:rsidRDefault="005F0424" w:rsidP="005F0424">
            <w:pPr>
              <w:pStyle w:val="ListBullet"/>
              <w:numPr>
                <w:ilvl w:val="0"/>
                <w:numId w:val="1"/>
              </w:numPr>
              <w:cnfStyle w:val="000000000000" w:firstRow="0" w:lastRow="0" w:firstColumn="0" w:lastColumn="0" w:oddVBand="0" w:evenVBand="0" w:oddHBand="0" w:evenHBand="0" w:firstRowFirstColumn="0" w:firstRowLastColumn="0" w:lastRowFirstColumn="0" w:lastRowLastColumn="0"/>
              <w:rPr>
                <w:i/>
              </w:rPr>
            </w:pPr>
            <w:r w:rsidRPr="006B340A">
              <w:rPr>
                <w:i/>
              </w:rPr>
              <w:t>either</w:t>
            </w:r>
          </w:p>
          <w:p w14:paraId="6AEC9B62" w14:textId="77777777" w:rsidR="005F0424" w:rsidRDefault="005F0424" w:rsidP="005F0424">
            <w:pPr>
              <w:pStyle w:val="ListBullet2"/>
              <w:numPr>
                <w:ilvl w:val="1"/>
                <w:numId w:val="1"/>
              </w:numPr>
              <w:ind w:left="850" w:hanging="425"/>
              <w:cnfStyle w:val="000000000000" w:firstRow="0" w:lastRow="0" w:firstColumn="0" w:lastColumn="0" w:oddVBand="0" w:evenVBand="0" w:oddHBand="0" w:evenHBand="0" w:firstRowFirstColumn="0" w:firstRowLastColumn="0" w:lastRowFirstColumn="0" w:lastRowLastColumn="0"/>
            </w:pPr>
            <w:r w:rsidRPr="006B340A">
              <w:t>READ SAFETY DIRECTIONS [f]</w:t>
            </w:r>
          </w:p>
          <w:p w14:paraId="1211E39C" w14:textId="77777777" w:rsidR="005F0424" w:rsidRPr="006B340A" w:rsidRDefault="005F0424" w:rsidP="005F0424">
            <w:pPr>
              <w:pStyle w:val="ListBullet2"/>
              <w:numPr>
                <w:ilvl w:val="0"/>
                <w:numId w:val="0"/>
              </w:numPr>
              <w:ind w:left="425"/>
              <w:cnfStyle w:val="000000000000" w:firstRow="0" w:lastRow="0" w:firstColumn="0" w:lastColumn="0" w:oddVBand="0" w:evenVBand="0" w:oddHBand="0" w:evenHBand="0" w:firstRowFirstColumn="0" w:firstRowLastColumn="0" w:lastRowFirstColumn="0" w:lastRowLastColumn="0"/>
            </w:pPr>
            <w:r w:rsidRPr="006B340A">
              <w:rPr>
                <w:rFonts w:asciiTheme="minorHAnsi" w:hAnsiTheme="minorHAnsi"/>
                <w:i/>
                <w:iCs/>
                <w:szCs w:val="22"/>
              </w:rPr>
              <w:t>or</w:t>
            </w:r>
          </w:p>
          <w:p w14:paraId="53558574" w14:textId="77777777" w:rsidR="005F0424" w:rsidRPr="006B340A" w:rsidRDefault="005F0424" w:rsidP="005F0424">
            <w:pPr>
              <w:pStyle w:val="ListBullet2"/>
              <w:numPr>
                <w:ilvl w:val="1"/>
                <w:numId w:val="1"/>
              </w:numPr>
              <w:ind w:left="850" w:hanging="425"/>
              <w:cnfStyle w:val="000000000000" w:firstRow="0" w:lastRow="0" w:firstColumn="0" w:lastColumn="0" w:oddVBand="0" w:evenVBand="0" w:oddHBand="0" w:evenHBand="0" w:firstRowFirstColumn="0" w:firstRowLastColumn="0" w:lastRowFirstColumn="0" w:lastRowLastColumn="0"/>
            </w:pPr>
            <w:r w:rsidRPr="006B340A">
              <w:t>READ SAFETY DIRECTIONS BEFORE OPENING AND USING.  [f]</w:t>
            </w:r>
          </w:p>
          <w:p w14:paraId="12ED8C4F" w14:textId="77777777" w:rsidR="005F0424" w:rsidRDefault="005F0424" w:rsidP="005F0424">
            <w:pPr>
              <w:pStyle w:val="ListBullet"/>
              <w:numPr>
                <w:ilvl w:val="0"/>
                <w:numId w:val="1"/>
              </w:numPr>
              <w:cnfStyle w:val="000000000000" w:firstRow="0" w:lastRow="0" w:firstColumn="0" w:lastColumn="0" w:oddVBand="0" w:evenVBand="0" w:oddHBand="0" w:evenHBand="0" w:firstRowFirstColumn="0" w:firstRowLastColumn="0" w:lastRowFirstColumn="0" w:lastRowLastColumn="0"/>
            </w:pPr>
            <w:r w:rsidRPr="006B340A">
              <w:t>SAFETY DIRECTIONS</w:t>
            </w:r>
          </w:p>
          <w:p w14:paraId="3E2C6C05" w14:textId="77777777" w:rsidR="005F0424" w:rsidRPr="006B340A" w:rsidRDefault="005F0424" w:rsidP="005F0424">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6B340A">
              <w:rPr>
                <w:rFonts w:asciiTheme="minorHAnsi" w:hAnsiTheme="minorHAnsi"/>
                <w:szCs w:val="22"/>
              </w:rPr>
              <w:t xml:space="preserve">Avoid contact with eyes.   </w:t>
            </w:r>
          </w:p>
          <w:p w14:paraId="4938D3EF" w14:textId="77777777" w:rsidR="005F0424" w:rsidRPr="006B340A" w:rsidRDefault="005F0424" w:rsidP="005F0424">
            <w:pPr>
              <w:pStyle w:val="ListBullet"/>
              <w:numPr>
                <w:ilvl w:val="0"/>
                <w:numId w:val="1"/>
              </w:numPr>
              <w:cnfStyle w:val="000000000000" w:firstRow="0" w:lastRow="0" w:firstColumn="0" w:lastColumn="0" w:oddVBand="0" w:evenVBand="0" w:oddHBand="0" w:evenHBand="0" w:firstRowFirstColumn="0" w:firstRowLastColumn="0" w:lastRowFirstColumn="0" w:lastRowLastColumn="0"/>
              <w:rPr>
                <w:rFonts w:eastAsia="Times New Roman"/>
                <w:b/>
                <w:bCs/>
                <w:lang w:eastAsia="en-AU"/>
              </w:rPr>
            </w:pPr>
            <w:r w:rsidRPr="006B340A">
              <w:t>DO NOT SWALLOW.  [g]</w:t>
            </w:r>
          </w:p>
        </w:tc>
      </w:tr>
    </w:tbl>
    <w:p w14:paraId="58D17337" w14:textId="344343AA" w:rsidR="005F0424" w:rsidRPr="001F4A2F" w:rsidRDefault="005F0424" w:rsidP="005F0424">
      <w:pPr>
        <w:pStyle w:val="ListBullet"/>
        <w:numPr>
          <w:ilvl w:val="0"/>
          <w:numId w:val="1"/>
        </w:numPr>
      </w:pPr>
      <w:r>
        <w:t>Since January 2010, there were no</w:t>
      </w:r>
      <w:r w:rsidRPr="009C55D5">
        <w:t xml:space="preserve"> reports of adverse events for products containing </w:t>
      </w:r>
      <w:r>
        <w:rPr>
          <w:rFonts w:asciiTheme="minorHAnsi" w:hAnsiTheme="minorHAnsi"/>
          <w:szCs w:val="22"/>
        </w:rPr>
        <w:t>eugenol</w:t>
      </w:r>
      <w:r w:rsidRPr="009C55D5">
        <w:t xml:space="preserve"> as an active ingredient</w:t>
      </w:r>
      <w:r>
        <w:t xml:space="preserve"> on the </w:t>
      </w:r>
      <w:hyperlink r:id="rId52" w:history="1">
        <w:r w:rsidRPr="00F0449C">
          <w:rPr>
            <w:rStyle w:val="Hyperlink"/>
          </w:rPr>
          <w:t>Database of Adverse Event Notifications (DAEN)</w:t>
        </w:r>
      </w:hyperlink>
      <w:r w:rsidRPr="00F0449C">
        <w:rPr>
          <w:rStyle w:val="FootnoteReference"/>
        </w:rPr>
        <w:footnoteReference w:id="6"/>
      </w:r>
      <w:r>
        <w:t>.</w:t>
      </w:r>
    </w:p>
    <w:p w14:paraId="763DFB5D" w14:textId="4CE0D37A" w:rsidR="005F0424" w:rsidRDefault="005F0424" w:rsidP="005F0424">
      <w:pPr>
        <w:pStyle w:val="ListBullet"/>
        <w:numPr>
          <w:ilvl w:val="0"/>
          <w:numId w:val="1"/>
        </w:numPr>
      </w:pPr>
      <w:r>
        <w:t>As of April 2021, t</w:t>
      </w:r>
      <w:r w:rsidRPr="00F0449C">
        <w:t xml:space="preserve">here </w:t>
      </w:r>
      <w:r>
        <w:t>were</w:t>
      </w:r>
      <w:r w:rsidRPr="00F0449C">
        <w:t xml:space="preserve"> </w:t>
      </w:r>
      <w:r w:rsidR="00102995">
        <w:t>three</w:t>
      </w:r>
      <w:r w:rsidRPr="00F0449C">
        <w:t xml:space="preserve"> products containing </w:t>
      </w:r>
      <w:r>
        <w:rPr>
          <w:rFonts w:asciiTheme="minorHAnsi" w:hAnsiTheme="minorHAnsi"/>
          <w:szCs w:val="22"/>
        </w:rPr>
        <w:t>eugenol</w:t>
      </w:r>
      <w:r w:rsidRPr="00F0449C">
        <w:t xml:space="preserve"> listed on the </w:t>
      </w:r>
      <w:hyperlink r:id="rId53"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7"/>
      </w:r>
      <w:r>
        <w:t xml:space="preserve"> </w:t>
      </w:r>
    </w:p>
    <w:p w14:paraId="42E11EB0" w14:textId="7213628C" w:rsidR="005F0424" w:rsidRPr="001E22D8" w:rsidRDefault="005F0424" w:rsidP="005F0424">
      <w:pPr>
        <w:pStyle w:val="ListBullet"/>
        <w:numPr>
          <w:ilvl w:val="0"/>
          <w:numId w:val="1"/>
        </w:numPr>
      </w:pPr>
      <w:r>
        <w:t xml:space="preserve">Since January 2010, there were no reports of adverse experiences recorded for eugenol in the </w:t>
      </w:r>
      <w:hyperlink r:id="rId54" w:history="1">
        <w:r w:rsidRPr="006B6023">
          <w:rPr>
            <w:rStyle w:val="Hyperlink"/>
          </w:rPr>
          <w:t>A</w:t>
        </w:r>
        <w:r>
          <w:rPr>
            <w:rStyle w:val="Hyperlink"/>
          </w:rPr>
          <w:t>PVMA A</w:t>
        </w:r>
        <w:r w:rsidRPr="006B6023">
          <w:rPr>
            <w:rStyle w:val="Hyperlink"/>
          </w:rPr>
          <w:t>dverse Experience Reporting Program</w:t>
        </w:r>
      </w:hyperlink>
      <w:r>
        <w:rPr>
          <w:rStyle w:val="Hyperlink"/>
        </w:rPr>
        <w:t xml:space="preserve"> database (AERP)</w:t>
      </w:r>
      <w:r w:rsidRPr="00911753">
        <w:rPr>
          <w:rStyle w:val="FootnoteReference"/>
        </w:rPr>
        <w:footnoteReference w:id="8"/>
      </w:r>
    </w:p>
    <w:p w14:paraId="5163222C" w14:textId="77777777" w:rsidR="005F0424" w:rsidRDefault="005F0424" w:rsidP="005F0424">
      <w:pPr>
        <w:pStyle w:val="Heading4"/>
      </w:pPr>
      <w:bookmarkStart w:id="41" w:name="_Toc71182230"/>
      <w:r>
        <w:t>International regulations</w:t>
      </w:r>
      <w:bookmarkEnd w:id="41"/>
    </w:p>
    <w:p w14:paraId="6322E2D3" w14:textId="77777777" w:rsidR="005F0424" w:rsidRDefault="005F0424" w:rsidP="005F0424">
      <w:r>
        <w:t>As of April 2021, eugenol:</w:t>
      </w:r>
    </w:p>
    <w:p w14:paraId="4C64A79F" w14:textId="77777777" w:rsidR="005F0424" w:rsidRDefault="005F0424" w:rsidP="005F0424">
      <w:pPr>
        <w:pStyle w:val="ListBullet"/>
        <w:numPr>
          <w:ilvl w:val="0"/>
          <w:numId w:val="34"/>
        </w:numPr>
        <w:spacing w:line="240" w:lineRule="auto"/>
      </w:pPr>
      <w:r>
        <w:t xml:space="preserve">was not in the </w:t>
      </w:r>
      <w:hyperlink r:id="rId55" w:history="1">
        <w:r>
          <w:rPr>
            <w:rStyle w:val="Hyperlink"/>
          </w:rPr>
          <w:t>WHO Model List of Essential Medicines 2019</w:t>
        </w:r>
      </w:hyperlink>
      <w:r>
        <w:t xml:space="preserve"> or United States Food and Drug Administration Approved Drug Products Database (</w:t>
      </w:r>
      <w:hyperlink r:id="rId56" w:history="1">
        <w:r>
          <w:rPr>
            <w:rStyle w:val="Hyperlink"/>
          </w:rPr>
          <w:t>Drugs@FDA</w:t>
        </w:r>
      </w:hyperlink>
      <w:r>
        <w:t>)</w:t>
      </w:r>
    </w:p>
    <w:p w14:paraId="4C7F58FA" w14:textId="0218989F" w:rsidR="005F0424" w:rsidRDefault="005F0424" w:rsidP="005F0424">
      <w:pPr>
        <w:pStyle w:val="ListBullet"/>
        <w:numPr>
          <w:ilvl w:val="0"/>
          <w:numId w:val="34"/>
        </w:numPr>
        <w:spacing w:line="240" w:lineRule="auto"/>
      </w:pPr>
      <w:r>
        <w:t xml:space="preserve">was in the </w:t>
      </w:r>
      <w:hyperlink r:id="rId57" w:history="1">
        <w:r>
          <w:rPr>
            <w:rStyle w:val="Hyperlink"/>
          </w:rPr>
          <w:t>European Commission database for information on cosmetic substances and ingredients</w:t>
        </w:r>
      </w:hyperlink>
      <w:r>
        <w:t>. A 1999 report by the Scientific Committee on Consumer Products</w:t>
      </w:r>
      <w:r w:rsidR="00CF6C9B">
        <w:t xml:space="preserve"> (SCCP),</w:t>
      </w:r>
      <w:r>
        <w:t xml:space="preserve"> (associated with the European Comission) listed eugenol as one of the most frequently reported and well-recognised consumer allergens</w:t>
      </w:r>
    </w:p>
    <w:p w14:paraId="4C853CF8" w14:textId="77777777" w:rsidR="005F0424" w:rsidRDefault="005F0424" w:rsidP="005F0424">
      <w:pPr>
        <w:pStyle w:val="ListBullet"/>
        <w:numPr>
          <w:ilvl w:val="0"/>
          <w:numId w:val="35"/>
        </w:numPr>
      </w:pPr>
      <w:r>
        <w:t xml:space="preserve">was the active ingredient in eight products in the </w:t>
      </w:r>
      <w:hyperlink r:id="rId58" w:history="1">
        <w:r>
          <w:rPr>
            <w:rStyle w:val="Hyperlink"/>
          </w:rPr>
          <w:t>Canadian (Health Canada) Drug Product Database</w:t>
        </w:r>
      </w:hyperlink>
      <w:r>
        <w:t>, with the status of all products being cancelled post market</w:t>
      </w:r>
    </w:p>
    <w:p w14:paraId="2E80E13E" w14:textId="77777777" w:rsidR="005F0424" w:rsidRDefault="005F0424" w:rsidP="005F0424">
      <w:pPr>
        <w:pStyle w:val="ListBullet"/>
        <w:numPr>
          <w:ilvl w:val="0"/>
          <w:numId w:val="34"/>
        </w:numPr>
        <w:spacing w:line="240" w:lineRule="auto"/>
      </w:pPr>
      <w:r>
        <w:t xml:space="preserve">is not in the </w:t>
      </w:r>
      <w:hyperlink r:id="rId59" w:history="1">
        <w:r>
          <w:rPr>
            <w:rStyle w:val="Hyperlink"/>
          </w:rPr>
          <w:t>Health Products Regulatory Authority of Ireland</w:t>
        </w:r>
      </w:hyperlink>
      <w:r>
        <w:rPr>
          <w:rStyle w:val="Hyperlink"/>
        </w:rPr>
        <w:t xml:space="preserve"> </w:t>
      </w:r>
      <w:r>
        <w:t>database</w:t>
      </w:r>
    </w:p>
    <w:p w14:paraId="214DD7A0" w14:textId="77777777" w:rsidR="005F0424" w:rsidRDefault="005F0424" w:rsidP="005F0424">
      <w:pPr>
        <w:pStyle w:val="ListBullet"/>
        <w:numPr>
          <w:ilvl w:val="0"/>
          <w:numId w:val="34"/>
        </w:numPr>
        <w:spacing w:line="240" w:lineRule="auto"/>
      </w:pPr>
      <w:r>
        <w:t xml:space="preserve">was added to the </w:t>
      </w:r>
      <w:hyperlink r:id="rId60" w:tgtFrame="_blank" w:tooltip="link to the NZ EPA website" w:history="1">
        <w:r>
          <w:rPr>
            <w:rStyle w:val="Hyperlink"/>
          </w:rPr>
          <w:t>New Zealand Inventory of Chemicals (NZIoC)</w:t>
        </w:r>
      </w:hyperlink>
      <w:r>
        <w:rPr>
          <w:vertAlign w:val="superscript"/>
        </w:rPr>
        <w:t xml:space="preserve"> </w:t>
      </w:r>
      <w:r>
        <w:t>on 1 December 2006</w:t>
      </w:r>
    </w:p>
    <w:p w14:paraId="4255CF45" w14:textId="49018855" w:rsidR="005F0424" w:rsidRDefault="005F0424" w:rsidP="005F0424">
      <w:pPr>
        <w:pStyle w:val="ListBullet"/>
        <w:numPr>
          <w:ilvl w:val="0"/>
          <w:numId w:val="34"/>
        </w:numPr>
        <w:spacing w:line="240" w:lineRule="auto"/>
        <w:rPr>
          <w:rStyle w:val="Hyperlink"/>
          <w:color w:val="auto"/>
          <w:u w:val="none"/>
        </w:rPr>
      </w:pPr>
      <w:r>
        <w:t xml:space="preserve">is not in the </w:t>
      </w:r>
      <w:hyperlink r:id="rId61" w:tgtFrame="_blank" w:tooltip="link to the Medsafe website" w:history="1">
        <w:r>
          <w:rPr>
            <w:rStyle w:val="Hyperlink"/>
          </w:rPr>
          <w:t>New Zealand Medicines and Medical Devices Safety Authority (MedSafe</w:t>
        </w:r>
      </w:hyperlink>
      <w:r>
        <w:rPr>
          <w:rStyle w:val="Hyperlink"/>
        </w:rPr>
        <w:t>)</w:t>
      </w:r>
      <w:r>
        <w:rPr>
          <w:rStyle w:val="Hyperlink"/>
          <w:color w:val="auto"/>
          <w:u w:val="none"/>
        </w:rPr>
        <w:t xml:space="preserve"> Medicines Classification Database.</w:t>
      </w:r>
    </w:p>
    <w:p w14:paraId="6391C693" w14:textId="5B8FE934" w:rsidR="006F5FD7" w:rsidRPr="009401F6" w:rsidRDefault="006F5FD7" w:rsidP="006F5FD7">
      <w:pPr>
        <w:pStyle w:val="Heading3"/>
      </w:pPr>
      <w:bookmarkStart w:id="42" w:name="_Toc71182231"/>
      <w:r>
        <w:lastRenderedPageBreak/>
        <w:t>Lead acetates</w:t>
      </w:r>
      <w:r w:rsidR="00E57EAF">
        <w:t xml:space="preserve"> and </w:t>
      </w:r>
      <w:r w:rsidR="007E034D">
        <w:t xml:space="preserve">other </w:t>
      </w:r>
      <w:r w:rsidR="00E57EAF">
        <w:t>lead compounds</w:t>
      </w:r>
      <w:bookmarkEnd w:id="42"/>
    </w:p>
    <w:p w14:paraId="6A7BED83" w14:textId="77777777" w:rsidR="006F5FD7" w:rsidRDefault="006F5FD7" w:rsidP="006F5FD7">
      <w:pPr>
        <w:pStyle w:val="Heading4"/>
      </w:pPr>
      <w:bookmarkStart w:id="43" w:name="_Toc71182232"/>
      <w:r>
        <w:t>Proposal</w:t>
      </w:r>
      <w:bookmarkEnd w:id="43"/>
    </w:p>
    <w:p w14:paraId="2F539AF3" w14:textId="2D1770F5" w:rsidR="006F5FD7" w:rsidRDefault="00251574" w:rsidP="006F5FD7">
      <w:r>
        <w:t xml:space="preserve">The </w:t>
      </w:r>
      <w:r w:rsidR="00062AFC" w:rsidRPr="00A51C8F">
        <w:t>Delegate of the Secretary of the Commonwealth Department of Health</w:t>
      </w:r>
      <w:r w:rsidR="00062AFC">
        <w:t xml:space="preserve"> (the Delegate) </w:t>
      </w:r>
      <w:r w:rsidR="00A8194B">
        <w:t xml:space="preserve"> proposes to amend the</w:t>
      </w:r>
      <w:r w:rsidR="006F5FD7">
        <w:t xml:space="preserve"> </w:t>
      </w:r>
      <w:r w:rsidR="00DE391D">
        <w:t>entries</w:t>
      </w:r>
      <w:r w:rsidR="006F5FD7">
        <w:t xml:space="preserve"> for lead </w:t>
      </w:r>
      <w:r w:rsidR="00CF6A94">
        <w:t xml:space="preserve">acetates </w:t>
      </w:r>
      <w:r w:rsidR="006F5FD7">
        <w:t>to prohibit sale, supply or use of products containing th</w:t>
      </w:r>
      <w:r w:rsidR="00A8194B">
        <w:t>e</w:t>
      </w:r>
      <w:r w:rsidR="006F5FD7">
        <w:t>s</w:t>
      </w:r>
      <w:r w:rsidR="00A8194B">
        <w:t>e</w:t>
      </w:r>
      <w:r w:rsidR="006F5FD7">
        <w:t xml:space="preserve"> substance</w:t>
      </w:r>
      <w:r w:rsidR="00A8194B">
        <w:t>s</w:t>
      </w:r>
      <w:r w:rsidR="006F5FD7">
        <w:t>.</w:t>
      </w:r>
    </w:p>
    <w:p w14:paraId="3AB9B622" w14:textId="566C5722" w:rsidR="00A8194B" w:rsidRPr="00D75206" w:rsidRDefault="00600656" w:rsidP="006F5FD7">
      <w:r>
        <w:t xml:space="preserve">Note that there is a </w:t>
      </w:r>
      <w:hyperlink r:id="rId62" w:history="1">
        <w:r w:rsidRPr="006A1230">
          <w:rPr>
            <w:rStyle w:val="Hyperlink"/>
          </w:rPr>
          <w:t>proposal to amend the Poisons Standard</w:t>
        </w:r>
      </w:hyperlink>
      <w:r>
        <w:t xml:space="preserve"> for lead compounds </w:t>
      </w:r>
      <w:r w:rsidR="00CF6A94">
        <w:t xml:space="preserve">in paints, tinters, inks and ink additives </w:t>
      </w:r>
      <w:r>
        <w:t>currently being considered (for which no decision has yet been made).</w:t>
      </w:r>
    </w:p>
    <w:p w14:paraId="356C2662" w14:textId="6C4E0D4F" w:rsidR="006F5FD7" w:rsidRDefault="006F5FD7" w:rsidP="006F5FD7">
      <w:pPr>
        <w:pStyle w:val="Heading4"/>
      </w:pPr>
      <w:bookmarkStart w:id="44" w:name="_Toc71182233"/>
      <w:r>
        <w:t>CAS number</w:t>
      </w:r>
      <w:r w:rsidR="00251574">
        <w:t>(s)</w:t>
      </w:r>
      <w:r>
        <w:t>:</w:t>
      </w:r>
      <w:bookmarkEnd w:id="44"/>
    </w:p>
    <w:p w14:paraId="110949BB" w14:textId="5781879F" w:rsidR="006F5FD7" w:rsidRDefault="006F5FD7" w:rsidP="006F5FD7">
      <w:r>
        <w:t>301-04-2</w:t>
      </w:r>
      <w:r w:rsidR="00911753">
        <w:t xml:space="preserve"> (lead acetate)</w:t>
      </w:r>
    </w:p>
    <w:p w14:paraId="2C5E5364" w14:textId="48A56C84" w:rsidR="006F5FD7" w:rsidRDefault="006F5FD7" w:rsidP="006F5FD7">
      <w:r>
        <w:t>546-67-8</w:t>
      </w:r>
      <w:r w:rsidR="00911753">
        <w:t xml:space="preserve"> (lead tetraacetate)</w:t>
      </w:r>
      <w:r w:rsidR="008C57CB">
        <w:t xml:space="preserve"> </w:t>
      </w:r>
    </w:p>
    <w:p w14:paraId="39B1EF9B" w14:textId="3440DAF7" w:rsidR="006F5FD7" w:rsidRDefault="006F5FD7" w:rsidP="006F5FD7">
      <w:r>
        <w:t>1335-32-6</w:t>
      </w:r>
      <w:r w:rsidR="00911753">
        <w:t xml:space="preserve"> (lead subacetate)</w:t>
      </w:r>
    </w:p>
    <w:p w14:paraId="7A41E3B3" w14:textId="371D0382" w:rsidR="006F5FD7" w:rsidRDefault="006F5FD7" w:rsidP="006F5FD7">
      <w:r>
        <w:t>6080-56-4</w:t>
      </w:r>
      <w:r w:rsidR="00911753">
        <w:t xml:space="preserve"> (lead acetate trihydrate)</w:t>
      </w:r>
    </w:p>
    <w:p w14:paraId="4CC9346D" w14:textId="6F1C5A88" w:rsidR="006F5FD7" w:rsidRDefault="006F5FD7" w:rsidP="006F5FD7">
      <w:r>
        <w:t>51404-69-4</w:t>
      </w:r>
      <w:r w:rsidR="00911753">
        <w:t xml:space="preserve"> (lead acetate basic)</w:t>
      </w:r>
    </w:p>
    <w:p w14:paraId="5DED10BD" w14:textId="77777777" w:rsidR="006F5FD7" w:rsidRDefault="006F5FD7" w:rsidP="006F5FD7">
      <w:pPr>
        <w:pStyle w:val="Heading4"/>
      </w:pPr>
      <w:bookmarkStart w:id="45" w:name="_Toc71182234"/>
      <w:r>
        <w:t>Alternative names</w:t>
      </w:r>
      <w:bookmarkEnd w:id="45"/>
    </w:p>
    <w:p w14:paraId="6AA80603" w14:textId="7D4C08A4" w:rsidR="006F5FD7" w:rsidRDefault="00A8194B" w:rsidP="006F5FD7">
      <w:r>
        <w:t xml:space="preserve">(for lead acetates): </w:t>
      </w:r>
      <w:r w:rsidR="00911753">
        <w:t>P</w:t>
      </w:r>
      <w:r w:rsidR="006F5FD7">
        <w:t>lumbous acetate; sugar of lead; salt of Saturn</w:t>
      </w:r>
    </w:p>
    <w:p w14:paraId="6D6A2D24" w14:textId="77777777" w:rsidR="006F5FD7" w:rsidRDefault="006F5FD7" w:rsidP="006F5FD7">
      <w:pPr>
        <w:pStyle w:val="Heading4"/>
      </w:pPr>
      <w:bookmarkStart w:id="46" w:name="_Toc71182235"/>
      <w:r>
        <w:t>Current scheduling</w:t>
      </w:r>
      <w:bookmarkEnd w:id="46"/>
    </w:p>
    <w:p w14:paraId="1D52A841" w14:textId="3ACEDA5D" w:rsidR="006F5FD7" w:rsidRDefault="006F5FD7" w:rsidP="006F5FD7">
      <w:pPr>
        <w:rPr>
          <w:rFonts w:asciiTheme="minorHAnsi" w:hAnsiTheme="minorHAnsi" w:cstheme="minorHAnsi"/>
        </w:rPr>
      </w:pPr>
      <w:r>
        <w:rPr>
          <w:rFonts w:asciiTheme="minorHAnsi" w:hAnsiTheme="minorHAnsi" w:cstheme="minorHAnsi"/>
        </w:rPr>
        <w:t>Lead and lead compounds are</w:t>
      </w:r>
      <w:r w:rsidRPr="00AF12F6">
        <w:rPr>
          <w:rFonts w:asciiTheme="minorHAnsi" w:hAnsiTheme="minorHAnsi" w:cstheme="minorHAnsi"/>
        </w:rPr>
        <w:t xml:space="preserve"> currently listed in Schedules </w:t>
      </w:r>
      <w:r w:rsidR="00911753">
        <w:rPr>
          <w:rFonts w:asciiTheme="minorHAnsi" w:hAnsiTheme="minorHAnsi" w:cstheme="minorHAnsi"/>
        </w:rPr>
        <w:t xml:space="preserve">4, </w:t>
      </w:r>
      <w:r>
        <w:rPr>
          <w:rFonts w:asciiTheme="minorHAnsi" w:hAnsiTheme="minorHAnsi" w:cstheme="minorHAnsi"/>
        </w:rPr>
        <w:t>5, 6 and 10 of the Poisons Standard as follows:</w:t>
      </w:r>
    </w:p>
    <w:p w14:paraId="070D87EE" w14:textId="77777777" w:rsidR="006F5FD7" w:rsidRPr="006D5C84" w:rsidRDefault="006F5FD7" w:rsidP="006F5FD7">
      <w:pPr>
        <w:ind w:left="426"/>
        <w:rPr>
          <w:b/>
        </w:rPr>
      </w:pPr>
      <w:r w:rsidRPr="006D5C84">
        <w:rPr>
          <w:b/>
        </w:rPr>
        <w:t xml:space="preserve">Schedule </w:t>
      </w:r>
      <w:r w:rsidRPr="00EA1706">
        <w:rPr>
          <w:b/>
        </w:rPr>
        <w:t>10</w:t>
      </w:r>
    </w:p>
    <w:p w14:paraId="2D245F6C" w14:textId="77777777" w:rsidR="006F5FD7" w:rsidRDefault="006F5FD7" w:rsidP="006F5FD7">
      <w:pPr>
        <w:ind w:left="426"/>
        <w:rPr>
          <w:rFonts w:asciiTheme="minorHAnsi" w:hAnsiTheme="minorHAnsi" w:cstheme="minorHAnsi"/>
        </w:rPr>
      </w:pPr>
      <w:r>
        <w:rPr>
          <w:rFonts w:asciiTheme="minorHAnsi" w:hAnsiTheme="minorHAnsi" w:cstheme="minorHAnsi"/>
        </w:rPr>
        <w:t xml:space="preserve">LEAD COMPOUNDS in paints, tinters, inks or ink additives except in </w:t>
      </w:r>
      <w:r w:rsidRPr="00EA1706">
        <w:rPr>
          <w:rFonts w:asciiTheme="minorHAnsi" w:hAnsiTheme="minorHAnsi" w:cstheme="minorHAnsi"/>
        </w:rPr>
        <w:t>preparations containing 0.1 per cent or less of lead calculated on the non-volatile content of the paint, tinter, ink or ink additive.</w:t>
      </w:r>
    </w:p>
    <w:p w14:paraId="676D8148" w14:textId="77777777" w:rsidR="006F5FD7" w:rsidRPr="00EA1706" w:rsidRDefault="006F5FD7" w:rsidP="006F5FD7">
      <w:pPr>
        <w:ind w:left="426"/>
        <w:rPr>
          <w:rFonts w:asciiTheme="minorHAnsi" w:hAnsiTheme="minorHAnsi" w:cstheme="minorHAnsi"/>
          <w:b/>
        </w:rPr>
      </w:pPr>
      <w:r w:rsidRPr="00EA1706">
        <w:rPr>
          <w:rFonts w:asciiTheme="minorHAnsi" w:hAnsiTheme="minorHAnsi" w:cstheme="minorHAnsi"/>
          <w:b/>
        </w:rPr>
        <w:t>Schedule 6</w:t>
      </w:r>
    </w:p>
    <w:p w14:paraId="6F059932" w14:textId="77777777" w:rsidR="006F5FD7" w:rsidRPr="00EA1706" w:rsidRDefault="006F5FD7" w:rsidP="006F5FD7">
      <w:pPr>
        <w:ind w:left="426"/>
        <w:rPr>
          <w:rFonts w:asciiTheme="minorHAnsi" w:hAnsiTheme="minorHAnsi" w:cstheme="minorHAnsi"/>
        </w:rPr>
      </w:pPr>
      <w:r w:rsidRPr="00EA1706">
        <w:rPr>
          <w:rFonts w:asciiTheme="minorHAnsi" w:hAnsiTheme="minorHAnsi" w:cstheme="minorHAnsi"/>
        </w:rPr>
        <w:t>LEAD COMPOUNDS except:</w:t>
      </w:r>
    </w:p>
    <w:p w14:paraId="44D2FE89" w14:textId="77777777" w:rsidR="006F5FD7" w:rsidRPr="00EA1706" w:rsidRDefault="006F5FD7" w:rsidP="006F5FD7">
      <w:pPr>
        <w:ind w:left="426"/>
        <w:rPr>
          <w:rFonts w:asciiTheme="minorHAnsi" w:hAnsiTheme="minorHAnsi" w:cstheme="minorHAnsi"/>
        </w:rPr>
      </w:pPr>
      <w:r w:rsidRPr="00EA1706">
        <w:rPr>
          <w:rFonts w:asciiTheme="minorHAnsi" w:hAnsiTheme="minorHAnsi" w:cstheme="minorHAnsi"/>
        </w:rPr>
        <w:t>a) when included in Schedule 4 or 5;</w:t>
      </w:r>
    </w:p>
    <w:p w14:paraId="6D7BB2D8" w14:textId="77777777" w:rsidR="006F5FD7" w:rsidRPr="00EA1706" w:rsidRDefault="006F5FD7" w:rsidP="006F5FD7">
      <w:pPr>
        <w:ind w:left="426"/>
        <w:rPr>
          <w:rFonts w:asciiTheme="minorHAnsi" w:hAnsiTheme="minorHAnsi" w:cstheme="minorHAnsi"/>
        </w:rPr>
      </w:pPr>
      <w:r w:rsidRPr="00EA1706">
        <w:rPr>
          <w:rFonts w:asciiTheme="minorHAnsi" w:hAnsiTheme="minorHAnsi" w:cstheme="minorHAnsi"/>
        </w:rPr>
        <w:t>b) in paints, tinters, inks or ink additives;</w:t>
      </w:r>
    </w:p>
    <w:p w14:paraId="3D8909F2" w14:textId="77777777" w:rsidR="006F5FD7" w:rsidRPr="00EA1706" w:rsidRDefault="006F5FD7" w:rsidP="006F5FD7">
      <w:pPr>
        <w:ind w:left="426"/>
        <w:rPr>
          <w:rFonts w:asciiTheme="minorHAnsi" w:hAnsiTheme="minorHAnsi" w:cstheme="minorHAnsi"/>
        </w:rPr>
      </w:pPr>
      <w:r w:rsidRPr="00EA1706">
        <w:rPr>
          <w:rFonts w:asciiTheme="minorHAnsi" w:hAnsiTheme="minorHAnsi" w:cstheme="minorHAnsi"/>
        </w:rPr>
        <w:t>c) in preparations for cosmetic use containing 100 mg/kg or less of lead;</w:t>
      </w:r>
    </w:p>
    <w:p w14:paraId="4D4F5DF5" w14:textId="77777777" w:rsidR="006F5FD7" w:rsidRPr="00EA1706" w:rsidRDefault="006F5FD7" w:rsidP="006F5FD7">
      <w:pPr>
        <w:ind w:left="426"/>
        <w:rPr>
          <w:rFonts w:asciiTheme="minorHAnsi" w:hAnsiTheme="minorHAnsi" w:cstheme="minorHAnsi"/>
        </w:rPr>
      </w:pPr>
      <w:r w:rsidRPr="00EA1706">
        <w:rPr>
          <w:rFonts w:asciiTheme="minorHAnsi" w:hAnsiTheme="minorHAnsi" w:cstheme="minorHAnsi"/>
        </w:rPr>
        <w:t>d) in pencil cores, finger colours, showcard colours, pastels, crayons, poster paints/colours or coloured chalks containing 100 mg/kg or less of lead; or</w:t>
      </w:r>
    </w:p>
    <w:p w14:paraId="78D4600F" w14:textId="77777777" w:rsidR="006F5FD7" w:rsidRPr="00EA1706" w:rsidRDefault="006F5FD7" w:rsidP="006F5FD7">
      <w:pPr>
        <w:ind w:left="426"/>
        <w:rPr>
          <w:rFonts w:asciiTheme="minorHAnsi" w:hAnsiTheme="minorHAnsi" w:cstheme="minorHAnsi"/>
        </w:rPr>
      </w:pPr>
      <w:r w:rsidRPr="00EA1706">
        <w:rPr>
          <w:rFonts w:asciiTheme="minorHAnsi" w:hAnsiTheme="minorHAnsi" w:cstheme="minorHAnsi"/>
        </w:rPr>
        <w:t>e) in ceramic glazes when labelled with the warning statement:</w:t>
      </w:r>
    </w:p>
    <w:p w14:paraId="06761A69" w14:textId="77777777" w:rsidR="006F5FD7" w:rsidRPr="00EA1706" w:rsidRDefault="006F5FD7" w:rsidP="006F5FD7">
      <w:pPr>
        <w:ind w:left="426"/>
        <w:rPr>
          <w:rFonts w:asciiTheme="minorHAnsi" w:hAnsiTheme="minorHAnsi" w:cstheme="minorHAnsi"/>
        </w:rPr>
      </w:pPr>
      <w:r>
        <w:rPr>
          <w:rFonts w:asciiTheme="minorHAnsi" w:hAnsiTheme="minorHAnsi" w:cstheme="minorHAnsi"/>
        </w:rPr>
        <w:tab/>
      </w:r>
      <w:r w:rsidRPr="00EA1706">
        <w:rPr>
          <w:rFonts w:asciiTheme="minorHAnsi" w:hAnsiTheme="minorHAnsi" w:cstheme="minorHAnsi"/>
        </w:rPr>
        <w:t xml:space="preserve">CAUTION – Harmful if swallowed. Do not use on surfaces which contact food or </w:t>
      </w:r>
      <w:r>
        <w:rPr>
          <w:rFonts w:asciiTheme="minorHAnsi" w:hAnsiTheme="minorHAnsi" w:cstheme="minorHAnsi"/>
        </w:rPr>
        <w:tab/>
      </w:r>
      <w:r w:rsidRPr="00EA1706">
        <w:rPr>
          <w:rFonts w:asciiTheme="minorHAnsi" w:hAnsiTheme="minorHAnsi" w:cstheme="minorHAnsi"/>
        </w:rPr>
        <w:t>drink.</w:t>
      </w:r>
    </w:p>
    <w:p w14:paraId="7BDFE477" w14:textId="77777777" w:rsidR="006F5FD7" w:rsidRDefault="006F5FD7" w:rsidP="006F5FD7">
      <w:pPr>
        <w:ind w:left="426"/>
        <w:rPr>
          <w:rFonts w:asciiTheme="minorHAnsi" w:hAnsiTheme="minorHAnsi" w:cstheme="minorHAnsi"/>
        </w:rPr>
      </w:pPr>
      <w:r>
        <w:rPr>
          <w:rFonts w:asciiTheme="minorHAnsi" w:hAnsiTheme="minorHAnsi" w:cstheme="minorHAnsi"/>
        </w:rPr>
        <w:tab/>
      </w:r>
      <w:r w:rsidRPr="00EA1706">
        <w:rPr>
          <w:rFonts w:asciiTheme="minorHAnsi" w:hAnsiTheme="minorHAnsi" w:cstheme="minorHAnsi"/>
        </w:rPr>
        <w:t>written in letters not less than 1.5 mm in height.</w:t>
      </w:r>
    </w:p>
    <w:p w14:paraId="574C9D85" w14:textId="77777777" w:rsidR="006F5FD7" w:rsidRPr="00EA1706" w:rsidRDefault="006F5FD7" w:rsidP="006F5FD7">
      <w:pPr>
        <w:ind w:left="426"/>
        <w:rPr>
          <w:rFonts w:asciiTheme="minorHAnsi" w:hAnsiTheme="minorHAnsi" w:cstheme="minorHAnsi"/>
          <w:b/>
        </w:rPr>
      </w:pPr>
      <w:r w:rsidRPr="00EA1706">
        <w:rPr>
          <w:rFonts w:asciiTheme="minorHAnsi" w:hAnsiTheme="minorHAnsi" w:cstheme="minorHAnsi"/>
          <w:b/>
        </w:rPr>
        <w:lastRenderedPageBreak/>
        <w:t>Schedule 5</w:t>
      </w:r>
    </w:p>
    <w:p w14:paraId="3143CD8F" w14:textId="77777777" w:rsidR="006F5FD7" w:rsidRDefault="006F5FD7" w:rsidP="006F5FD7">
      <w:pPr>
        <w:ind w:left="426"/>
        <w:rPr>
          <w:rFonts w:asciiTheme="minorHAnsi" w:hAnsiTheme="minorHAnsi" w:cstheme="minorHAnsi"/>
        </w:rPr>
      </w:pPr>
      <w:r w:rsidRPr="00EA1706">
        <w:rPr>
          <w:rFonts w:asciiTheme="minorHAnsi" w:hAnsiTheme="minorHAnsi" w:cstheme="minorHAnsi"/>
        </w:rPr>
        <w:t>LEAD COMPOUNDS in preparations for use as hair cosmetics.</w:t>
      </w:r>
    </w:p>
    <w:p w14:paraId="1131C36A" w14:textId="77777777" w:rsidR="006F5FD7" w:rsidRPr="00EA1706" w:rsidRDefault="006F5FD7" w:rsidP="006F5FD7">
      <w:pPr>
        <w:ind w:left="426"/>
        <w:rPr>
          <w:rFonts w:asciiTheme="minorHAnsi" w:hAnsiTheme="minorHAnsi" w:cstheme="minorHAnsi"/>
          <w:b/>
        </w:rPr>
      </w:pPr>
      <w:r w:rsidRPr="00EA1706">
        <w:rPr>
          <w:rFonts w:asciiTheme="minorHAnsi" w:hAnsiTheme="minorHAnsi" w:cstheme="minorHAnsi"/>
          <w:b/>
        </w:rPr>
        <w:t>Schedule 4</w:t>
      </w:r>
    </w:p>
    <w:p w14:paraId="3D227287" w14:textId="77777777" w:rsidR="006F5FD7" w:rsidRDefault="006F5FD7" w:rsidP="006F5FD7">
      <w:pPr>
        <w:ind w:left="426"/>
        <w:rPr>
          <w:rFonts w:asciiTheme="minorHAnsi" w:hAnsiTheme="minorHAnsi" w:cstheme="minorHAnsi"/>
        </w:rPr>
      </w:pPr>
      <w:r>
        <w:rPr>
          <w:szCs w:val="22"/>
        </w:rPr>
        <w:t>LEAD for human therapeutic use.</w:t>
      </w:r>
    </w:p>
    <w:p w14:paraId="27829EDB" w14:textId="77777777" w:rsidR="006F5FD7" w:rsidRDefault="006F5FD7" w:rsidP="006F5FD7">
      <w:pPr>
        <w:rPr>
          <w:rFonts w:asciiTheme="minorHAnsi" w:hAnsiTheme="minorHAnsi" w:cstheme="minorHAnsi"/>
        </w:rPr>
      </w:pPr>
      <w:r w:rsidRPr="00AF12F6">
        <w:rPr>
          <w:rFonts w:asciiTheme="minorHAnsi" w:hAnsiTheme="minorHAnsi" w:cstheme="minorHAnsi"/>
        </w:rPr>
        <w:t xml:space="preserve">It </w:t>
      </w:r>
      <w:r>
        <w:rPr>
          <w:rFonts w:asciiTheme="minorHAnsi" w:hAnsiTheme="minorHAnsi" w:cstheme="minorHAnsi"/>
        </w:rPr>
        <w:t>is also included under the entries for LEAD COMPOUNDS in Appendices</w:t>
      </w:r>
      <w:r w:rsidRPr="00AF12F6">
        <w:rPr>
          <w:rFonts w:asciiTheme="minorHAnsi" w:hAnsiTheme="minorHAnsi" w:cstheme="minorHAnsi"/>
        </w:rPr>
        <w:t xml:space="preserve"> </w:t>
      </w:r>
      <w:r w:rsidRPr="00C12531">
        <w:rPr>
          <w:rFonts w:asciiTheme="minorHAnsi" w:hAnsiTheme="minorHAnsi" w:cstheme="minorHAnsi"/>
        </w:rPr>
        <w:t>E and F</w:t>
      </w:r>
      <w:r w:rsidRPr="00AF12F6">
        <w:rPr>
          <w:rFonts w:asciiTheme="minorHAnsi" w:hAnsiTheme="minorHAnsi" w:cstheme="minorHAnsi"/>
        </w:rPr>
        <w:t xml:space="preserve"> </w:t>
      </w:r>
      <w:r>
        <w:rPr>
          <w:rFonts w:asciiTheme="minorHAnsi" w:hAnsiTheme="minorHAnsi" w:cstheme="minorHAnsi"/>
        </w:rPr>
        <w:t>as follows</w:t>
      </w:r>
      <w:r w:rsidRPr="00AF12F6">
        <w:rPr>
          <w:rFonts w:asciiTheme="minorHAnsi" w:hAnsiTheme="minorHAnsi" w:cstheme="minorHAnsi"/>
        </w:rPr>
        <w:t>:</w:t>
      </w:r>
    </w:p>
    <w:p w14:paraId="5915070E" w14:textId="77777777" w:rsidR="006F5FD7" w:rsidRPr="006D5C84" w:rsidRDefault="006F5FD7" w:rsidP="006F5FD7">
      <w:pPr>
        <w:ind w:left="426"/>
        <w:rPr>
          <w:b/>
        </w:rPr>
      </w:pPr>
      <w:r w:rsidRPr="006D5C84">
        <w:rPr>
          <w:b/>
        </w:rPr>
        <w:t>Appendix E, Part 2</w:t>
      </w:r>
    </w:p>
    <w:tbl>
      <w:tblPr>
        <w:tblStyle w:val="TableTGAblue"/>
        <w:tblW w:w="0" w:type="auto"/>
        <w:tblLook w:val="04A0" w:firstRow="1" w:lastRow="0" w:firstColumn="1" w:lastColumn="0" w:noHBand="0" w:noVBand="1"/>
      </w:tblPr>
      <w:tblGrid>
        <w:gridCol w:w="5486"/>
        <w:gridCol w:w="3008"/>
      </w:tblGrid>
      <w:tr w:rsidR="00D43617" w14:paraId="01CA955E" w14:textId="77777777" w:rsidTr="00063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6" w:type="dxa"/>
            <w:hideMark/>
          </w:tcPr>
          <w:p w14:paraId="4FC0F4B4" w14:textId="77777777" w:rsidR="00D43617" w:rsidRDefault="00D43617" w:rsidP="00BC641B">
            <w:pPr>
              <w:rPr>
                <w:b w:val="0"/>
              </w:rPr>
            </w:pPr>
            <w:r>
              <w:rPr>
                <w:b w:val="0"/>
              </w:rPr>
              <w:t>POISON</w:t>
            </w:r>
          </w:p>
        </w:tc>
        <w:tc>
          <w:tcPr>
            <w:tcW w:w="3008" w:type="dxa"/>
            <w:hideMark/>
          </w:tcPr>
          <w:p w14:paraId="38787FC6" w14:textId="77777777" w:rsidR="00D43617" w:rsidRDefault="00D43617" w:rsidP="00BC641B">
            <w:pPr>
              <w:cnfStyle w:val="100000000000" w:firstRow="1" w:lastRow="0" w:firstColumn="0" w:lastColumn="0" w:oddVBand="0" w:evenVBand="0" w:oddHBand="0" w:evenHBand="0" w:firstRowFirstColumn="0" w:firstRowLastColumn="0" w:lastRowFirstColumn="0" w:lastRowLastColumn="0"/>
              <w:rPr>
                <w:b w:val="0"/>
              </w:rPr>
            </w:pPr>
            <w:r>
              <w:rPr>
                <w:b w:val="0"/>
              </w:rPr>
              <w:t>STANDARD STATEMENTS</w:t>
            </w:r>
          </w:p>
        </w:tc>
      </w:tr>
      <w:tr w:rsidR="00D43617" w14:paraId="332661EF" w14:textId="77777777" w:rsidTr="00063495">
        <w:tc>
          <w:tcPr>
            <w:cnfStyle w:val="001000000000" w:firstRow="0" w:lastRow="0" w:firstColumn="1" w:lastColumn="0" w:oddVBand="0" w:evenVBand="0" w:oddHBand="0" w:evenHBand="0" w:firstRowFirstColumn="0" w:firstRowLastColumn="0" w:lastRowFirstColumn="0" w:lastRowLastColumn="0"/>
            <w:tcW w:w="5486" w:type="dxa"/>
            <w:hideMark/>
          </w:tcPr>
          <w:p w14:paraId="53D0E0BC" w14:textId="52B278DE" w:rsidR="00D43617" w:rsidRPr="00251574" w:rsidRDefault="00D43617" w:rsidP="00D43617">
            <w:pPr>
              <w:pStyle w:val="ListBullet"/>
              <w:numPr>
                <w:ilvl w:val="0"/>
                <w:numId w:val="0"/>
              </w:numPr>
              <w:ind w:left="360" w:hanging="360"/>
              <w:rPr>
                <w:rFonts w:asciiTheme="minorHAnsi" w:hAnsiTheme="minorHAnsi"/>
                <w:szCs w:val="22"/>
              </w:rPr>
            </w:pPr>
            <w:r w:rsidRPr="00251574">
              <w:rPr>
                <w:rFonts w:asciiTheme="minorHAnsi" w:hAnsiTheme="minorHAnsi"/>
                <w:szCs w:val="22"/>
              </w:rPr>
              <w:t>LEAD COMPOUNDS</w:t>
            </w:r>
          </w:p>
        </w:tc>
        <w:tc>
          <w:tcPr>
            <w:tcW w:w="3008" w:type="dxa"/>
            <w:hideMark/>
          </w:tcPr>
          <w:p w14:paraId="0F4A5EE0" w14:textId="0D79BAA9" w:rsidR="00D43617" w:rsidRPr="00251574" w:rsidRDefault="00D43617" w:rsidP="00D4361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51574">
              <w:rPr>
                <w:rFonts w:asciiTheme="minorHAnsi" w:hAnsiTheme="minorHAnsi" w:hint="eastAsia"/>
                <w:szCs w:val="22"/>
              </w:rPr>
              <w:t> </w:t>
            </w:r>
          </w:p>
        </w:tc>
      </w:tr>
      <w:tr w:rsidR="00D43617" w14:paraId="62B2B2AD" w14:textId="77777777" w:rsidTr="00063495">
        <w:tc>
          <w:tcPr>
            <w:cnfStyle w:val="001000000000" w:firstRow="0" w:lastRow="0" w:firstColumn="1" w:lastColumn="0" w:oddVBand="0" w:evenVBand="0" w:oddHBand="0" w:evenHBand="0" w:firstRowFirstColumn="0" w:firstRowLastColumn="0" w:lastRowFirstColumn="0" w:lastRowLastColumn="0"/>
            <w:tcW w:w="5486" w:type="dxa"/>
          </w:tcPr>
          <w:p w14:paraId="2654A074" w14:textId="79FE54C9" w:rsidR="00D43617" w:rsidRPr="00D43617" w:rsidRDefault="00D43617" w:rsidP="00251574">
            <w:pPr>
              <w:pStyle w:val="ListBullet"/>
            </w:pPr>
            <w:r w:rsidRPr="00251574">
              <w:rPr>
                <w:szCs w:val="20"/>
              </w:rPr>
              <w:t xml:space="preserve">in hair cosmetics </w:t>
            </w:r>
          </w:p>
        </w:tc>
        <w:tc>
          <w:tcPr>
            <w:tcW w:w="3008" w:type="dxa"/>
          </w:tcPr>
          <w:p w14:paraId="179C4FEB" w14:textId="57C43DCB" w:rsidR="00D43617" w:rsidRPr="00251574" w:rsidRDefault="00D43617" w:rsidP="00D4361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51574">
              <w:rPr>
                <w:rFonts w:asciiTheme="minorHAnsi" w:hAnsiTheme="minorHAnsi"/>
                <w:szCs w:val="22"/>
              </w:rPr>
              <w:t>A</w:t>
            </w:r>
          </w:p>
        </w:tc>
      </w:tr>
      <w:tr w:rsidR="00D43617" w14:paraId="15E99860" w14:textId="77777777" w:rsidTr="00063495">
        <w:tc>
          <w:tcPr>
            <w:cnfStyle w:val="001000000000" w:firstRow="0" w:lastRow="0" w:firstColumn="1" w:lastColumn="0" w:oddVBand="0" w:evenVBand="0" w:oddHBand="0" w:evenHBand="0" w:firstRowFirstColumn="0" w:firstRowLastColumn="0" w:lastRowFirstColumn="0" w:lastRowLastColumn="0"/>
            <w:tcW w:w="5486" w:type="dxa"/>
          </w:tcPr>
          <w:p w14:paraId="614576CA" w14:textId="5BD6CA8D" w:rsidR="00D43617" w:rsidRPr="00D43617" w:rsidRDefault="00D43617" w:rsidP="00251574">
            <w:pPr>
              <w:pStyle w:val="ListBullet"/>
            </w:pPr>
            <w:r w:rsidRPr="00251574">
              <w:rPr>
                <w:szCs w:val="20"/>
              </w:rPr>
              <w:t>in other preparations</w:t>
            </w:r>
          </w:p>
        </w:tc>
        <w:tc>
          <w:tcPr>
            <w:tcW w:w="3008" w:type="dxa"/>
          </w:tcPr>
          <w:p w14:paraId="40EB174C" w14:textId="4F3C7264" w:rsidR="00D43617" w:rsidRPr="00251574" w:rsidRDefault="00D43617" w:rsidP="00D4361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51574">
              <w:rPr>
                <w:rFonts w:asciiTheme="minorHAnsi" w:hAnsiTheme="minorHAnsi"/>
                <w:szCs w:val="22"/>
              </w:rPr>
              <w:t>A,</w:t>
            </w:r>
            <w:r w:rsidR="00276951">
              <w:rPr>
                <w:rFonts w:asciiTheme="minorHAnsi" w:hAnsiTheme="minorHAnsi"/>
                <w:szCs w:val="22"/>
              </w:rPr>
              <w:t xml:space="preserve"> </w:t>
            </w:r>
            <w:r w:rsidRPr="00251574">
              <w:rPr>
                <w:rFonts w:asciiTheme="minorHAnsi" w:hAnsiTheme="minorHAnsi"/>
                <w:szCs w:val="22"/>
              </w:rPr>
              <w:t>S1</w:t>
            </w:r>
          </w:p>
        </w:tc>
      </w:tr>
      <w:tr w:rsidR="00D43617" w:rsidRPr="00C57F1C" w14:paraId="6601453A" w14:textId="77777777" w:rsidTr="00063495">
        <w:tc>
          <w:tcPr>
            <w:cnfStyle w:val="001000000000" w:firstRow="0" w:lastRow="0" w:firstColumn="1" w:lastColumn="0" w:oddVBand="0" w:evenVBand="0" w:oddHBand="0" w:evenHBand="0" w:firstRowFirstColumn="0" w:firstRowLastColumn="0" w:lastRowFirstColumn="0" w:lastRowLastColumn="0"/>
            <w:tcW w:w="8494" w:type="dxa"/>
            <w:gridSpan w:val="2"/>
          </w:tcPr>
          <w:p w14:paraId="6287EE41" w14:textId="77777777" w:rsidR="00D43617" w:rsidRDefault="00D43617" w:rsidP="00BC641B">
            <w:pPr>
              <w:rPr>
                <w:sz w:val="20"/>
              </w:rPr>
            </w:pPr>
            <w:r>
              <w:rPr>
                <w:b/>
                <w:sz w:val="20"/>
              </w:rPr>
              <w:t xml:space="preserve">A </w:t>
            </w:r>
            <w:r>
              <w:rPr>
                <w:sz w:val="20"/>
              </w:rPr>
              <w:t xml:space="preserve">– </w:t>
            </w:r>
            <w:r w:rsidRPr="00C57F1C">
              <w:rPr>
                <w:sz w:val="20"/>
              </w:rPr>
              <w:t>For advice, contact a Poisons Information Centre (e.g. phone Australia 13 11 26; New Zealand 0800 764 766) or a doctor (at once).</w:t>
            </w:r>
          </w:p>
          <w:p w14:paraId="4107DEF5" w14:textId="0DF7035F" w:rsidR="00D43617" w:rsidRPr="00C57F1C" w:rsidRDefault="00D43617">
            <w:pPr>
              <w:rPr>
                <w:sz w:val="20"/>
              </w:rPr>
            </w:pPr>
            <w:r>
              <w:rPr>
                <w:b/>
                <w:sz w:val="20"/>
              </w:rPr>
              <w:t xml:space="preserve">S1 </w:t>
            </w:r>
            <w:r>
              <w:rPr>
                <w:sz w:val="20"/>
              </w:rPr>
              <w:t xml:space="preserve">– </w:t>
            </w:r>
            <w:r w:rsidRPr="00D43617">
              <w:rPr>
                <w:sz w:val="20"/>
              </w:rPr>
              <w:t>If skin or hair contact occurs, remove contaminated clothing and flush skin and hair with running water.</w:t>
            </w:r>
          </w:p>
        </w:tc>
      </w:tr>
    </w:tbl>
    <w:p w14:paraId="611D069C" w14:textId="515986AC" w:rsidR="006F5FD7" w:rsidRPr="006D5C84" w:rsidRDefault="00604455" w:rsidP="00251574">
      <w:pPr>
        <w:rPr>
          <w:b/>
        </w:rPr>
      </w:pPr>
      <w:r>
        <w:tab/>
      </w:r>
      <w:r w:rsidR="006F5FD7">
        <w:rPr>
          <w:b/>
        </w:rPr>
        <w:t>Appendix</w:t>
      </w:r>
      <w:r w:rsidR="006F5FD7" w:rsidRPr="006D5C84">
        <w:rPr>
          <w:b/>
        </w:rPr>
        <w:t xml:space="preserve"> F, Part 3</w:t>
      </w:r>
    </w:p>
    <w:tbl>
      <w:tblPr>
        <w:tblStyle w:val="TableTGAblue"/>
        <w:tblW w:w="0" w:type="auto"/>
        <w:tblLook w:val="04A0" w:firstRow="1" w:lastRow="0" w:firstColumn="1" w:lastColumn="0" w:noHBand="0" w:noVBand="1"/>
      </w:tblPr>
      <w:tblGrid>
        <w:gridCol w:w="2400"/>
        <w:gridCol w:w="3402"/>
        <w:gridCol w:w="2920"/>
      </w:tblGrid>
      <w:tr w:rsidR="00D43617" w:rsidRPr="00C57F1C" w14:paraId="5551F5CE" w14:textId="77777777" w:rsidTr="00063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14:paraId="4FD606A4" w14:textId="77777777" w:rsidR="00D43617" w:rsidRPr="00C57F1C" w:rsidRDefault="00D43617" w:rsidP="00BC641B">
            <w:pPr>
              <w:rPr>
                <w:b w:val="0"/>
              </w:rPr>
            </w:pPr>
            <w:r w:rsidRPr="00C57F1C">
              <w:rPr>
                <w:b w:val="0"/>
              </w:rPr>
              <w:t>POISON</w:t>
            </w:r>
          </w:p>
        </w:tc>
        <w:tc>
          <w:tcPr>
            <w:tcW w:w="3402" w:type="dxa"/>
            <w:hideMark/>
          </w:tcPr>
          <w:p w14:paraId="60C9980B" w14:textId="77777777" w:rsidR="00D43617" w:rsidRPr="00C57F1C" w:rsidRDefault="00D43617" w:rsidP="00BC641B">
            <w:pPr>
              <w:jc w:val="center"/>
              <w:cnfStyle w:val="100000000000" w:firstRow="1" w:lastRow="0" w:firstColumn="0" w:lastColumn="0" w:oddVBand="0" w:evenVBand="0" w:oddHBand="0" w:evenHBand="0" w:firstRowFirstColumn="0" w:firstRowLastColumn="0" w:lastRowFirstColumn="0" w:lastRowLastColumn="0"/>
              <w:rPr>
                <w:b w:val="0"/>
              </w:rPr>
            </w:pPr>
            <w:r w:rsidRPr="00C57F1C">
              <w:rPr>
                <w:b w:val="0"/>
              </w:rPr>
              <w:t>WARNING STATEMENTS</w:t>
            </w:r>
          </w:p>
        </w:tc>
        <w:tc>
          <w:tcPr>
            <w:tcW w:w="2920" w:type="dxa"/>
            <w:hideMark/>
          </w:tcPr>
          <w:p w14:paraId="30DACF5D" w14:textId="77777777" w:rsidR="00D43617" w:rsidRPr="00C57F1C" w:rsidRDefault="00D43617" w:rsidP="00BC641B">
            <w:pPr>
              <w:jc w:val="center"/>
              <w:cnfStyle w:val="100000000000" w:firstRow="1" w:lastRow="0" w:firstColumn="0" w:lastColumn="0" w:oddVBand="0" w:evenVBand="0" w:oddHBand="0" w:evenHBand="0" w:firstRowFirstColumn="0" w:firstRowLastColumn="0" w:lastRowFirstColumn="0" w:lastRowLastColumn="0"/>
              <w:rPr>
                <w:b w:val="0"/>
              </w:rPr>
            </w:pPr>
            <w:r w:rsidRPr="00C57F1C">
              <w:rPr>
                <w:b w:val="0"/>
              </w:rPr>
              <w:t>SAFETY DIRECTION</w:t>
            </w:r>
          </w:p>
        </w:tc>
      </w:tr>
      <w:tr w:rsidR="00D43617" w:rsidRPr="00C57F1C" w14:paraId="4DBB5EBE" w14:textId="77777777" w:rsidTr="00063495">
        <w:tc>
          <w:tcPr>
            <w:cnfStyle w:val="001000000000" w:firstRow="0" w:lastRow="0" w:firstColumn="1" w:lastColumn="0" w:oddVBand="0" w:evenVBand="0" w:oddHBand="0" w:evenHBand="0" w:firstRowFirstColumn="0" w:firstRowLastColumn="0" w:lastRowFirstColumn="0" w:lastRowLastColumn="0"/>
            <w:tcW w:w="2400" w:type="dxa"/>
            <w:hideMark/>
          </w:tcPr>
          <w:p w14:paraId="444FC391" w14:textId="5BD417BA" w:rsidR="00D43617" w:rsidRPr="00D43617" w:rsidRDefault="00D43617" w:rsidP="00D43617">
            <w:pPr>
              <w:spacing w:before="100" w:beforeAutospacing="1" w:after="100" w:afterAutospacing="1" w:line="240" w:lineRule="auto"/>
              <w:rPr>
                <w:rFonts w:asciiTheme="minorHAnsi" w:eastAsia="Times New Roman" w:hAnsiTheme="minorHAnsi"/>
                <w:szCs w:val="22"/>
                <w:lang w:eastAsia="en-AU"/>
              </w:rPr>
            </w:pPr>
            <w:r w:rsidRPr="00251574">
              <w:rPr>
                <w:rFonts w:asciiTheme="minorHAnsi" w:hAnsiTheme="minorHAnsi"/>
                <w:szCs w:val="22"/>
              </w:rPr>
              <w:t>LEAD COMPOUNDS</w:t>
            </w:r>
          </w:p>
        </w:tc>
        <w:tc>
          <w:tcPr>
            <w:tcW w:w="3402" w:type="dxa"/>
            <w:hideMark/>
          </w:tcPr>
          <w:p w14:paraId="430E6273" w14:textId="5C5A6C41" w:rsidR="00D43617" w:rsidRPr="00D43617" w:rsidRDefault="00D43617" w:rsidP="0025157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251574">
              <w:rPr>
                <w:rFonts w:asciiTheme="minorHAnsi" w:hAnsiTheme="minorHAnsi" w:hint="eastAsia"/>
                <w:szCs w:val="22"/>
              </w:rPr>
              <w:t> </w:t>
            </w:r>
          </w:p>
        </w:tc>
        <w:tc>
          <w:tcPr>
            <w:tcW w:w="2920" w:type="dxa"/>
            <w:hideMark/>
          </w:tcPr>
          <w:p w14:paraId="19E3A847" w14:textId="179B7483" w:rsidR="00D43617" w:rsidRPr="00D43617" w:rsidRDefault="00D43617">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251574">
              <w:rPr>
                <w:rFonts w:asciiTheme="minorHAnsi" w:hAnsiTheme="minorHAnsi" w:hint="eastAsia"/>
                <w:szCs w:val="22"/>
              </w:rPr>
              <w:t> </w:t>
            </w:r>
          </w:p>
        </w:tc>
      </w:tr>
      <w:tr w:rsidR="00D43617" w:rsidRPr="00C57F1C" w14:paraId="6DE1A2AA" w14:textId="77777777" w:rsidTr="00063495">
        <w:tc>
          <w:tcPr>
            <w:cnfStyle w:val="001000000000" w:firstRow="0" w:lastRow="0" w:firstColumn="1" w:lastColumn="0" w:oddVBand="0" w:evenVBand="0" w:oddHBand="0" w:evenHBand="0" w:firstRowFirstColumn="0" w:firstRowLastColumn="0" w:lastRowFirstColumn="0" w:lastRowLastColumn="0"/>
            <w:tcW w:w="2400" w:type="dxa"/>
          </w:tcPr>
          <w:p w14:paraId="4A2A3BE6" w14:textId="12629DC1" w:rsidR="00D43617" w:rsidRPr="00251574" w:rsidRDefault="00D43617" w:rsidP="00251574">
            <w:pPr>
              <w:pStyle w:val="ListBulleta"/>
              <w:numPr>
                <w:ilvl w:val="0"/>
                <w:numId w:val="38"/>
              </w:numPr>
            </w:pPr>
            <w:r w:rsidRPr="00251574">
              <w:t>in hair cosmetics.</w:t>
            </w:r>
          </w:p>
        </w:tc>
        <w:tc>
          <w:tcPr>
            <w:tcW w:w="3402" w:type="dxa"/>
          </w:tcPr>
          <w:p w14:paraId="5148CBB5" w14:textId="6985FF7B" w:rsidR="00D43617" w:rsidRPr="00D43617" w:rsidRDefault="00D43617" w:rsidP="0025157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51574">
              <w:rPr>
                <w:rFonts w:asciiTheme="minorHAnsi" w:hAnsiTheme="minorHAnsi"/>
                <w:b/>
                <w:szCs w:val="22"/>
              </w:rPr>
              <w:t>25</w:t>
            </w:r>
            <w:r>
              <w:rPr>
                <w:rFonts w:asciiTheme="minorHAnsi" w:hAnsiTheme="minorHAnsi"/>
                <w:szCs w:val="22"/>
              </w:rPr>
              <w:t xml:space="preserve"> - </w:t>
            </w:r>
            <w:r w:rsidRPr="00D43617">
              <w:rPr>
                <w:rFonts w:asciiTheme="minorHAnsi" w:hAnsiTheme="minorHAnsi"/>
                <w:szCs w:val="22"/>
              </w:rPr>
              <w:t>Do not use on broken skin. W</w:t>
            </w:r>
            <w:r>
              <w:rPr>
                <w:rFonts w:asciiTheme="minorHAnsi" w:hAnsiTheme="minorHAnsi"/>
                <w:szCs w:val="22"/>
              </w:rPr>
              <w:t>ash hands thoroughly after use.</w:t>
            </w:r>
          </w:p>
        </w:tc>
        <w:tc>
          <w:tcPr>
            <w:tcW w:w="2920" w:type="dxa"/>
          </w:tcPr>
          <w:p w14:paraId="70BBC0D5" w14:textId="7E9A219B" w:rsidR="00D43617" w:rsidRPr="00D43617" w:rsidRDefault="00D43617">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r w:rsidRPr="00251574">
              <w:rPr>
                <w:rFonts w:asciiTheme="minorHAnsi" w:hAnsiTheme="minorHAnsi" w:hint="eastAsia"/>
                <w:szCs w:val="22"/>
              </w:rPr>
              <w:t> </w:t>
            </w:r>
          </w:p>
        </w:tc>
      </w:tr>
      <w:tr w:rsidR="00D43617" w:rsidRPr="00C57F1C" w14:paraId="3CFC6E97" w14:textId="77777777" w:rsidTr="00063495">
        <w:tc>
          <w:tcPr>
            <w:cnfStyle w:val="001000000000" w:firstRow="0" w:lastRow="0" w:firstColumn="1" w:lastColumn="0" w:oddVBand="0" w:evenVBand="0" w:oddHBand="0" w:evenHBand="0" w:firstRowFirstColumn="0" w:firstRowLastColumn="0" w:lastRowFirstColumn="0" w:lastRowLastColumn="0"/>
            <w:tcW w:w="2400" w:type="dxa"/>
          </w:tcPr>
          <w:p w14:paraId="090AFA98" w14:textId="2DBAA1EC" w:rsidR="00D43617" w:rsidRPr="00251574" w:rsidRDefault="00D43617" w:rsidP="00251574">
            <w:pPr>
              <w:pStyle w:val="ListBulleta"/>
            </w:pPr>
            <w:r w:rsidRPr="00251574">
              <w:t>when in Schedule 6.</w:t>
            </w:r>
          </w:p>
        </w:tc>
        <w:tc>
          <w:tcPr>
            <w:tcW w:w="3402" w:type="dxa"/>
          </w:tcPr>
          <w:p w14:paraId="053C5910" w14:textId="264F64E5" w:rsidR="00D43617" w:rsidRPr="00D43617" w:rsidRDefault="00D43617" w:rsidP="0025157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51574">
              <w:rPr>
                <w:rFonts w:asciiTheme="minorHAnsi" w:hAnsiTheme="minorHAnsi" w:hint="eastAsia"/>
                <w:szCs w:val="22"/>
              </w:rPr>
              <w:t> </w:t>
            </w:r>
          </w:p>
        </w:tc>
        <w:tc>
          <w:tcPr>
            <w:tcW w:w="2920" w:type="dxa"/>
          </w:tcPr>
          <w:p w14:paraId="773164FE" w14:textId="1745234E" w:rsidR="00D43617" w:rsidRPr="00251574" w:rsidRDefault="00D43617">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51574">
              <w:rPr>
                <w:rFonts w:asciiTheme="minorHAnsi" w:hAnsiTheme="minorHAnsi"/>
                <w:b/>
                <w:szCs w:val="22"/>
              </w:rPr>
              <w:t>1</w:t>
            </w:r>
            <w:r>
              <w:rPr>
                <w:rFonts w:asciiTheme="minorHAnsi" w:hAnsiTheme="minorHAnsi"/>
                <w:b/>
                <w:szCs w:val="22"/>
              </w:rPr>
              <w:t xml:space="preserve"> </w:t>
            </w:r>
            <w:r>
              <w:rPr>
                <w:rFonts w:asciiTheme="minorHAnsi" w:hAnsiTheme="minorHAnsi"/>
                <w:szCs w:val="22"/>
              </w:rPr>
              <w:t xml:space="preserve">- </w:t>
            </w:r>
            <w:r w:rsidRPr="00D43617">
              <w:rPr>
                <w:rFonts w:asciiTheme="minorHAnsi" w:hAnsiTheme="minorHAnsi"/>
                <w:szCs w:val="22"/>
              </w:rPr>
              <w:t>Avoid contact with eyes.</w:t>
            </w:r>
            <w:r>
              <w:rPr>
                <w:rFonts w:asciiTheme="minorHAnsi" w:hAnsiTheme="minorHAnsi"/>
                <w:b/>
                <w:szCs w:val="22"/>
              </w:rPr>
              <w:br/>
            </w:r>
            <w:r w:rsidRPr="00251574">
              <w:rPr>
                <w:rFonts w:asciiTheme="minorHAnsi" w:hAnsiTheme="minorHAnsi"/>
                <w:b/>
                <w:szCs w:val="22"/>
              </w:rPr>
              <w:t>4</w:t>
            </w:r>
            <w:r>
              <w:rPr>
                <w:rFonts w:asciiTheme="minorHAnsi" w:hAnsiTheme="minorHAnsi"/>
                <w:b/>
                <w:szCs w:val="22"/>
              </w:rPr>
              <w:t xml:space="preserve"> </w:t>
            </w:r>
            <w:r w:rsidRPr="00251574">
              <w:rPr>
                <w:rFonts w:asciiTheme="minorHAnsi" w:hAnsiTheme="minorHAnsi"/>
                <w:szCs w:val="22"/>
              </w:rPr>
              <w:t>- Avoid contact with skin.</w:t>
            </w:r>
            <w:r>
              <w:rPr>
                <w:rFonts w:asciiTheme="minorHAnsi" w:hAnsiTheme="minorHAnsi"/>
                <w:b/>
                <w:szCs w:val="22"/>
              </w:rPr>
              <w:br/>
            </w:r>
            <w:r w:rsidRPr="00251574">
              <w:rPr>
                <w:rFonts w:asciiTheme="minorHAnsi" w:hAnsiTheme="minorHAnsi"/>
                <w:b/>
                <w:szCs w:val="22"/>
              </w:rPr>
              <w:t>8</w:t>
            </w:r>
            <w:r>
              <w:rPr>
                <w:rFonts w:asciiTheme="minorHAnsi" w:hAnsiTheme="minorHAnsi"/>
                <w:b/>
                <w:szCs w:val="22"/>
              </w:rPr>
              <w:t xml:space="preserve"> </w:t>
            </w:r>
            <w:r>
              <w:rPr>
                <w:rFonts w:asciiTheme="minorHAnsi" w:hAnsiTheme="minorHAnsi"/>
                <w:szCs w:val="22"/>
              </w:rPr>
              <w:t xml:space="preserve">- </w:t>
            </w:r>
            <w:r w:rsidRPr="00D43617">
              <w:rPr>
                <w:rFonts w:asciiTheme="minorHAnsi" w:hAnsiTheme="minorHAnsi"/>
                <w:szCs w:val="22"/>
              </w:rPr>
              <w:t>Avoid breathing dust (or) vapour (or) spray mist.</w:t>
            </w:r>
          </w:p>
        </w:tc>
      </w:tr>
    </w:tbl>
    <w:p w14:paraId="5FE76D02" w14:textId="77777777" w:rsidR="00063495" w:rsidRDefault="00911753" w:rsidP="00A53CAB">
      <w:pPr>
        <w:rPr>
          <w:rFonts w:asciiTheme="minorHAnsi" w:hAnsiTheme="minorHAnsi" w:cstheme="minorHAnsi"/>
        </w:rPr>
      </w:pPr>
      <w:r w:rsidRPr="00AF12F6">
        <w:rPr>
          <w:rFonts w:asciiTheme="minorHAnsi" w:hAnsiTheme="minorHAnsi" w:cstheme="minorHAnsi"/>
        </w:rPr>
        <w:t xml:space="preserve">It </w:t>
      </w:r>
      <w:r>
        <w:rPr>
          <w:rFonts w:asciiTheme="minorHAnsi" w:hAnsiTheme="minorHAnsi" w:cstheme="minorHAnsi"/>
        </w:rPr>
        <w:t>is also included under the entry for LEAD METALLIC in Appendix</w:t>
      </w:r>
      <w:r w:rsidRPr="00AF12F6">
        <w:rPr>
          <w:rFonts w:asciiTheme="minorHAnsi" w:hAnsiTheme="minorHAnsi" w:cstheme="minorHAnsi"/>
        </w:rPr>
        <w:t xml:space="preserve"> </w:t>
      </w:r>
      <w:r>
        <w:rPr>
          <w:rFonts w:asciiTheme="minorHAnsi" w:hAnsiTheme="minorHAnsi" w:cstheme="minorHAnsi"/>
        </w:rPr>
        <w:t>B</w:t>
      </w:r>
      <w:r w:rsidRPr="00AF12F6">
        <w:rPr>
          <w:rFonts w:asciiTheme="minorHAnsi" w:hAnsiTheme="minorHAnsi" w:cstheme="minorHAnsi"/>
        </w:rPr>
        <w:t xml:space="preserve"> </w:t>
      </w:r>
      <w:r>
        <w:rPr>
          <w:rFonts w:asciiTheme="minorHAnsi" w:hAnsiTheme="minorHAnsi" w:cstheme="minorHAnsi"/>
        </w:rPr>
        <w:t>as follows</w:t>
      </w:r>
      <w:r w:rsidRPr="00AF12F6">
        <w:rPr>
          <w:rFonts w:asciiTheme="minorHAnsi" w:hAnsiTheme="minorHAnsi" w:cstheme="minorHAnsi"/>
        </w:rPr>
        <w:t>:</w:t>
      </w:r>
    </w:p>
    <w:p w14:paraId="743CD90A" w14:textId="2CF220F7" w:rsidR="00911753" w:rsidRPr="00EA1706" w:rsidRDefault="00911753" w:rsidP="00A53CAB">
      <w:pPr>
        <w:rPr>
          <w:rFonts w:asciiTheme="minorHAnsi" w:hAnsiTheme="minorHAnsi" w:cstheme="minorHAnsi"/>
          <w:b/>
        </w:rPr>
      </w:pPr>
      <w:r w:rsidRPr="00EA1706">
        <w:rPr>
          <w:rFonts w:asciiTheme="minorHAnsi" w:hAnsiTheme="minorHAnsi" w:cstheme="minorHAnsi"/>
          <w:b/>
        </w:rPr>
        <w:t>LEAD METALLIC</w:t>
      </w:r>
    </w:p>
    <w:p w14:paraId="70CC402E" w14:textId="66BE2042" w:rsidR="00911753" w:rsidRDefault="00911753">
      <w:pPr>
        <w:ind w:left="426"/>
        <w:rPr>
          <w:rFonts w:asciiTheme="minorHAnsi" w:hAnsiTheme="minorHAnsi" w:cstheme="minorHAnsi"/>
          <w:b/>
        </w:rPr>
      </w:pPr>
      <w:r w:rsidRPr="00251574">
        <w:rPr>
          <w:rFonts w:asciiTheme="minorHAnsi" w:hAnsiTheme="minorHAnsi" w:cstheme="minorHAnsi"/>
          <w:b/>
        </w:rPr>
        <w:t>Appendix B, Part 3</w:t>
      </w:r>
      <w:r w:rsidR="009333AC" w:rsidRPr="009333AC">
        <w:rPr>
          <w:rFonts w:asciiTheme="minorHAnsi" w:hAnsiTheme="minorHAnsi" w:cstheme="minorHAnsi"/>
          <w:b/>
        </w:rPr>
        <w:t xml:space="preserve"> </w:t>
      </w:r>
    </w:p>
    <w:tbl>
      <w:tblPr>
        <w:tblStyle w:val="TableTGAblue"/>
        <w:tblW w:w="8789" w:type="dxa"/>
        <w:tblLook w:val="04A0" w:firstRow="1" w:lastRow="0" w:firstColumn="1" w:lastColumn="0" w:noHBand="0" w:noVBand="1"/>
      </w:tblPr>
      <w:tblGrid>
        <w:gridCol w:w="2151"/>
        <w:gridCol w:w="2126"/>
        <w:gridCol w:w="2410"/>
        <w:gridCol w:w="2102"/>
      </w:tblGrid>
      <w:tr w:rsidR="00EC46AF" w:rsidRPr="00EC46AF" w14:paraId="269DBE46" w14:textId="77777777" w:rsidTr="00063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hideMark/>
          </w:tcPr>
          <w:p w14:paraId="5E342159" w14:textId="77777777" w:rsidR="00EC46AF" w:rsidRPr="00251574" w:rsidRDefault="00EC46AF" w:rsidP="00EC46AF">
            <w:pPr>
              <w:spacing w:before="100" w:beforeAutospacing="1" w:after="100" w:afterAutospacing="1" w:line="240" w:lineRule="auto"/>
              <w:rPr>
                <w:rFonts w:asciiTheme="minorHAnsi" w:eastAsia="Times New Roman" w:hAnsiTheme="minorHAnsi"/>
                <w:b w:val="0"/>
                <w:szCs w:val="22"/>
                <w:lang w:eastAsia="en-AU"/>
              </w:rPr>
            </w:pPr>
            <w:r w:rsidRPr="00251574">
              <w:rPr>
                <w:rFonts w:asciiTheme="minorHAnsi" w:eastAsia="Times New Roman" w:hAnsiTheme="minorHAnsi"/>
                <w:b w:val="0"/>
                <w:szCs w:val="22"/>
                <w:lang w:eastAsia="en-AU"/>
              </w:rPr>
              <w:t>SUBSTANCE</w:t>
            </w:r>
          </w:p>
        </w:tc>
        <w:tc>
          <w:tcPr>
            <w:tcW w:w="2126" w:type="dxa"/>
            <w:hideMark/>
          </w:tcPr>
          <w:p w14:paraId="10F02D79" w14:textId="77777777" w:rsidR="00EC46AF" w:rsidRPr="00251574" w:rsidRDefault="00EC46AF" w:rsidP="00EC46AF">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szCs w:val="22"/>
                <w:lang w:eastAsia="en-AU"/>
              </w:rPr>
            </w:pPr>
            <w:r w:rsidRPr="00251574">
              <w:rPr>
                <w:rFonts w:asciiTheme="minorHAnsi" w:eastAsia="Times New Roman" w:hAnsiTheme="minorHAnsi"/>
                <w:b w:val="0"/>
                <w:szCs w:val="22"/>
                <w:lang w:eastAsia="en-AU"/>
              </w:rPr>
              <w:t>DATE OF ENTRY</w:t>
            </w:r>
          </w:p>
        </w:tc>
        <w:tc>
          <w:tcPr>
            <w:tcW w:w="2410" w:type="dxa"/>
            <w:hideMark/>
          </w:tcPr>
          <w:p w14:paraId="690D4223" w14:textId="77777777" w:rsidR="00EC46AF" w:rsidRPr="00251574" w:rsidRDefault="00EC46AF" w:rsidP="00EC46AF">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szCs w:val="22"/>
                <w:lang w:eastAsia="en-AU"/>
              </w:rPr>
            </w:pPr>
            <w:r w:rsidRPr="00251574">
              <w:rPr>
                <w:rFonts w:asciiTheme="minorHAnsi" w:eastAsia="Times New Roman" w:hAnsiTheme="minorHAnsi"/>
                <w:b w:val="0"/>
                <w:szCs w:val="22"/>
                <w:lang w:eastAsia="en-AU"/>
              </w:rPr>
              <w:t>REASON FOR LISTING</w:t>
            </w:r>
          </w:p>
        </w:tc>
        <w:tc>
          <w:tcPr>
            <w:tcW w:w="2102" w:type="dxa"/>
            <w:hideMark/>
          </w:tcPr>
          <w:p w14:paraId="3CAF27FC" w14:textId="77777777" w:rsidR="00EC46AF" w:rsidRPr="00251574" w:rsidRDefault="00EC46AF" w:rsidP="00EC46AF">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szCs w:val="22"/>
                <w:lang w:eastAsia="en-AU"/>
              </w:rPr>
            </w:pPr>
            <w:r w:rsidRPr="00251574">
              <w:rPr>
                <w:rFonts w:asciiTheme="minorHAnsi" w:eastAsia="Times New Roman" w:hAnsiTheme="minorHAnsi"/>
                <w:b w:val="0"/>
                <w:szCs w:val="22"/>
                <w:lang w:eastAsia="en-AU"/>
              </w:rPr>
              <w:t>AREA OF USE</w:t>
            </w:r>
          </w:p>
        </w:tc>
      </w:tr>
      <w:tr w:rsidR="00EC46AF" w:rsidRPr="00EC46AF" w14:paraId="24F6C43C" w14:textId="77777777" w:rsidTr="00063495">
        <w:tc>
          <w:tcPr>
            <w:cnfStyle w:val="001000000000" w:firstRow="0" w:lastRow="0" w:firstColumn="1" w:lastColumn="0" w:oddVBand="0" w:evenVBand="0" w:oddHBand="0" w:evenHBand="0" w:firstRowFirstColumn="0" w:firstRowLastColumn="0" w:lastRowFirstColumn="0" w:lastRowLastColumn="0"/>
            <w:tcW w:w="2151" w:type="dxa"/>
            <w:hideMark/>
          </w:tcPr>
          <w:p w14:paraId="0C994119" w14:textId="7F50BAA0" w:rsidR="00EC46AF" w:rsidRPr="00251574" w:rsidRDefault="00EC46AF" w:rsidP="00EC46AF">
            <w:pPr>
              <w:spacing w:before="100" w:beforeAutospacing="1" w:after="100" w:afterAutospacing="1" w:line="240" w:lineRule="auto"/>
              <w:rPr>
                <w:rFonts w:asciiTheme="minorHAnsi" w:eastAsia="Times New Roman" w:hAnsiTheme="minorHAnsi"/>
                <w:szCs w:val="22"/>
                <w:lang w:eastAsia="en-AU"/>
              </w:rPr>
            </w:pPr>
            <w:r w:rsidRPr="00251574">
              <w:rPr>
                <w:rFonts w:asciiTheme="minorHAnsi" w:hAnsiTheme="minorHAnsi"/>
                <w:szCs w:val="22"/>
              </w:rPr>
              <w:t>LEAD METALLIC</w:t>
            </w:r>
          </w:p>
        </w:tc>
        <w:tc>
          <w:tcPr>
            <w:tcW w:w="2126" w:type="dxa"/>
            <w:hideMark/>
          </w:tcPr>
          <w:p w14:paraId="6E63225D" w14:textId="4C2FAF0D" w:rsidR="00EC46AF" w:rsidRPr="00251574" w:rsidRDefault="00EC46AF" w:rsidP="00EC46AF">
            <w:pPr>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251574">
              <w:rPr>
                <w:rFonts w:asciiTheme="minorHAnsi" w:hAnsiTheme="minorHAnsi"/>
                <w:szCs w:val="22"/>
              </w:rPr>
              <w:t>-</w:t>
            </w:r>
          </w:p>
        </w:tc>
        <w:tc>
          <w:tcPr>
            <w:tcW w:w="2410" w:type="dxa"/>
            <w:hideMark/>
          </w:tcPr>
          <w:p w14:paraId="6C2A3228" w14:textId="7CE5906A" w:rsidR="00EC46AF" w:rsidRPr="00251574" w:rsidRDefault="00EC46AF" w:rsidP="00EC46AF">
            <w:pPr>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251574">
              <w:rPr>
                <w:rFonts w:asciiTheme="minorHAnsi" w:hAnsiTheme="minorHAnsi"/>
                <w:b/>
                <w:szCs w:val="22"/>
              </w:rPr>
              <w:t xml:space="preserve">a </w:t>
            </w:r>
            <w:r>
              <w:rPr>
                <w:rFonts w:asciiTheme="minorHAnsi" w:hAnsiTheme="minorHAnsi"/>
                <w:szCs w:val="22"/>
              </w:rPr>
              <w:t>– Low Toxicity</w:t>
            </w:r>
          </w:p>
        </w:tc>
        <w:tc>
          <w:tcPr>
            <w:tcW w:w="2102" w:type="dxa"/>
            <w:hideMark/>
          </w:tcPr>
          <w:p w14:paraId="29D329C9" w14:textId="68D19DE9" w:rsidR="00EC46AF" w:rsidRPr="00251574" w:rsidRDefault="00EC46AF" w:rsidP="00EC46AF">
            <w:pPr>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2"/>
                <w:lang w:eastAsia="en-AU"/>
              </w:rPr>
            </w:pPr>
            <w:r w:rsidRPr="00251574">
              <w:rPr>
                <w:rFonts w:asciiTheme="minorHAnsi" w:hAnsiTheme="minorHAnsi"/>
                <w:b/>
                <w:szCs w:val="22"/>
              </w:rPr>
              <w:t>7.1</w:t>
            </w:r>
            <w:r>
              <w:rPr>
                <w:rFonts w:asciiTheme="minorHAnsi" w:hAnsiTheme="minorHAnsi"/>
                <w:szCs w:val="22"/>
              </w:rPr>
              <w:t xml:space="preserve"> – Any use</w:t>
            </w:r>
          </w:p>
        </w:tc>
      </w:tr>
    </w:tbl>
    <w:p w14:paraId="3434C4E9" w14:textId="77777777" w:rsidR="006C7160" w:rsidRPr="005133F7" w:rsidRDefault="006C7160" w:rsidP="006C7160">
      <w:pPr>
        <w:ind w:left="426"/>
        <w:rPr>
          <w:b/>
        </w:rPr>
      </w:pPr>
      <w:r>
        <w:rPr>
          <w:b/>
        </w:rPr>
        <w:t>Index</w:t>
      </w:r>
    </w:p>
    <w:p w14:paraId="6772DE7B" w14:textId="353C4BF7" w:rsidR="006C7160" w:rsidRPr="00EA1706" w:rsidRDefault="006C7160" w:rsidP="006C7160">
      <w:pPr>
        <w:ind w:left="426"/>
        <w:rPr>
          <w:rFonts w:asciiTheme="minorHAnsi" w:hAnsiTheme="minorHAnsi" w:cstheme="minorHAnsi"/>
          <w:b/>
        </w:rPr>
      </w:pPr>
      <w:r w:rsidRPr="00EA1706">
        <w:rPr>
          <w:rFonts w:asciiTheme="minorHAnsi" w:hAnsiTheme="minorHAnsi" w:cstheme="minorHAnsi"/>
          <w:b/>
        </w:rPr>
        <w:t>LEAD COMPOUNDS</w:t>
      </w:r>
      <w:r>
        <w:rPr>
          <w:rFonts w:asciiTheme="minorHAnsi" w:hAnsiTheme="minorHAnsi" w:cstheme="minorHAnsi"/>
          <w:b/>
        </w:rPr>
        <w:br/>
      </w:r>
      <w:r w:rsidRPr="00251574">
        <w:rPr>
          <w:rFonts w:asciiTheme="minorHAnsi" w:hAnsiTheme="minorHAnsi" w:cstheme="minorHAnsi"/>
        </w:rPr>
        <w:t>cross reference: GLAZING PREPARATIONS, PRINTING INKS or INK ADDITIVES, SELENIUM</w:t>
      </w:r>
    </w:p>
    <w:p w14:paraId="3CCE0B98" w14:textId="1619CAF6" w:rsidR="006C7160" w:rsidRDefault="006C7160" w:rsidP="006C7160">
      <w:pPr>
        <w:ind w:left="426"/>
        <w:rPr>
          <w:rFonts w:asciiTheme="minorHAnsi" w:hAnsiTheme="minorHAnsi" w:cstheme="minorHAnsi"/>
        </w:rPr>
      </w:pPr>
      <w:r>
        <w:rPr>
          <w:rFonts w:asciiTheme="minorHAnsi" w:hAnsiTheme="minorHAnsi" w:cstheme="minorHAnsi"/>
        </w:rPr>
        <w:t>Schedule 10</w:t>
      </w:r>
      <w:r>
        <w:rPr>
          <w:rFonts w:asciiTheme="minorHAnsi" w:hAnsiTheme="minorHAnsi" w:cstheme="minorHAnsi"/>
        </w:rPr>
        <w:br/>
        <w:t>Schedule 6</w:t>
      </w:r>
      <w:r>
        <w:rPr>
          <w:rFonts w:asciiTheme="minorHAnsi" w:hAnsiTheme="minorHAnsi" w:cstheme="minorHAnsi"/>
        </w:rPr>
        <w:br/>
        <w:t>Schedule 5</w:t>
      </w:r>
      <w:r>
        <w:rPr>
          <w:rFonts w:asciiTheme="minorHAnsi" w:hAnsiTheme="minorHAnsi" w:cstheme="minorHAnsi"/>
        </w:rPr>
        <w:br/>
      </w:r>
      <w:r>
        <w:rPr>
          <w:rFonts w:asciiTheme="minorHAnsi" w:hAnsiTheme="minorHAnsi" w:cstheme="minorHAnsi"/>
        </w:rPr>
        <w:lastRenderedPageBreak/>
        <w:t>Appendix E, Part 2</w:t>
      </w:r>
      <w:r>
        <w:rPr>
          <w:rFonts w:asciiTheme="minorHAnsi" w:hAnsiTheme="minorHAnsi" w:cstheme="minorHAnsi"/>
        </w:rPr>
        <w:br/>
        <w:t>Appendix F, Part 3</w:t>
      </w:r>
    </w:p>
    <w:p w14:paraId="768BFC6E" w14:textId="5B09E6C2" w:rsidR="00362C3F" w:rsidRDefault="00362C3F" w:rsidP="006C7160">
      <w:pPr>
        <w:ind w:left="426"/>
        <w:rPr>
          <w:rFonts w:asciiTheme="minorHAnsi" w:hAnsiTheme="minorHAnsi" w:cstheme="minorHAnsi"/>
          <w:b/>
        </w:rPr>
      </w:pPr>
      <w:r>
        <w:rPr>
          <w:rFonts w:asciiTheme="minorHAnsi" w:hAnsiTheme="minorHAnsi" w:cstheme="minorHAnsi"/>
          <w:b/>
        </w:rPr>
        <w:t>LEAD METALLIC</w:t>
      </w:r>
    </w:p>
    <w:p w14:paraId="25E68901" w14:textId="5DF25347" w:rsidR="00362C3F" w:rsidRPr="00362C3F" w:rsidRDefault="00362C3F" w:rsidP="006C7160">
      <w:pPr>
        <w:ind w:left="426"/>
        <w:rPr>
          <w:rFonts w:asciiTheme="minorHAnsi" w:hAnsiTheme="minorHAnsi" w:cstheme="minorHAnsi"/>
        </w:rPr>
      </w:pPr>
      <w:r w:rsidRPr="00A53CAB">
        <w:rPr>
          <w:rFonts w:asciiTheme="minorHAnsi" w:hAnsiTheme="minorHAnsi" w:cstheme="minorHAnsi"/>
        </w:rPr>
        <w:t>Appendix B, Part 3</w:t>
      </w:r>
    </w:p>
    <w:p w14:paraId="479FAA2C" w14:textId="1366F55A" w:rsidR="006C7160" w:rsidRPr="00EA1706" w:rsidRDefault="006C7160" w:rsidP="006C7160">
      <w:pPr>
        <w:ind w:left="426"/>
        <w:rPr>
          <w:rFonts w:asciiTheme="minorHAnsi" w:hAnsiTheme="minorHAnsi" w:cstheme="minorHAnsi"/>
          <w:b/>
        </w:rPr>
      </w:pPr>
      <w:r w:rsidRPr="00EA1706">
        <w:rPr>
          <w:rFonts w:asciiTheme="minorHAnsi" w:hAnsiTheme="minorHAnsi" w:cstheme="minorHAnsi"/>
          <w:b/>
        </w:rPr>
        <w:t>LEAD</w:t>
      </w:r>
      <w:r>
        <w:rPr>
          <w:rFonts w:asciiTheme="minorHAnsi" w:hAnsiTheme="minorHAnsi" w:cstheme="minorHAnsi"/>
          <w:b/>
        </w:rPr>
        <w:br/>
      </w:r>
      <w:r w:rsidRPr="00251574">
        <w:rPr>
          <w:rFonts w:asciiTheme="minorHAnsi" w:hAnsiTheme="minorHAnsi" w:cstheme="minorHAnsi"/>
        </w:rPr>
        <w:t>cross reference: GLAZING PREPARATIONS, PRINTING INKS or INK ADDITIVES, SELENIUM</w:t>
      </w:r>
    </w:p>
    <w:p w14:paraId="5FC50F96" w14:textId="63A7318A" w:rsidR="006C7160" w:rsidRPr="00A53CAB" w:rsidRDefault="006C7160" w:rsidP="00A53CAB">
      <w:pPr>
        <w:ind w:left="426"/>
        <w:rPr>
          <w:rFonts w:asciiTheme="minorHAnsi" w:hAnsiTheme="minorHAnsi" w:cstheme="minorHAnsi"/>
        </w:rPr>
      </w:pPr>
      <w:r>
        <w:rPr>
          <w:rFonts w:asciiTheme="minorHAnsi" w:hAnsiTheme="minorHAnsi" w:cstheme="minorHAnsi"/>
        </w:rPr>
        <w:t>Schedule 4</w:t>
      </w:r>
    </w:p>
    <w:p w14:paraId="75D305E3" w14:textId="362FB87B" w:rsidR="006F5FD7" w:rsidRDefault="006F5FD7" w:rsidP="006F5FD7">
      <w:pPr>
        <w:pStyle w:val="Heading4"/>
      </w:pPr>
      <w:bookmarkStart w:id="47" w:name="_Toc71182236"/>
      <w:r>
        <w:t>Proposed scheduling</w:t>
      </w:r>
      <w:bookmarkEnd w:id="47"/>
    </w:p>
    <w:p w14:paraId="3B95DD63" w14:textId="2FA7FA04" w:rsidR="006F5FD7" w:rsidRPr="00CD40FB" w:rsidRDefault="006F5FD7" w:rsidP="006F5FD7">
      <w:pPr>
        <w:ind w:left="426"/>
        <w:rPr>
          <w:b/>
        </w:rPr>
      </w:pPr>
      <w:r w:rsidRPr="00CD40FB">
        <w:rPr>
          <w:b/>
        </w:rPr>
        <w:t xml:space="preserve">Schedule </w:t>
      </w:r>
      <w:r w:rsidRPr="008C2594">
        <w:rPr>
          <w:b/>
        </w:rPr>
        <w:t>10 –</w:t>
      </w:r>
      <w:r w:rsidR="00E63FA6">
        <w:rPr>
          <w:b/>
        </w:rPr>
        <w:t xml:space="preserve">New </w:t>
      </w:r>
      <w:r w:rsidRPr="008C2594">
        <w:rPr>
          <w:b/>
        </w:rPr>
        <w:t>Entry</w:t>
      </w:r>
    </w:p>
    <w:p w14:paraId="2AFEC07F" w14:textId="0AE3AFBE" w:rsidR="00766D01" w:rsidRPr="00766D01" w:rsidRDefault="00600656" w:rsidP="00600656">
      <w:pPr>
        <w:ind w:left="426"/>
        <w:rPr>
          <w:rFonts w:asciiTheme="minorHAnsi" w:hAnsiTheme="minorHAnsi" w:cstheme="minorHAnsi"/>
          <w:color w:val="00B050"/>
        </w:rPr>
      </w:pPr>
      <w:r w:rsidRPr="002A4443">
        <w:rPr>
          <w:rFonts w:asciiTheme="minorHAnsi" w:hAnsiTheme="minorHAnsi" w:cstheme="minorHAnsi"/>
          <w:color w:val="00B050"/>
        </w:rPr>
        <w:t xml:space="preserve">LEAD </w:t>
      </w:r>
      <w:r w:rsidR="00CF6A94">
        <w:rPr>
          <w:rFonts w:asciiTheme="minorHAnsi" w:hAnsiTheme="minorHAnsi" w:cstheme="minorHAnsi"/>
          <w:color w:val="00B050"/>
        </w:rPr>
        <w:t>ACETATES</w:t>
      </w:r>
      <w:r w:rsidR="00E63FA6">
        <w:rPr>
          <w:rFonts w:asciiTheme="minorHAnsi" w:hAnsiTheme="minorHAnsi" w:cstheme="minorHAnsi"/>
          <w:color w:val="00B050"/>
        </w:rPr>
        <w:t xml:space="preserve"> in preparations for use as hair cosmetics.</w:t>
      </w:r>
    </w:p>
    <w:p w14:paraId="60F656AC" w14:textId="77777777" w:rsidR="005D1C23" w:rsidRPr="00EA1706" w:rsidRDefault="005D1C23" w:rsidP="005D1C23">
      <w:pPr>
        <w:ind w:left="426"/>
        <w:rPr>
          <w:rFonts w:asciiTheme="minorHAnsi" w:hAnsiTheme="minorHAnsi" w:cstheme="minorHAnsi"/>
          <w:b/>
        </w:rPr>
      </w:pPr>
      <w:r w:rsidRPr="00EA1706">
        <w:rPr>
          <w:rFonts w:asciiTheme="minorHAnsi" w:hAnsiTheme="minorHAnsi" w:cstheme="minorHAnsi"/>
          <w:b/>
        </w:rPr>
        <w:t>Schedule 6</w:t>
      </w:r>
    </w:p>
    <w:p w14:paraId="6567F8FF" w14:textId="77777777" w:rsidR="005D1C23" w:rsidRPr="00EA1706" w:rsidRDefault="005D1C23" w:rsidP="005D1C23">
      <w:pPr>
        <w:ind w:left="426"/>
        <w:rPr>
          <w:rFonts w:asciiTheme="minorHAnsi" w:hAnsiTheme="minorHAnsi" w:cstheme="minorHAnsi"/>
        </w:rPr>
      </w:pPr>
      <w:r w:rsidRPr="00EA1706">
        <w:rPr>
          <w:rFonts w:asciiTheme="minorHAnsi" w:hAnsiTheme="minorHAnsi" w:cstheme="minorHAnsi"/>
        </w:rPr>
        <w:t>LEAD COMPOUNDS except:</w:t>
      </w:r>
    </w:p>
    <w:p w14:paraId="60C839C8" w14:textId="77777777" w:rsidR="005D1C23" w:rsidRPr="00EA1706" w:rsidRDefault="005D1C23" w:rsidP="005D1C23">
      <w:pPr>
        <w:ind w:left="426"/>
        <w:rPr>
          <w:rFonts w:asciiTheme="minorHAnsi" w:hAnsiTheme="minorHAnsi" w:cstheme="minorHAnsi"/>
        </w:rPr>
      </w:pPr>
      <w:r w:rsidRPr="00EA1706">
        <w:rPr>
          <w:rFonts w:asciiTheme="minorHAnsi" w:hAnsiTheme="minorHAnsi" w:cstheme="minorHAnsi"/>
        </w:rPr>
        <w:t>a) when included in Schedule 4 or 5;</w:t>
      </w:r>
    </w:p>
    <w:p w14:paraId="7C5DA41D" w14:textId="77777777" w:rsidR="005D1C23" w:rsidRPr="00EA1706" w:rsidRDefault="005D1C23" w:rsidP="005D1C23">
      <w:pPr>
        <w:ind w:left="426"/>
        <w:rPr>
          <w:rFonts w:asciiTheme="minorHAnsi" w:hAnsiTheme="minorHAnsi" w:cstheme="minorHAnsi"/>
        </w:rPr>
      </w:pPr>
      <w:r w:rsidRPr="00EA1706">
        <w:rPr>
          <w:rFonts w:asciiTheme="minorHAnsi" w:hAnsiTheme="minorHAnsi" w:cstheme="minorHAnsi"/>
        </w:rPr>
        <w:t>b) in paints, tinters, inks or ink additives;</w:t>
      </w:r>
    </w:p>
    <w:p w14:paraId="2F6DF368" w14:textId="77777777" w:rsidR="005D1C23" w:rsidRPr="00EA1706" w:rsidRDefault="005D1C23" w:rsidP="005D1C23">
      <w:pPr>
        <w:ind w:left="426"/>
        <w:rPr>
          <w:rFonts w:asciiTheme="minorHAnsi" w:hAnsiTheme="minorHAnsi" w:cstheme="minorHAnsi"/>
        </w:rPr>
      </w:pPr>
      <w:r w:rsidRPr="00EA1706">
        <w:rPr>
          <w:rFonts w:asciiTheme="minorHAnsi" w:hAnsiTheme="minorHAnsi" w:cstheme="minorHAnsi"/>
        </w:rPr>
        <w:t>c) in preparations for cosmetic use containing 100 mg/kg or less of lead;</w:t>
      </w:r>
    </w:p>
    <w:p w14:paraId="281FB4D3" w14:textId="77777777" w:rsidR="005D1C23" w:rsidRPr="00EA1706" w:rsidRDefault="005D1C23" w:rsidP="005D1C23">
      <w:pPr>
        <w:ind w:left="426"/>
        <w:rPr>
          <w:rFonts w:asciiTheme="minorHAnsi" w:hAnsiTheme="minorHAnsi" w:cstheme="minorHAnsi"/>
        </w:rPr>
      </w:pPr>
      <w:r w:rsidRPr="00EA1706">
        <w:rPr>
          <w:rFonts w:asciiTheme="minorHAnsi" w:hAnsiTheme="minorHAnsi" w:cstheme="minorHAnsi"/>
        </w:rPr>
        <w:t>d) in pencil cores, finger colours, showcard colours, pastels, crayons, poster paints/colours or coloured chalks containing 100 mg/kg or less of lead; or</w:t>
      </w:r>
    </w:p>
    <w:p w14:paraId="6368C689" w14:textId="77777777" w:rsidR="005D1C23" w:rsidRPr="00EA1706" w:rsidRDefault="005D1C23" w:rsidP="005D1C23">
      <w:pPr>
        <w:ind w:left="426"/>
        <w:rPr>
          <w:rFonts w:asciiTheme="minorHAnsi" w:hAnsiTheme="minorHAnsi" w:cstheme="minorHAnsi"/>
        </w:rPr>
      </w:pPr>
      <w:r w:rsidRPr="00EA1706">
        <w:rPr>
          <w:rFonts w:asciiTheme="minorHAnsi" w:hAnsiTheme="minorHAnsi" w:cstheme="minorHAnsi"/>
        </w:rPr>
        <w:t>e) in ceramic glazes when labelled with the warning statement:</w:t>
      </w:r>
    </w:p>
    <w:p w14:paraId="45956556" w14:textId="77777777" w:rsidR="005D1C23" w:rsidRPr="00EA1706" w:rsidRDefault="005D1C23" w:rsidP="005D1C23">
      <w:pPr>
        <w:ind w:left="426"/>
        <w:rPr>
          <w:rFonts w:asciiTheme="minorHAnsi" w:hAnsiTheme="minorHAnsi" w:cstheme="minorHAnsi"/>
        </w:rPr>
      </w:pPr>
      <w:r>
        <w:rPr>
          <w:rFonts w:asciiTheme="minorHAnsi" w:hAnsiTheme="minorHAnsi" w:cstheme="minorHAnsi"/>
        </w:rPr>
        <w:tab/>
      </w:r>
      <w:r w:rsidRPr="00EA1706">
        <w:rPr>
          <w:rFonts w:asciiTheme="minorHAnsi" w:hAnsiTheme="minorHAnsi" w:cstheme="minorHAnsi"/>
        </w:rPr>
        <w:t xml:space="preserve">CAUTION – Harmful if swallowed. Do not use on surfaces which contact food or </w:t>
      </w:r>
      <w:r>
        <w:rPr>
          <w:rFonts w:asciiTheme="minorHAnsi" w:hAnsiTheme="minorHAnsi" w:cstheme="minorHAnsi"/>
        </w:rPr>
        <w:tab/>
      </w:r>
      <w:r w:rsidRPr="00EA1706">
        <w:rPr>
          <w:rFonts w:asciiTheme="minorHAnsi" w:hAnsiTheme="minorHAnsi" w:cstheme="minorHAnsi"/>
        </w:rPr>
        <w:t>drink.</w:t>
      </w:r>
    </w:p>
    <w:p w14:paraId="6AA64AB7" w14:textId="77777777" w:rsidR="005D1C23" w:rsidRDefault="005D1C23" w:rsidP="005D1C23">
      <w:pPr>
        <w:ind w:left="426"/>
        <w:rPr>
          <w:rFonts w:asciiTheme="minorHAnsi" w:hAnsiTheme="minorHAnsi" w:cstheme="minorHAnsi"/>
        </w:rPr>
      </w:pPr>
      <w:r>
        <w:rPr>
          <w:rFonts w:asciiTheme="minorHAnsi" w:hAnsiTheme="minorHAnsi" w:cstheme="minorHAnsi"/>
        </w:rPr>
        <w:tab/>
      </w:r>
      <w:r w:rsidRPr="00EA1706">
        <w:rPr>
          <w:rFonts w:asciiTheme="minorHAnsi" w:hAnsiTheme="minorHAnsi" w:cstheme="minorHAnsi"/>
        </w:rPr>
        <w:t>written in letters not less than 1.5 mm in height.</w:t>
      </w:r>
    </w:p>
    <w:p w14:paraId="6B208BC9" w14:textId="41EE364F" w:rsidR="009333AC" w:rsidRPr="00EA1706" w:rsidRDefault="009333AC" w:rsidP="005D1C23">
      <w:pPr>
        <w:ind w:left="426"/>
        <w:rPr>
          <w:rFonts w:asciiTheme="minorHAnsi" w:hAnsiTheme="minorHAnsi" w:cstheme="minorHAnsi"/>
          <w:b/>
        </w:rPr>
      </w:pPr>
      <w:r w:rsidRPr="00EA1706">
        <w:rPr>
          <w:rFonts w:asciiTheme="minorHAnsi" w:hAnsiTheme="minorHAnsi" w:cstheme="minorHAnsi"/>
          <w:b/>
        </w:rPr>
        <w:t>Schedule 5</w:t>
      </w:r>
      <w:r>
        <w:rPr>
          <w:rFonts w:asciiTheme="minorHAnsi" w:hAnsiTheme="minorHAnsi" w:cstheme="minorHAnsi"/>
          <w:b/>
        </w:rPr>
        <w:t xml:space="preserve"> –</w:t>
      </w:r>
      <w:r w:rsidR="00E63FA6">
        <w:rPr>
          <w:rFonts w:asciiTheme="minorHAnsi" w:hAnsiTheme="minorHAnsi" w:cstheme="minorHAnsi"/>
          <w:b/>
        </w:rPr>
        <w:t xml:space="preserve">Amend </w:t>
      </w:r>
      <w:r>
        <w:rPr>
          <w:rFonts w:asciiTheme="minorHAnsi" w:hAnsiTheme="minorHAnsi" w:cstheme="minorHAnsi"/>
          <w:b/>
        </w:rPr>
        <w:t>Entry</w:t>
      </w:r>
    </w:p>
    <w:p w14:paraId="5A9FA184" w14:textId="3FA3738E" w:rsidR="009333AC" w:rsidRDefault="009333AC" w:rsidP="009333AC">
      <w:pPr>
        <w:ind w:left="426"/>
        <w:rPr>
          <w:rFonts w:asciiTheme="minorHAnsi" w:hAnsiTheme="minorHAnsi" w:cstheme="minorHAnsi"/>
          <w:color w:val="00B050"/>
        </w:rPr>
      </w:pPr>
      <w:r w:rsidRPr="00E63FA6">
        <w:rPr>
          <w:rFonts w:asciiTheme="minorHAnsi" w:hAnsiTheme="minorHAnsi" w:cstheme="minorHAnsi"/>
        </w:rPr>
        <w:t>LEAD COMPOUNDS in preparations for use as hair cosmetics</w:t>
      </w:r>
      <w:r w:rsidR="00E63FA6" w:rsidRPr="00E63FA6">
        <w:rPr>
          <w:rFonts w:asciiTheme="minorHAnsi" w:hAnsiTheme="minorHAnsi" w:cstheme="minorHAnsi"/>
          <w:color w:val="002C47" w:themeColor="text1"/>
        </w:rPr>
        <w:t xml:space="preserve"> </w:t>
      </w:r>
      <w:r w:rsidR="00E63FA6" w:rsidRPr="00E63FA6">
        <w:rPr>
          <w:rFonts w:asciiTheme="minorHAnsi" w:hAnsiTheme="minorHAnsi" w:cstheme="minorHAnsi"/>
          <w:color w:val="00B050"/>
        </w:rPr>
        <w:t>except when included in Schedule 10</w:t>
      </w:r>
      <w:r w:rsidRPr="00E63FA6">
        <w:rPr>
          <w:rFonts w:asciiTheme="minorHAnsi" w:hAnsiTheme="minorHAnsi" w:cstheme="minorHAnsi"/>
          <w:color w:val="00B050"/>
        </w:rPr>
        <w:t>.</w:t>
      </w:r>
    </w:p>
    <w:p w14:paraId="4336FAB2" w14:textId="77777777" w:rsidR="005D1C23" w:rsidRPr="00EA1706" w:rsidRDefault="005D1C23" w:rsidP="005D1C23">
      <w:pPr>
        <w:ind w:left="426"/>
        <w:rPr>
          <w:rFonts w:asciiTheme="minorHAnsi" w:hAnsiTheme="minorHAnsi" w:cstheme="minorHAnsi"/>
          <w:b/>
        </w:rPr>
      </w:pPr>
      <w:r w:rsidRPr="00EA1706">
        <w:rPr>
          <w:rFonts w:asciiTheme="minorHAnsi" w:hAnsiTheme="minorHAnsi" w:cstheme="minorHAnsi"/>
          <w:b/>
        </w:rPr>
        <w:t>Schedule 4</w:t>
      </w:r>
    </w:p>
    <w:p w14:paraId="7C94EA85" w14:textId="2F3C4639" w:rsidR="005D1C23" w:rsidRPr="00E63FA6" w:rsidRDefault="005D1C23" w:rsidP="005D1C23">
      <w:pPr>
        <w:ind w:left="426"/>
        <w:rPr>
          <w:rFonts w:asciiTheme="minorHAnsi" w:hAnsiTheme="minorHAnsi" w:cstheme="minorHAnsi"/>
          <w:color w:val="00B050"/>
        </w:rPr>
      </w:pPr>
      <w:r>
        <w:rPr>
          <w:szCs w:val="22"/>
        </w:rPr>
        <w:t>LEAD for human therapeutic use.</w:t>
      </w:r>
    </w:p>
    <w:p w14:paraId="1FB9B88F" w14:textId="1A2D29A1" w:rsidR="00B977FC" w:rsidRPr="006D5C84" w:rsidRDefault="00B977FC" w:rsidP="00B977FC">
      <w:pPr>
        <w:ind w:left="426"/>
        <w:rPr>
          <w:b/>
        </w:rPr>
      </w:pPr>
      <w:r w:rsidRPr="006D5C84">
        <w:rPr>
          <w:b/>
        </w:rPr>
        <w:t>Appendix E, Part 2</w:t>
      </w:r>
      <w:r>
        <w:rPr>
          <w:b/>
        </w:rPr>
        <w:t xml:space="preserve"> – Amend Entry</w:t>
      </w:r>
    </w:p>
    <w:tbl>
      <w:tblPr>
        <w:tblStyle w:val="TableTGAblue"/>
        <w:tblW w:w="0" w:type="auto"/>
        <w:tblLook w:val="04A0" w:firstRow="1" w:lastRow="0" w:firstColumn="1" w:lastColumn="0" w:noHBand="0" w:noVBand="1"/>
      </w:tblPr>
      <w:tblGrid>
        <w:gridCol w:w="5486"/>
        <w:gridCol w:w="3008"/>
      </w:tblGrid>
      <w:tr w:rsidR="00B977FC" w14:paraId="164B8C1C" w14:textId="77777777" w:rsidTr="007F6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6" w:type="dxa"/>
            <w:hideMark/>
          </w:tcPr>
          <w:p w14:paraId="32EA0B7C" w14:textId="77777777" w:rsidR="00B977FC" w:rsidRDefault="00B977FC" w:rsidP="00600656">
            <w:pPr>
              <w:rPr>
                <w:b w:val="0"/>
              </w:rPr>
            </w:pPr>
            <w:r>
              <w:rPr>
                <w:b w:val="0"/>
              </w:rPr>
              <w:t>POISON</w:t>
            </w:r>
          </w:p>
        </w:tc>
        <w:tc>
          <w:tcPr>
            <w:tcW w:w="3008" w:type="dxa"/>
            <w:hideMark/>
          </w:tcPr>
          <w:p w14:paraId="57C75D1A" w14:textId="77777777" w:rsidR="00B977FC" w:rsidRDefault="00B977FC" w:rsidP="00600656">
            <w:pPr>
              <w:cnfStyle w:val="100000000000" w:firstRow="1" w:lastRow="0" w:firstColumn="0" w:lastColumn="0" w:oddVBand="0" w:evenVBand="0" w:oddHBand="0" w:evenHBand="0" w:firstRowFirstColumn="0" w:firstRowLastColumn="0" w:lastRowFirstColumn="0" w:lastRowLastColumn="0"/>
              <w:rPr>
                <w:b w:val="0"/>
              </w:rPr>
            </w:pPr>
            <w:r>
              <w:rPr>
                <w:b w:val="0"/>
              </w:rPr>
              <w:t>STANDARD STATEMENTS</w:t>
            </w:r>
          </w:p>
        </w:tc>
      </w:tr>
      <w:tr w:rsidR="00B977FC" w14:paraId="307EE75E" w14:textId="77777777" w:rsidTr="007F6AC0">
        <w:tc>
          <w:tcPr>
            <w:cnfStyle w:val="001000000000" w:firstRow="0" w:lastRow="0" w:firstColumn="1" w:lastColumn="0" w:oddVBand="0" w:evenVBand="0" w:oddHBand="0" w:evenHBand="0" w:firstRowFirstColumn="0" w:firstRowLastColumn="0" w:lastRowFirstColumn="0" w:lastRowLastColumn="0"/>
            <w:tcW w:w="5486" w:type="dxa"/>
            <w:hideMark/>
          </w:tcPr>
          <w:p w14:paraId="6B4AC398" w14:textId="6935A2D8" w:rsidR="00B977FC" w:rsidRPr="00251574" w:rsidRDefault="00B977FC" w:rsidP="00CF04BD">
            <w:pPr>
              <w:pStyle w:val="ListBullet"/>
              <w:numPr>
                <w:ilvl w:val="0"/>
                <w:numId w:val="0"/>
              </w:numPr>
              <w:ind w:left="360" w:hanging="360"/>
              <w:rPr>
                <w:rFonts w:asciiTheme="minorHAnsi" w:hAnsiTheme="minorHAnsi"/>
                <w:szCs w:val="22"/>
              </w:rPr>
            </w:pPr>
            <w:r w:rsidRPr="00251574">
              <w:rPr>
                <w:rFonts w:asciiTheme="minorHAnsi" w:hAnsiTheme="minorHAnsi"/>
                <w:szCs w:val="22"/>
              </w:rPr>
              <w:t>LEAD</w:t>
            </w:r>
            <w:r w:rsidR="00CF04BD">
              <w:rPr>
                <w:rFonts w:asciiTheme="minorHAnsi" w:hAnsiTheme="minorHAnsi"/>
                <w:szCs w:val="22"/>
              </w:rPr>
              <w:t xml:space="preserve"> </w:t>
            </w:r>
            <w:r w:rsidRPr="00251574">
              <w:rPr>
                <w:rFonts w:asciiTheme="minorHAnsi" w:hAnsiTheme="minorHAnsi"/>
                <w:szCs w:val="22"/>
              </w:rPr>
              <w:t>COMPOUNDS</w:t>
            </w:r>
            <w:r w:rsidR="00CF04BD">
              <w:rPr>
                <w:rFonts w:asciiTheme="minorHAnsi" w:hAnsiTheme="minorHAnsi"/>
                <w:szCs w:val="22"/>
              </w:rPr>
              <w:t xml:space="preserve"> </w:t>
            </w:r>
          </w:p>
        </w:tc>
        <w:tc>
          <w:tcPr>
            <w:tcW w:w="3008" w:type="dxa"/>
            <w:hideMark/>
          </w:tcPr>
          <w:p w14:paraId="2E3E8B9E" w14:textId="3F2BE779" w:rsidR="00B977FC" w:rsidRPr="007F6AC0" w:rsidRDefault="00B977FC" w:rsidP="00B977F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B050"/>
                <w:szCs w:val="22"/>
              </w:rPr>
            </w:pPr>
          </w:p>
        </w:tc>
      </w:tr>
      <w:tr w:rsidR="00B977FC" w14:paraId="36FDEF41" w14:textId="77777777" w:rsidTr="007F6AC0">
        <w:tc>
          <w:tcPr>
            <w:cnfStyle w:val="001000000000" w:firstRow="0" w:lastRow="0" w:firstColumn="1" w:lastColumn="0" w:oddVBand="0" w:evenVBand="0" w:oddHBand="0" w:evenHBand="0" w:firstRowFirstColumn="0" w:firstRowLastColumn="0" w:lastRowFirstColumn="0" w:lastRowLastColumn="0"/>
            <w:tcW w:w="5486" w:type="dxa"/>
          </w:tcPr>
          <w:p w14:paraId="0F7ED91E" w14:textId="0BEAB11F" w:rsidR="00B977FC" w:rsidRPr="00CF04BD" w:rsidRDefault="00B977FC" w:rsidP="00CF04BD">
            <w:pPr>
              <w:pStyle w:val="ListBullet"/>
              <w:rPr>
                <w:color w:val="00B050"/>
              </w:rPr>
            </w:pPr>
            <w:r w:rsidRPr="00CF04BD">
              <w:rPr>
                <w:color w:val="auto"/>
              </w:rPr>
              <w:t xml:space="preserve">in hair cosmetics </w:t>
            </w:r>
            <w:r w:rsidR="00CF04BD">
              <w:rPr>
                <w:color w:val="00B050"/>
              </w:rPr>
              <w:t>(other than LEAD ACETATE)</w:t>
            </w:r>
          </w:p>
        </w:tc>
        <w:tc>
          <w:tcPr>
            <w:tcW w:w="3008" w:type="dxa"/>
          </w:tcPr>
          <w:p w14:paraId="105C10D2" w14:textId="77777777" w:rsidR="00B977FC" w:rsidRPr="00CF04BD" w:rsidRDefault="00B977FC" w:rsidP="00B977F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B050"/>
                <w:szCs w:val="22"/>
              </w:rPr>
            </w:pPr>
            <w:r w:rsidRPr="00CF04BD">
              <w:rPr>
                <w:rFonts w:asciiTheme="minorHAnsi" w:hAnsiTheme="minorHAnsi"/>
                <w:color w:val="auto"/>
                <w:szCs w:val="22"/>
              </w:rPr>
              <w:t>A</w:t>
            </w:r>
          </w:p>
        </w:tc>
      </w:tr>
      <w:tr w:rsidR="00B977FC" w14:paraId="6197F491" w14:textId="77777777" w:rsidTr="007F6AC0">
        <w:tc>
          <w:tcPr>
            <w:cnfStyle w:val="001000000000" w:firstRow="0" w:lastRow="0" w:firstColumn="1" w:lastColumn="0" w:oddVBand="0" w:evenVBand="0" w:oddHBand="0" w:evenHBand="0" w:firstRowFirstColumn="0" w:firstRowLastColumn="0" w:lastRowFirstColumn="0" w:lastRowLastColumn="0"/>
            <w:tcW w:w="5486" w:type="dxa"/>
          </w:tcPr>
          <w:p w14:paraId="46D05579" w14:textId="77777777" w:rsidR="00B977FC" w:rsidRPr="00CF04BD" w:rsidRDefault="00B977FC" w:rsidP="00B977FC">
            <w:pPr>
              <w:pStyle w:val="ListBullet"/>
              <w:rPr>
                <w:color w:val="auto"/>
              </w:rPr>
            </w:pPr>
            <w:r w:rsidRPr="00CF04BD">
              <w:rPr>
                <w:color w:val="auto"/>
              </w:rPr>
              <w:t>in other preparations</w:t>
            </w:r>
          </w:p>
        </w:tc>
        <w:tc>
          <w:tcPr>
            <w:tcW w:w="3008" w:type="dxa"/>
          </w:tcPr>
          <w:p w14:paraId="416BDA06" w14:textId="77777777" w:rsidR="00B977FC" w:rsidRPr="00CF04BD" w:rsidRDefault="00B977FC" w:rsidP="00B977F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F04BD">
              <w:rPr>
                <w:rFonts w:asciiTheme="minorHAnsi" w:hAnsiTheme="minorHAnsi"/>
                <w:color w:val="auto"/>
                <w:szCs w:val="22"/>
              </w:rPr>
              <w:t>A,S1</w:t>
            </w:r>
          </w:p>
        </w:tc>
      </w:tr>
      <w:tr w:rsidR="00B977FC" w:rsidRPr="00C57F1C" w14:paraId="197A8498" w14:textId="77777777" w:rsidTr="007F6AC0">
        <w:tc>
          <w:tcPr>
            <w:cnfStyle w:val="001000000000" w:firstRow="0" w:lastRow="0" w:firstColumn="1" w:lastColumn="0" w:oddVBand="0" w:evenVBand="0" w:oddHBand="0" w:evenHBand="0" w:firstRowFirstColumn="0" w:firstRowLastColumn="0" w:lastRowFirstColumn="0" w:lastRowLastColumn="0"/>
            <w:tcW w:w="8494" w:type="dxa"/>
            <w:gridSpan w:val="2"/>
          </w:tcPr>
          <w:p w14:paraId="1D8E3718" w14:textId="77777777" w:rsidR="00B977FC" w:rsidRDefault="00B977FC" w:rsidP="00B977FC">
            <w:pPr>
              <w:rPr>
                <w:sz w:val="20"/>
              </w:rPr>
            </w:pPr>
            <w:r>
              <w:rPr>
                <w:b/>
                <w:sz w:val="20"/>
              </w:rPr>
              <w:lastRenderedPageBreak/>
              <w:t xml:space="preserve">A </w:t>
            </w:r>
            <w:r>
              <w:rPr>
                <w:sz w:val="20"/>
              </w:rPr>
              <w:t xml:space="preserve">– </w:t>
            </w:r>
            <w:r w:rsidRPr="00C57F1C">
              <w:rPr>
                <w:sz w:val="20"/>
              </w:rPr>
              <w:t>For advice, contact a Poisons Information Centre (e.g. phone Australia 13 11 26; New Zealand 0800 764 766) or a doctor (at once).</w:t>
            </w:r>
          </w:p>
          <w:p w14:paraId="73E45414" w14:textId="77777777" w:rsidR="00B977FC" w:rsidRPr="00C57F1C" w:rsidRDefault="00B977FC" w:rsidP="00B977FC">
            <w:pPr>
              <w:rPr>
                <w:sz w:val="20"/>
              </w:rPr>
            </w:pPr>
            <w:r>
              <w:rPr>
                <w:b/>
                <w:sz w:val="20"/>
              </w:rPr>
              <w:t xml:space="preserve">S1 </w:t>
            </w:r>
            <w:r>
              <w:rPr>
                <w:sz w:val="20"/>
              </w:rPr>
              <w:t xml:space="preserve">– </w:t>
            </w:r>
            <w:r w:rsidRPr="00D43617">
              <w:rPr>
                <w:sz w:val="20"/>
              </w:rPr>
              <w:t>If skin or hair contact occurs, remove contaminated clothing and flush skin and hair with running water.</w:t>
            </w:r>
          </w:p>
        </w:tc>
      </w:tr>
    </w:tbl>
    <w:p w14:paraId="0C3D827B" w14:textId="400C605F" w:rsidR="00B977FC" w:rsidRPr="006D5C84" w:rsidRDefault="00BF6F04" w:rsidP="00BF6F04">
      <w:pPr>
        <w:ind w:left="426" w:hanging="142"/>
        <w:rPr>
          <w:b/>
        </w:rPr>
      </w:pPr>
      <w:r>
        <w:tab/>
      </w:r>
      <w:r w:rsidR="00B977FC">
        <w:rPr>
          <w:b/>
        </w:rPr>
        <w:t>Appendix</w:t>
      </w:r>
      <w:r w:rsidR="00B977FC" w:rsidRPr="006D5C84">
        <w:rPr>
          <w:b/>
        </w:rPr>
        <w:t xml:space="preserve"> F, Part 3</w:t>
      </w:r>
      <w:r w:rsidR="00B977FC">
        <w:rPr>
          <w:b/>
        </w:rPr>
        <w:t xml:space="preserve"> – Amend Entry</w:t>
      </w:r>
    </w:p>
    <w:tbl>
      <w:tblPr>
        <w:tblStyle w:val="TableTGAblue"/>
        <w:tblW w:w="0" w:type="auto"/>
        <w:tblLook w:val="04A0" w:firstRow="1" w:lastRow="0" w:firstColumn="1" w:lastColumn="0" w:noHBand="0" w:noVBand="1"/>
      </w:tblPr>
      <w:tblGrid>
        <w:gridCol w:w="2400"/>
        <w:gridCol w:w="3402"/>
        <w:gridCol w:w="2920"/>
      </w:tblGrid>
      <w:tr w:rsidR="00B977FC" w:rsidRPr="00C57F1C" w14:paraId="0B236570" w14:textId="77777777" w:rsidTr="007F6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14:paraId="2EC35232" w14:textId="77777777" w:rsidR="00B977FC" w:rsidRPr="00C57F1C" w:rsidRDefault="00B977FC" w:rsidP="00600656">
            <w:pPr>
              <w:rPr>
                <w:b w:val="0"/>
              </w:rPr>
            </w:pPr>
            <w:r w:rsidRPr="00C57F1C">
              <w:rPr>
                <w:b w:val="0"/>
              </w:rPr>
              <w:t>POISON</w:t>
            </w:r>
          </w:p>
        </w:tc>
        <w:tc>
          <w:tcPr>
            <w:tcW w:w="3402" w:type="dxa"/>
            <w:hideMark/>
          </w:tcPr>
          <w:p w14:paraId="163513C5" w14:textId="77777777" w:rsidR="00B977FC" w:rsidRPr="00C57F1C" w:rsidRDefault="00B977FC" w:rsidP="00600656">
            <w:pPr>
              <w:jc w:val="center"/>
              <w:cnfStyle w:val="100000000000" w:firstRow="1" w:lastRow="0" w:firstColumn="0" w:lastColumn="0" w:oddVBand="0" w:evenVBand="0" w:oddHBand="0" w:evenHBand="0" w:firstRowFirstColumn="0" w:firstRowLastColumn="0" w:lastRowFirstColumn="0" w:lastRowLastColumn="0"/>
              <w:rPr>
                <w:b w:val="0"/>
              </w:rPr>
            </w:pPr>
            <w:r w:rsidRPr="00C57F1C">
              <w:rPr>
                <w:b w:val="0"/>
              </w:rPr>
              <w:t>WARNING STATEMENTS</w:t>
            </w:r>
          </w:p>
        </w:tc>
        <w:tc>
          <w:tcPr>
            <w:tcW w:w="2920" w:type="dxa"/>
            <w:hideMark/>
          </w:tcPr>
          <w:p w14:paraId="0D442A9C" w14:textId="77777777" w:rsidR="00B977FC" w:rsidRPr="00C57F1C" w:rsidRDefault="00B977FC" w:rsidP="00600656">
            <w:pPr>
              <w:jc w:val="center"/>
              <w:cnfStyle w:val="100000000000" w:firstRow="1" w:lastRow="0" w:firstColumn="0" w:lastColumn="0" w:oddVBand="0" w:evenVBand="0" w:oddHBand="0" w:evenHBand="0" w:firstRowFirstColumn="0" w:firstRowLastColumn="0" w:lastRowFirstColumn="0" w:lastRowLastColumn="0"/>
              <w:rPr>
                <w:b w:val="0"/>
              </w:rPr>
            </w:pPr>
            <w:r w:rsidRPr="00C57F1C">
              <w:rPr>
                <w:b w:val="0"/>
              </w:rPr>
              <w:t>SAFETY DIRECTION</w:t>
            </w:r>
          </w:p>
        </w:tc>
      </w:tr>
      <w:tr w:rsidR="00B977FC" w:rsidRPr="00C57F1C" w14:paraId="1FC28D00" w14:textId="77777777" w:rsidTr="007F6AC0">
        <w:tc>
          <w:tcPr>
            <w:cnfStyle w:val="001000000000" w:firstRow="0" w:lastRow="0" w:firstColumn="1" w:lastColumn="0" w:oddVBand="0" w:evenVBand="0" w:oddHBand="0" w:evenHBand="0" w:firstRowFirstColumn="0" w:firstRowLastColumn="0" w:lastRowFirstColumn="0" w:lastRowLastColumn="0"/>
            <w:tcW w:w="2400" w:type="dxa"/>
            <w:hideMark/>
          </w:tcPr>
          <w:p w14:paraId="67F72718" w14:textId="4478A66F" w:rsidR="00B977FC" w:rsidRPr="00CF04BD" w:rsidRDefault="00B977FC" w:rsidP="00CF04BD">
            <w:pPr>
              <w:spacing w:before="100" w:beforeAutospacing="1" w:after="100" w:afterAutospacing="1" w:line="240" w:lineRule="auto"/>
              <w:rPr>
                <w:rFonts w:asciiTheme="minorHAnsi" w:eastAsia="Times New Roman" w:hAnsiTheme="minorHAnsi"/>
                <w:color w:val="auto"/>
                <w:szCs w:val="22"/>
                <w:lang w:eastAsia="en-AU"/>
              </w:rPr>
            </w:pPr>
            <w:r w:rsidRPr="00CF04BD">
              <w:rPr>
                <w:rFonts w:asciiTheme="minorHAnsi" w:hAnsiTheme="minorHAnsi"/>
                <w:color w:val="auto"/>
                <w:szCs w:val="22"/>
              </w:rPr>
              <w:t xml:space="preserve">LEAD COMPOUNDS </w:t>
            </w:r>
          </w:p>
        </w:tc>
        <w:tc>
          <w:tcPr>
            <w:tcW w:w="3402" w:type="dxa"/>
            <w:hideMark/>
          </w:tcPr>
          <w:p w14:paraId="0FA3A069" w14:textId="77777777" w:rsidR="00B977FC" w:rsidRPr="00CF04BD" w:rsidRDefault="00B977FC" w:rsidP="00600656">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auto"/>
                <w:szCs w:val="22"/>
                <w:lang w:eastAsia="en-AU"/>
              </w:rPr>
            </w:pPr>
            <w:r w:rsidRPr="00CF04BD">
              <w:rPr>
                <w:rFonts w:asciiTheme="minorHAnsi" w:hAnsiTheme="minorHAnsi" w:hint="eastAsia"/>
                <w:color w:val="auto"/>
                <w:szCs w:val="22"/>
              </w:rPr>
              <w:t> </w:t>
            </w:r>
          </w:p>
        </w:tc>
        <w:tc>
          <w:tcPr>
            <w:tcW w:w="2920" w:type="dxa"/>
            <w:hideMark/>
          </w:tcPr>
          <w:p w14:paraId="134D83B6" w14:textId="08BBDCD9" w:rsidR="00B977FC" w:rsidRPr="00CF04BD" w:rsidRDefault="00B977FC" w:rsidP="00600656">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auto"/>
                <w:szCs w:val="22"/>
                <w:lang w:eastAsia="en-AU"/>
              </w:rPr>
            </w:pPr>
            <w:r w:rsidRPr="00CF04BD">
              <w:rPr>
                <w:rFonts w:asciiTheme="minorHAnsi" w:hAnsiTheme="minorHAnsi"/>
                <w:b/>
                <w:color w:val="auto"/>
                <w:szCs w:val="22"/>
              </w:rPr>
              <w:t xml:space="preserve">1 </w:t>
            </w:r>
            <w:r w:rsidRPr="00CF04BD">
              <w:rPr>
                <w:rFonts w:asciiTheme="minorHAnsi" w:hAnsiTheme="minorHAnsi"/>
                <w:color w:val="auto"/>
                <w:szCs w:val="22"/>
              </w:rPr>
              <w:t>- Avoid contact with eyes.</w:t>
            </w:r>
            <w:r w:rsidRPr="00CF04BD">
              <w:rPr>
                <w:rFonts w:asciiTheme="minorHAnsi" w:hAnsiTheme="minorHAnsi"/>
                <w:b/>
                <w:color w:val="auto"/>
                <w:szCs w:val="22"/>
              </w:rPr>
              <w:br/>
              <w:t xml:space="preserve">4 </w:t>
            </w:r>
            <w:r w:rsidRPr="00CF04BD">
              <w:rPr>
                <w:rFonts w:asciiTheme="minorHAnsi" w:hAnsiTheme="minorHAnsi"/>
                <w:color w:val="auto"/>
                <w:szCs w:val="22"/>
              </w:rPr>
              <w:t>- Avoid contact with skin.</w:t>
            </w:r>
            <w:r w:rsidRPr="00CF04BD">
              <w:rPr>
                <w:rFonts w:asciiTheme="minorHAnsi" w:hAnsiTheme="minorHAnsi"/>
                <w:b/>
                <w:color w:val="auto"/>
                <w:szCs w:val="22"/>
              </w:rPr>
              <w:br/>
              <w:t xml:space="preserve">8 </w:t>
            </w:r>
            <w:r w:rsidRPr="00CF04BD">
              <w:rPr>
                <w:rFonts w:asciiTheme="minorHAnsi" w:hAnsiTheme="minorHAnsi"/>
                <w:color w:val="auto"/>
                <w:szCs w:val="22"/>
              </w:rPr>
              <w:t>- Avoid breathing dust (or) vapour (or) spray mist.</w:t>
            </w:r>
          </w:p>
        </w:tc>
      </w:tr>
      <w:tr w:rsidR="00B977FC" w:rsidRPr="00C57F1C" w14:paraId="37312115" w14:textId="77777777" w:rsidTr="007F6AC0">
        <w:tc>
          <w:tcPr>
            <w:cnfStyle w:val="001000000000" w:firstRow="0" w:lastRow="0" w:firstColumn="1" w:lastColumn="0" w:oddVBand="0" w:evenVBand="0" w:oddHBand="0" w:evenHBand="0" w:firstRowFirstColumn="0" w:firstRowLastColumn="0" w:lastRowFirstColumn="0" w:lastRowLastColumn="0"/>
            <w:tcW w:w="2400" w:type="dxa"/>
          </w:tcPr>
          <w:p w14:paraId="05A7EF1A" w14:textId="3FF20AA0" w:rsidR="00B977FC" w:rsidRPr="00CF04BD" w:rsidRDefault="00B977FC" w:rsidP="00CF04BD">
            <w:pPr>
              <w:pStyle w:val="ListBulleta"/>
              <w:numPr>
                <w:ilvl w:val="0"/>
                <w:numId w:val="0"/>
              </w:numPr>
              <w:ind w:left="1146" w:hanging="360"/>
              <w:rPr>
                <w:color w:val="auto"/>
              </w:rPr>
            </w:pPr>
            <w:r w:rsidRPr="00CF04BD">
              <w:rPr>
                <w:color w:val="auto"/>
              </w:rPr>
              <w:t>a)    in hair cosmetics</w:t>
            </w:r>
            <w:r w:rsidR="00CF04BD">
              <w:rPr>
                <w:color w:val="auto"/>
              </w:rPr>
              <w:t xml:space="preserve"> </w:t>
            </w:r>
            <w:r w:rsidR="00CF04BD">
              <w:rPr>
                <w:color w:val="00B050"/>
              </w:rPr>
              <w:t>(other than LEAD ACETATE)</w:t>
            </w:r>
          </w:p>
        </w:tc>
        <w:tc>
          <w:tcPr>
            <w:tcW w:w="3402" w:type="dxa"/>
          </w:tcPr>
          <w:p w14:paraId="168C7178" w14:textId="198B233B" w:rsidR="00B977FC" w:rsidRPr="00CF04BD" w:rsidRDefault="00B977FC" w:rsidP="00600656">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F04BD">
              <w:rPr>
                <w:rFonts w:asciiTheme="minorHAnsi" w:hAnsiTheme="minorHAnsi"/>
                <w:b/>
                <w:color w:val="auto"/>
                <w:szCs w:val="22"/>
              </w:rPr>
              <w:t>25</w:t>
            </w:r>
            <w:r w:rsidRPr="00CF04BD">
              <w:rPr>
                <w:rFonts w:asciiTheme="minorHAnsi" w:hAnsiTheme="minorHAnsi"/>
                <w:color w:val="auto"/>
                <w:szCs w:val="22"/>
              </w:rPr>
              <w:t xml:space="preserve"> - Do not use on broken skin. Wash hands thoroughly after use.</w:t>
            </w:r>
          </w:p>
        </w:tc>
        <w:tc>
          <w:tcPr>
            <w:tcW w:w="2920" w:type="dxa"/>
          </w:tcPr>
          <w:p w14:paraId="24E9C4D7" w14:textId="77777777" w:rsidR="00B977FC" w:rsidRPr="00CF04BD" w:rsidRDefault="00B977FC" w:rsidP="00600656">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CF04BD">
              <w:rPr>
                <w:rFonts w:asciiTheme="minorHAnsi" w:hAnsiTheme="minorHAnsi" w:hint="eastAsia"/>
                <w:color w:val="auto"/>
                <w:szCs w:val="22"/>
              </w:rPr>
              <w:t> </w:t>
            </w:r>
          </w:p>
        </w:tc>
      </w:tr>
      <w:tr w:rsidR="00B977FC" w:rsidRPr="00C57F1C" w14:paraId="2CD7BD98" w14:textId="77777777" w:rsidTr="007F6AC0">
        <w:tc>
          <w:tcPr>
            <w:cnfStyle w:val="001000000000" w:firstRow="0" w:lastRow="0" w:firstColumn="1" w:lastColumn="0" w:oddVBand="0" w:evenVBand="0" w:oddHBand="0" w:evenHBand="0" w:firstRowFirstColumn="0" w:firstRowLastColumn="0" w:lastRowFirstColumn="0" w:lastRowLastColumn="0"/>
            <w:tcW w:w="2400" w:type="dxa"/>
          </w:tcPr>
          <w:p w14:paraId="72CEE636" w14:textId="7C225E4F" w:rsidR="00B977FC" w:rsidRPr="00CF04BD" w:rsidRDefault="00B977FC" w:rsidP="007F6AC0">
            <w:pPr>
              <w:pStyle w:val="ListBulleta"/>
              <w:numPr>
                <w:ilvl w:val="0"/>
                <w:numId w:val="0"/>
              </w:numPr>
              <w:ind w:left="1146" w:hanging="360"/>
              <w:rPr>
                <w:color w:val="auto"/>
              </w:rPr>
            </w:pPr>
            <w:r w:rsidRPr="00CF04BD">
              <w:rPr>
                <w:color w:val="auto"/>
              </w:rPr>
              <w:t>b)   when in Schedule 6.</w:t>
            </w:r>
          </w:p>
        </w:tc>
        <w:tc>
          <w:tcPr>
            <w:tcW w:w="3402" w:type="dxa"/>
          </w:tcPr>
          <w:p w14:paraId="06629FAE" w14:textId="77777777" w:rsidR="00B977FC" w:rsidRPr="00CF04BD" w:rsidRDefault="00B977FC" w:rsidP="00600656">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F04BD">
              <w:rPr>
                <w:rFonts w:asciiTheme="minorHAnsi" w:hAnsiTheme="minorHAnsi" w:hint="eastAsia"/>
                <w:color w:val="auto"/>
                <w:szCs w:val="22"/>
              </w:rPr>
              <w:t> </w:t>
            </w:r>
          </w:p>
        </w:tc>
        <w:tc>
          <w:tcPr>
            <w:tcW w:w="2920" w:type="dxa"/>
          </w:tcPr>
          <w:p w14:paraId="109485A5" w14:textId="77777777" w:rsidR="00B977FC" w:rsidRPr="00CF04BD" w:rsidRDefault="00B977FC" w:rsidP="00600656">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F04BD">
              <w:rPr>
                <w:rFonts w:asciiTheme="minorHAnsi" w:hAnsiTheme="minorHAnsi"/>
                <w:b/>
                <w:color w:val="auto"/>
                <w:szCs w:val="22"/>
              </w:rPr>
              <w:t xml:space="preserve">1 </w:t>
            </w:r>
            <w:r w:rsidRPr="00CF04BD">
              <w:rPr>
                <w:rFonts w:asciiTheme="minorHAnsi" w:hAnsiTheme="minorHAnsi"/>
                <w:color w:val="auto"/>
                <w:szCs w:val="22"/>
              </w:rPr>
              <w:t>- Avoid contact with eyes.</w:t>
            </w:r>
            <w:r w:rsidRPr="00CF04BD">
              <w:rPr>
                <w:rFonts w:asciiTheme="minorHAnsi" w:hAnsiTheme="minorHAnsi"/>
                <w:b/>
                <w:color w:val="auto"/>
                <w:szCs w:val="22"/>
              </w:rPr>
              <w:br/>
              <w:t xml:space="preserve">4 </w:t>
            </w:r>
            <w:r w:rsidRPr="00CF04BD">
              <w:rPr>
                <w:rFonts w:asciiTheme="minorHAnsi" w:hAnsiTheme="minorHAnsi"/>
                <w:color w:val="auto"/>
                <w:szCs w:val="22"/>
              </w:rPr>
              <w:t>- Avoid contact with skin.</w:t>
            </w:r>
            <w:r w:rsidRPr="00CF04BD">
              <w:rPr>
                <w:rFonts w:asciiTheme="minorHAnsi" w:hAnsiTheme="minorHAnsi"/>
                <w:b/>
                <w:color w:val="auto"/>
                <w:szCs w:val="22"/>
              </w:rPr>
              <w:br/>
              <w:t xml:space="preserve">8 </w:t>
            </w:r>
            <w:r w:rsidRPr="00CF04BD">
              <w:rPr>
                <w:rFonts w:asciiTheme="minorHAnsi" w:hAnsiTheme="minorHAnsi"/>
                <w:color w:val="auto"/>
                <w:szCs w:val="22"/>
              </w:rPr>
              <w:t>- Avoid breathing dust (or) vapour (or) spray mist.</w:t>
            </w:r>
          </w:p>
        </w:tc>
      </w:tr>
    </w:tbl>
    <w:p w14:paraId="4B8D8B03" w14:textId="3B08A385" w:rsidR="00BF6F04" w:rsidRDefault="00BF6F04" w:rsidP="00BF6F04">
      <w:pPr>
        <w:ind w:left="426"/>
        <w:rPr>
          <w:b/>
        </w:rPr>
      </w:pPr>
      <w:r w:rsidRPr="008C2594">
        <w:rPr>
          <w:b/>
        </w:rPr>
        <w:t xml:space="preserve">Index – </w:t>
      </w:r>
      <w:r w:rsidR="00895282">
        <w:rPr>
          <w:b/>
        </w:rPr>
        <w:t>New</w:t>
      </w:r>
      <w:r w:rsidR="00895282" w:rsidRPr="008C2594">
        <w:rPr>
          <w:b/>
        </w:rPr>
        <w:t xml:space="preserve"> </w:t>
      </w:r>
      <w:r w:rsidRPr="008C2594">
        <w:rPr>
          <w:b/>
        </w:rPr>
        <w:t>Entry</w:t>
      </w:r>
    </w:p>
    <w:p w14:paraId="4D47C173" w14:textId="70D46396" w:rsidR="00895282" w:rsidRPr="00895282" w:rsidRDefault="00895282" w:rsidP="00BF6F04">
      <w:pPr>
        <w:ind w:left="426"/>
        <w:rPr>
          <w:b/>
          <w:color w:val="00B050"/>
        </w:rPr>
      </w:pPr>
      <w:r w:rsidRPr="00895282">
        <w:rPr>
          <w:b/>
          <w:color w:val="00B050"/>
        </w:rPr>
        <w:t>LEAD ACETATES</w:t>
      </w:r>
    </w:p>
    <w:p w14:paraId="1EFD670F" w14:textId="0A7CBDAD" w:rsidR="00895282" w:rsidRPr="00895282" w:rsidRDefault="00895282" w:rsidP="00BF6F04">
      <w:pPr>
        <w:ind w:left="426"/>
      </w:pPr>
      <w:r w:rsidRPr="00895282">
        <w:rPr>
          <w:color w:val="00B050"/>
        </w:rPr>
        <w:t>Schedule 10</w:t>
      </w:r>
    </w:p>
    <w:p w14:paraId="101ACA6F" w14:textId="02FFA33E" w:rsidR="00BF6F04" w:rsidRPr="00EA1706" w:rsidRDefault="00BF6F04" w:rsidP="00BF6F04">
      <w:pPr>
        <w:ind w:left="426"/>
        <w:rPr>
          <w:rFonts w:asciiTheme="minorHAnsi" w:hAnsiTheme="minorHAnsi" w:cstheme="minorHAnsi"/>
          <w:b/>
        </w:rPr>
      </w:pPr>
      <w:r w:rsidRPr="00EA1706">
        <w:rPr>
          <w:rFonts w:asciiTheme="minorHAnsi" w:hAnsiTheme="minorHAnsi" w:cstheme="minorHAnsi"/>
          <w:b/>
        </w:rPr>
        <w:t>LEAD COMPOUNDS</w:t>
      </w:r>
      <w:r>
        <w:rPr>
          <w:rFonts w:asciiTheme="minorHAnsi" w:hAnsiTheme="minorHAnsi" w:cstheme="minorHAnsi"/>
          <w:b/>
        </w:rPr>
        <w:br/>
      </w:r>
      <w:r w:rsidRPr="00251574">
        <w:rPr>
          <w:rFonts w:asciiTheme="minorHAnsi" w:hAnsiTheme="minorHAnsi" w:cstheme="minorHAnsi"/>
        </w:rPr>
        <w:t>cross reference: GLAZING PREPARATIONS, PRINTING INKS or INK ADDITIVES, SELENIUM</w:t>
      </w:r>
      <w:r w:rsidR="00895282">
        <w:rPr>
          <w:rFonts w:asciiTheme="minorHAnsi" w:hAnsiTheme="minorHAnsi" w:cstheme="minorHAnsi"/>
        </w:rPr>
        <w:t xml:space="preserve">, </w:t>
      </w:r>
      <w:r w:rsidR="00895282" w:rsidRPr="00895282">
        <w:rPr>
          <w:rFonts w:asciiTheme="minorHAnsi" w:hAnsiTheme="minorHAnsi" w:cstheme="minorHAnsi"/>
          <w:color w:val="00B050"/>
        </w:rPr>
        <w:t>LEAD ACETATES</w:t>
      </w:r>
    </w:p>
    <w:p w14:paraId="2508D122" w14:textId="18D1F83E" w:rsidR="00625AB7" w:rsidRDefault="00BF6F04" w:rsidP="00625AB7">
      <w:pPr>
        <w:ind w:left="426"/>
      </w:pPr>
      <w:r w:rsidRPr="007F6AC0">
        <w:t>Schedule 10</w:t>
      </w:r>
      <w:r>
        <w:br/>
        <w:t>Schedule 6</w:t>
      </w:r>
      <w:r>
        <w:br/>
      </w:r>
      <w:r w:rsidRPr="00895282">
        <w:t>Schedule 5</w:t>
      </w:r>
      <w:r w:rsidRPr="00063495">
        <w:rPr>
          <w:color w:val="00B050"/>
        </w:rPr>
        <w:br/>
      </w:r>
      <w:r>
        <w:t>Appendix E, Part 2</w:t>
      </w:r>
      <w:r>
        <w:br/>
        <w:t>Appendix F, Part 3</w:t>
      </w:r>
    </w:p>
    <w:p w14:paraId="2FA9A649" w14:textId="29044CF3" w:rsidR="006F5FD7" w:rsidRDefault="006F5FD7" w:rsidP="006F5FD7">
      <w:pPr>
        <w:pStyle w:val="Heading4"/>
      </w:pPr>
      <w:bookmarkStart w:id="48" w:name="_Toc71182237"/>
      <w:r>
        <w:t>Key uses / expected use</w:t>
      </w:r>
      <w:bookmarkEnd w:id="48"/>
    </w:p>
    <w:p w14:paraId="1A5D05DB" w14:textId="56C5E340" w:rsidR="006F5FD7" w:rsidRDefault="006F5FD7" w:rsidP="006F5FD7">
      <w:r>
        <w:t>Medicines, cosmetics, i</w:t>
      </w:r>
      <w:r w:rsidR="00D81BD6">
        <w:t>ndustrial use.</w:t>
      </w:r>
    </w:p>
    <w:p w14:paraId="6A317852" w14:textId="1F08CA7B" w:rsidR="00EE3C3B" w:rsidRDefault="00EE3C3B" w:rsidP="00EE3C3B">
      <w:pPr>
        <w:pStyle w:val="Heading4"/>
      </w:pPr>
      <w:bookmarkStart w:id="49" w:name="_Toc71182238"/>
      <w:r>
        <w:t>Summary of reasons for proposal</w:t>
      </w:r>
      <w:bookmarkEnd w:id="49"/>
    </w:p>
    <w:p w14:paraId="569C6E1D" w14:textId="4C9C6046" w:rsidR="006F5FD7" w:rsidRDefault="006F5FD7" w:rsidP="006F5FD7">
      <w:pPr>
        <w:pStyle w:val="ListBullet"/>
        <w:numPr>
          <w:ilvl w:val="0"/>
          <w:numId w:val="36"/>
        </w:numPr>
      </w:pPr>
      <w:r>
        <w:t>Lead acetate has reported cosmetic use</w:t>
      </w:r>
      <w:r w:rsidR="00F13518">
        <w:t>s, including</w:t>
      </w:r>
      <w:r>
        <w:t xml:space="preserve"> as a component of hair treatments in Australia</w:t>
      </w:r>
      <w:r w:rsidR="00EE3C3B">
        <w:t>.</w:t>
      </w:r>
      <w:r>
        <w:t xml:space="preserve"> </w:t>
      </w:r>
    </w:p>
    <w:p w14:paraId="19861B60" w14:textId="4BCF0FC5" w:rsidR="00E22A6B" w:rsidRDefault="0064094B" w:rsidP="00E22A6B">
      <w:pPr>
        <w:pStyle w:val="ListBullet"/>
        <w:numPr>
          <w:ilvl w:val="0"/>
          <w:numId w:val="36"/>
        </w:numPr>
      </w:pPr>
      <w:r>
        <w:t xml:space="preserve">The use of lead </w:t>
      </w:r>
      <w:r w:rsidR="00C0113E">
        <w:t xml:space="preserve">acetate </w:t>
      </w:r>
      <w:r>
        <w:t>pose</w:t>
      </w:r>
      <w:r w:rsidR="00C0113E">
        <w:t>s</w:t>
      </w:r>
      <w:r>
        <w:t xml:space="preserve"> a significant health risk, particularly to users of progressive hair dyes, their pregnant partners and children.  </w:t>
      </w:r>
    </w:p>
    <w:p w14:paraId="033D56EE" w14:textId="7A5422D3" w:rsidR="00E22A6B" w:rsidRPr="008C2594" w:rsidRDefault="00E22A6B" w:rsidP="00E22A6B">
      <w:pPr>
        <w:pStyle w:val="ListBullet"/>
        <w:numPr>
          <w:ilvl w:val="0"/>
          <w:numId w:val="36"/>
        </w:numPr>
      </w:pPr>
      <w:r>
        <w:t>E</w:t>
      </w:r>
      <w:r w:rsidRPr="008C2594">
        <w:t xml:space="preserve">xposure </w:t>
      </w:r>
      <w:r>
        <w:t>to</w:t>
      </w:r>
      <w:r w:rsidRPr="008C2594">
        <w:t xml:space="preserve"> residues o</w:t>
      </w:r>
      <w:r>
        <w:t>n hands or contaminated objects</w:t>
      </w:r>
      <w:r w:rsidRPr="008C2594">
        <w:t xml:space="preserve"> </w:t>
      </w:r>
      <w:r>
        <w:t>(</w:t>
      </w:r>
      <w:r w:rsidRPr="008C2594">
        <w:t>e.g. bathroom tiles</w:t>
      </w:r>
      <w:r>
        <w:t>) may occur in addition to direct exposure</w:t>
      </w:r>
      <w:r w:rsidRPr="008C2594">
        <w:t xml:space="preserve"> </w:t>
      </w:r>
      <w:r>
        <w:t>during</w:t>
      </w:r>
      <w:r w:rsidRPr="008C2594">
        <w:t xml:space="preserve"> use.</w:t>
      </w:r>
    </w:p>
    <w:p w14:paraId="4A393377" w14:textId="6597022A" w:rsidR="006F5FD7" w:rsidRDefault="006F5FD7">
      <w:pPr>
        <w:pStyle w:val="ListBullet"/>
        <w:numPr>
          <w:ilvl w:val="0"/>
          <w:numId w:val="36"/>
        </w:numPr>
      </w:pPr>
      <w:r>
        <w:lastRenderedPageBreak/>
        <w:t>Lead is a cumulative toxicant, affecting multiple body systems</w:t>
      </w:r>
      <w:r w:rsidR="0064094B">
        <w:t>,</w:t>
      </w:r>
      <w:r>
        <w:t xml:space="preserve"> and can be harmful to people of all ages.</w:t>
      </w:r>
      <w:r w:rsidR="0064094B">
        <w:t xml:space="preserve"> There is no evidence for a safe blood lead level.</w:t>
      </w:r>
    </w:p>
    <w:p w14:paraId="2014637D" w14:textId="64E1F2B6" w:rsidR="006F5FD7" w:rsidRPr="008C2594" w:rsidRDefault="00E22A6B" w:rsidP="006F5FD7">
      <w:pPr>
        <w:pStyle w:val="ListBullet"/>
        <w:numPr>
          <w:ilvl w:val="0"/>
          <w:numId w:val="36"/>
        </w:numPr>
      </w:pPr>
      <w:r>
        <w:t xml:space="preserve">A </w:t>
      </w:r>
      <w:hyperlink r:id="rId63" w:history="1">
        <w:r>
          <w:rPr>
            <w:rStyle w:val="Hyperlink"/>
            <w:rFonts w:asciiTheme="minorHAnsi" w:hAnsiTheme="minorHAnsi" w:cs="Calibri"/>
            <w:szCs w:val="22"/>
          </w:rPr>
          <w:t>2015 N</w:t>
        </w:r>
        <w:r w:rsidR="006F5FD7" w:rsidRPr="008C2594">
          <w:rPr>
            <w:rStyle w:val="Hyperlink"/>
            <w:rFonts w:asciiTheme="minorHAnsi" w:hAnsiTheme="minorHAnsi" w:cs="Calibri"/>
            <w:szCs w:val="22"/>
          </w:rPr>
          <w:t>HMRC Statement</w:t>
        </w:r>
      </w:hyperlink>
      <w:r w:rsidR="006F5FD7" w:rsidRPr="008C2594">
        <w:rPr>
          <w:szCs w:val="22"/>
        </w:rPr>
        <w:t xml:space="preserve"> </w:t>
      </w:r>
      <w:r w:rsidR="006F5FD7" w:rsidRPr="008C2594">
        <w:t xml:space="preserve">recommends that ‘If a person has a blood lead level greater than </w:t>
      </w:r>
      <w:r w:rsidR="006A1230">
        <w:t>5 </w:t>
      </w:r>
      <w:r w:rsidR="006F5FD7" w:rsidRPr="008C2594">
        <w:t>micrograms per decilitre, their exposure to lead should be investigated and reduced’.</w:t>
      </w:r>
      <w:r w:rsidR="0064094B">
        <w:t xml:space="preserve"> </w:t>
      </w:r>
    </w:p>
    <w:p w14:paraId="4BC13799" w14:textId="7BB5C135" w:rsidR="00E22A6B" w:rsidRDefault="00DA6BD7" w:rsidP="006F5FD7">
      <w:pPr>
        <w:pStyle w:val="ListBullet"/>
        <w:numPr>
          <w:ilvl w:val="0"/>
          <w:numId w:val="36"/>
        </w:numPr>
      </w:pPr>
      <w:r>
        <w:t xml:space="preserve">Assessment by the Australian Industrial Chemicals Introduction Scheme (AICIS) has </w:t>
      </w:r>
      <w:r w:rsidR="00EE3C3B">
        <w:t>estimated that l</w:t>
      </w:r>
      <w:r w:rsidR="00E22A6B">
        <w:t>ead acetate hair dye use can lead to increased blood lead levels in children, through incidental exposure, of 3.49</w:t>
      </w:r>
      <w:r w:rsidR="006A1230">
        <w:noBreakHyphen/>
      </w:r>
      <w:r w:rsidR="00E22A6B">
        <w:t xml:space="preserve">10.13 </w:t>
      </w:r>
      <w:r w:rsidR="00E22A6B" w:rsidRPr="008C2594">
        <w:t>micrograms per decilitre</w:t>
      </w:r>
      <w:r w:rsidR="00E22A6B">
        <w:t>. Most of this range sits above the safe limit recommended by the NHMRC.</w:t>
      </w:r>
      <w:r w:rsidR="00EE3C3B">
        <w:rPr>
          <w:rStyle w:val="FootnoteReference"/>
        </w:rPr>
        <w:footnoteReference w:id="9"/>
      </w:r>
    </w:p>
    <w:p w14:paraId="092615E7" w14:textId="616DBC57" w:rsidR="006F5FD7" w:rsidRPr="008F112E" w:rsidRDefault="00347BEC" w:rsidP="006F5FD7">
      <w:pPr>
        <w:pStyle w:val="ListBullet"/>
        <w:numPr>
          <w:ilvl w:val="0"/>
          <w:numId w:val="36"/>
        </w:numPr>
        <w:spacing w:before="180"/>
        <w:ind w:left="425" w:hanging="425"/>
      </w:pPr>
      <w:r>
        <w:t>Due to its harms and cumulative toxicity, there are several international restrictions on lead acetates</w:t>
      </w:r>
      <w:r w:rsidR="006F5FD7">
        <w:t>:</w:t>
      </w:r>
    </w:p>
    <w:p w14:paraId="152302E2" w14:textId="0D59EE99" w:rsidR="006F5FD7" w:rsidRPr="00251574" w:rsidRDefault="006F5FD7" w:rsidP="006F5FD7">
      <w:pPr>
        <w:pStyle w:val="ListBullet2"/>
        <w:numPr>
          <w:ilvl w:val="1"/>
          <w:numId w:val="36"/>
        </w:numPr>
        <w:ind w:left="850" w:hanging="425"/>
        <w:rPr>
          <w:b/>
          <w:bCs/>
        </w:rPr>
      </w:pPr>
      <w:r>
        <w:t xml:space="preserve">Cosmetic use of lead acetate has been banned worldwide, including European Union (EU), United States of America (USA), Canada, New Zealand and Association of Southeast Asian Nations (ASEAN) on a number of grounds such as ‘carcinogenic, mutagenic, reprotoxic’ (CMR) hazard classification or cumulative burdens of lead. </w:t>
      </w:r>
      <w:r w:rsidRPr="008F112E">
        <w:t xml:space="preserve"> </w:t>
      </w:r>
    </w:p>
    <w:p w14:paraId="4E23102A" w14:textId="2CD5C7AF" w:rsidR="00FC23BC" w:rsidRDefault="00FC23BC" w:rsidP="00251574">
      <w:pPr>
        <w:pStyle w:val="ListBullet2"/>
      </w:pPr>
      <w:r>
        <w:t xml:space="preserve">The US FDA reviewed all relevant clinical and nonclinical studies on dermal absorption of lead and lead compounds and </w:t>
      </w:r>
      <w:hyperlink r:id="rId64" w:anchor=":~:text=The%20U.S.%20Food%20and%20Drug,longer%20a%20reasonable%20certainty%20of" w:history="1">
        <w:r w:rsidRPr="00D50E44">
          <w:rPr>
            <w:rStyle w:val="Hyperlink"/>
          </w:rPr>
          <w:t>issued a final notice to terminate the listing of lead acetate</w:t>
        </w:r>
      </w:hyperlink>
      <w:r>
        <w:t xml:space="preserve"> as a colour additive exempt in cosmetics intended to colour hair on the scalp, effective 1 April 2019. </w:t>
      </w:r>
    </w:p>
    <w:p w14:paraId="2642D42D" w14:textId="18A741EB" w:rsidR="00347BEC" w:rsidRDefault="00347BEC" w:rsidP="00347BEC">
      <w:pPr>
        <w:pStyle w:val="ListBullet"/>
        <w:rPr>
          <w:rFonts w:ascii="Calibri" w:hAnsi="Calibri"/>
        </w:rPr>
      </w:pPr>
      <w:r w:rsidRPr="008C2594">
        <w:t xml:space="preserve">Lead exposure is </w:t>
      </w:r>
      <w:r>
        <w:t>preventable, and is already restricted internationally. The proposed scheduling amendment is</w:t>
      </w:r>
      <w:r w:rsidRPr="008C2594">
        <w:t xml:space="preserve"> intended to address this issue</w:t>
      </w:r>
      <w:r>
        <w:t xml:space="preserve"> in Australia</w:t>
      </w:r>
      <w:r w:rsidRPr="008C2594">
        <w:t>.</w:t>
      </w:r>
    </w:p>
    <w:p w14:paraId="7B3241E9" w14:textId="770098EF" w:rsidR="006F5FD7" w:rsidRDefault="006F5FD7" w:rsidP="006F5FD7">
      <w:pPr>
        <w:pStyle w:val="Heading4"/>
      </w:pPr>
      <w:bookmarkStart w:id="50" w:name="_Toc71182239"/>
      <w:r>
        <w:t>Australian regulations</w:t>
      </w:r>
      <w:bookmarkEnd w:id="50"/>
    </w:p>
    <w:p w14:paraId="4696F34C" w14:textId="77777777" w:rsidR="00B10D49" w:rsidRPr="0007575F" w:rsidRDefault="00B10D49" w:rsidP="00B10D49">
      <w:pPr>
        <w:spacing w:after="120"/>
        <w:rPr>
          <w:rFonts w:eastAsia="Times New Roman"/>
          <w:bCs/>
          <w:color w:val="001523"/>
          <w:szCs w:val="22"/>
        </w:rPr>
      </w:pPr>
      <w:r w:rsidRPr="00FB102A">
        <w:rPr>
          <w:rFonts w:eastAsia="Times New Roman"/>
          <w:bCs/>
          <w:color w:val="001523"/>
          <w:szCs w:val="22"/>
        </w:rPr>
        <w:t>As of April 2021:</w:t>
      </w:r>
    </w:p>
    <w:p w14:paraId="28007817" w14:textId="1BC9E190" w:rsidR="00B10D49" w:rsidRDefault="007B2865" w:rsidP="00B10D49">
      <w:pPr>
        <w:pStyle w:val="ListBullet"/>
        <w:numPr>
          <w:ilvl w:val="0"/>
          <w:numId w:val="1"/>
        </w:numPr>
      </w:pPr>
      <w:r>
        <w:t>l</w:t>
      </w:r>
      <w:r w:rsidR="00B10D49">
        <w:t xml:space="preserve">ead is available for the following uses according to the </w:t>
      </w:r>
      <w:hyperlink r:id="rId65" w:history="1">
        <w:r w:rsidR="00B10D49" w:rsidRPr="00C66C5E">
          <w:rPr>
            <w:rStyle w:val="Hyperlink"/>
          </w:rPr>
          <w:t xml:space="preserve">TGA </w:t>
        </w:r>
        <w:r w:rsidR="00B10D49">
          <w:rPr>
            <w:rStyle w:val="Hyperlink"/>
          </w:rPr>
          <w:t xml:space="preserve">Ingredient </w:t>
        </w:r>
        <w:r w:rsidR="00B10D49" w:rsidRPr="00C66C5E">
          <w:rPr>
            <w:rStyle w:val="Hyperlink"/>
          </w:rPr>
          <w:t>Database</w:t>
        </w:r>
      </w:hyperlink>
      <w:r w:rsidR="00B10D49">
        <w:t>:</w:t>
      </w:r>
    </w:p>
    <w:p w14:paraId="680ECC41" w14:textId="6A542851" w:rsidR="006F5FD7" w:rsidRDefault="007B2865" w:rsidP="006F5FD7">
      <w:pPr>
        <w:pStyle w:val="ListBullet2"/>
        <w:numPr>
          <w:ilvl w:val="1"/>
          <w:numId w:val="36"/>
        </w:numPr>
        <w:ind w:left="850" w:hanging="425"/>
      </w:pPr>
      <w:r>
        <w:t>a</w:t>
      </w:r>
      <w:r w:rsidR="006F5FD7">
        <w:t xml:space="preserve">vailable for use as an </w:t>
      </w:r>
      <w:r>
        <w:t>a</w:t>
      </w:r>
      <w:r w:rsidR="006F5FD7">
        <w:t xml:space="preserve">ctive </w:t>
      </w:r>
      <w:r>
        <w:t>i</w:t>
      </w:r>
      <w:r w:rsidR="006F5FD7">
        <w:t xml:space="preserve">ngredient in </w:t>
      </w:r>
      <w:r>
        <w:t>b</w:t>
      </w:r>
      <w:r w:rsidR="006F5FD7">
        <w:t xml:space="preserve">iologicals, </w:t>
      </w:r>
      <w:r>
        <w:t>e</w:t>
      </w:r>
      <w:r w:rsidR="006F5FD7">
        <w:t xml:space="preserve">xport </w:t>
      </w:r>
      <w:r>
        <w:t>o</w:t>
      </w:r>
      <w:r w:rsidR="006F5FD7">
        <w:t xml:space="preserve">nly, </w:t>
      </w:r>
      <w:r>
        <w:t>l</w:t>
      </w:r>
      <w:r w:rsidR="006F5FD7">
        <w:t xml:space="preserve">isted </w:t>
      </w:r>
      <w:r>
        <w:t>m</w:t>
      </w:r>
      <w:r w:rsidR="006F5FD7">
        <w:t xml:space="preserve">edicines, </w:t>
      </w:r>
      <w:r>
        <w:t>o</w:t>
      </w:r>
      <w:r w:rsidR="006F5FD7">
        <w:t xml:space="preserve">ver the </w:t>
      </w:r>
      <w:r>
        <w:t>c</w:t>
      </w:r>
      <w:r w:rsidR="006F5FD7">
        <w:t xml:space="preserve">ounter and </w:t>
      </w:r>
      <w:r>
        <w:t>p</w:t>
      </w:r>
      <w:r w:rsidR="006F5FD7">
        <w:t xml:space="preserve">rescription </w:t>
      </w:r>
      <w:r>
        <w:t>m</w:t>
      </w:r>
      <w:r w:rsidR="006F5FD7">
        <w:t>edicines.</w:t>
      </w:r>
    </w:p>
    <w:p w14:paraId="1ABECB35" w14:textId="7212792F" w:rsidR="006F5FD7" w:rsidRDefault="007B2865" w:rsidP="006F5FD7">
      <w:pPr>
        <w:pStyle w:val="ListBullet2"/>
        <w:numPr>
          <w:ilvl w:val="1"/>
          <w:numId w:val="36"/>
        </w:numPr>
        <w:ind w:left="850" w:hanging="425"/>
      </w:pPr>
      <w:r>
        <w:t>a</w:t>
      </w:r>
      <w:r w:rsidR="006F5FD7">
        <w:t xml:space="preserve">vailable for use in </w:t>
      </w:r>
      <w:r>
        <w:t>l</w:t>
      </w:r>
      <w:r w:rsidR="006F5FD7">
        <w:t xml:space="preserve">isted </w:t>
      </w:r>
      <w:r>
        <w:t>m</w:t>
      </w:r>
      <w:r w:rsidR="006F5FD7">
        <w:t xml:space="preserve">edicines as a </w:t>
      </w:r>
      <w:r>
        <w:t>h</w:t>
      </w:r>
      <w:r w:rsidR="006F5FD7">
        <w:t xml:space="preserve">omoeopathic </w:t>
      </w:r>
      <w:r>
        <w:t>i</w:t>
      </w:r>
      <w:r w:rsidR="006F5FD7">
        <w:t>ngredient only.</w:t>
      </w:r>
    </w:p>
    <w:p w14:paraId="248671D1" w14:textId="7E7DFD24" w:rsidR="006F5FD7" w:rsidRDefault="007B2865" w:rsidP="006F5FD7">
      <w:pPr>
        <w:pStyle w:val="ListBullet2"/>
        <w:numPr>
          <w:ilvl w:val="1"/>
          <w:numId w:val="36"/>
        </w:numPr>
        <w:ind w:left="850" w:hanging="425"/>
      </w:pPr>
      <w:r>
        <w:t>a</w:t>
      </w:r>
      <w:r w:rsidR="006F5FD7">
        <w:t xml:space="preserve">vailable for use as an </w:t>
      </w:r>
      <w:r>
        <w:t>e</w:t>
      </w:r>
      <w:r w:rsidR="006F5FD7">
        <w:t xml:space="preserve">xcipient </w:t>
      </w:r>
      <w:r>
        <w:t>i</w:t>
      </w:r>
      <w:r w:rsidR="006F5FD7">
        <w:t xml:space="preserve">ngredient in </w:t>
      </w:r>
      <w:r>
        <w:t>b</w:t>
      </w:r>
      <w:r w:rsidR="006F5FD7">
        <w:t xml:space="preserve">iologicals, </w:t>
      </w:r>
      <w:r>
        <w:t>d</w:t>
      </w:r>
      <w:r w:rsidR="006F5FD7">
        <w:t xml:space="preserve">evices and </w:t>
      </w:r>
      <w:r>
        <w:t>p</w:t>
      </w:r>
      <w:r w:rsidR="006F5FD7">
        <w:t xml:space="preserve">rescription </w:t>
      </w:r>
      <w:r>
        <w:t>m</w:t>
      </w:r>
      <w:r w:rsidR="006F5FD7">
        <w:t>edicines.</w:t>
      </w:r>
    </w:p>
    <w:p w14:paraId="54C9364B" w14:textId="75501A38" w:rsidR="006F5FD7" w:rsidRPr="00454BCC" w:rsidRDefault="006A1230" w:rsidP="006F5FD7">
      <w:pPr>
        <w:pStyle w:val="ListBullet2"/>
        <w:numPr>
          <w:ilvl w:val="1"/>
          <w:numId w:val="36"/>
        </w:numPr>
        <w:ind w:left="850" w:hanging="425"/>
        <w:rPr>
          <w:i/>
          <w:color w:val="002C47" w:themeColor="text2"/>
          <w:sz w:val="20"/>
        </w:rPr>
      </w:pPr>
      <w:r>
        <w:t>A</w:t>
      </w:r>
      <w:r w:rsidR="006F5FD7">
        <w:t>vailable</w:t>
      </w:r>
      <w:r>
        <w:t xml:space="preserve"> for use</w:t>
      </w:r>
      <w:r w:rsidR="006F5FD7">
        <w:t xml:space="preserve"> as an </w:t>
      </w:r>
      <w:r w:rsidR="007B2865">
        <w:t>e</w:t>
      </w:r>
      <w:r w:rsidR="006F5FD7">
        <w:t xml:space="preserve">quivalent </w:t>
      </w:r>
      <w:r w:rsidR="007B2865">
        <w:t>i</w:t>
      </w:r>
      <w:r w:rsidR="006F5FD7">
        <w:t>ngredient in any application.</w:t>
      </w:r>
    </w:p>
    <w:p w14:paraId="4634AD25" w14:textId="49FBE49C" w:rsidR="006F5FD7" w:rsidRPr="00454BCC" w:rsidRDefault="006F5FD7" w:rsidP="006F5FD7">
      <w:pPr>
        <w:pStyle w:val="ListBullet"/>
        <w:numPr>
          <w:ilvl w:val="0"/>
          <w:numId w:val="36"/>
        </w:numPr>
      </w:pPr>
      <w:r>
        <w:t>t</w:t>
      </w:r>
      <w:r w:rsidRPr="00881DFE">
        <w:t xml:space="preserve">here </w:t>
      </w:r>
      <w:r>
        <w:t>were</w:t>
      </w:r>
      <w:r w:rsidRPr="00881DFE">
        <w:t xml:space="preserve"> </w:t>
      </w:r>
      <w:r>
        <w:t>no medicine</w:t>
      </w:r>
      <w:r w:rsidRPr="00881DFE">
        <w:t xml:space="preserve">s currently active on the </w:t>
      </w:r>
      <w:hyperlink r:id="rId66" w:history="1">
        <w:r w:rsidRPr="00293CCA">
          <w:rPr>
            <w:rStyle w:val="Hyperlink"/>
          </w:rPr>
          <w:t>Australian Register of Therapeutic Goods (ARTG)</w:t>
        </w:r>
      </w:hyperlink>
      <w:r>
        <w:t xml:space="preserve"> that contain</w:t>
      </w:r>
      <w:r w:rsidRPr="00881DFE">
        <w:t xml:space="preserve"> </w:t>
      </w:r>
      <w:r>
        <w:t>lead as an active ingredient</w:t>
      </w:r>
      <w:r w:rsidRPr="00881DFE">
        <w:t>.</w:t>
      </w:r>
    </w:p>
    <w:p w14:paraId="6DE32C5F" w14:textId="0A691A65" w:rsidR="006F5FD7" w:rsidRDefault="007B2865" w:rsidP="006F5FD7">
      <w:pPr>
        <w:pStyle w:val="ListBullet"/>
        <w:keepNext/>
        <w:keepLines/>
        <w:numPr>
          <w:ilvl w:val="0"/>
          <w:numId w:val="36"/>
        </w:numPr>
      </w:pPr>
      <w:r>
        <w:lastRenderedPageBreak/>
        <w:t>a</w:t>
      </w:r>
      <w:r w:rsidR="006F5FD7">
        <w:t xml:space="preserve">ccording to the </w:t>
      </w:r>
      <w:hyperlink r:id="rId67" w:history="1">
        <w:r w:rsidR="006F5FD7" w:rsidRPr="00824CAC">
          <w:rPr>
            <w:rStyle w:val="Hyperlink"/>
          </w:rPr>
          <w:t>Therapeutic Goods (Permissible Ingredients) Determination</w:t>
        </w:r>
      </w:hyperlink>
      <w:r w:rsidR="006F5FD7">
        <w:rPr>
          <w:rStyle w:val="FootnoteReference"/>
        </w:rPr>
        <w:footnoteReference w:id="10"/>
      </w:r>
      <w:r w:rsidR="006F5FD7" w:rsidRPr="009C55D5">
        <w:t xml:space="preserve"> No.</w:t>
      </w:r>
      <w:r w:rsidR="006F5FD7" w:rsidRPr="00454BCC">
        <w:t>1 of 2021</w:t>
      </w:r>
      <w:r w:rsidR="006F5FD7">
        <w:t>,</w:t>
      </w:r>
      <w:r w:rsidR="006F5FD7" w:rsidRPr="009C55D5">
        <w:t xml:space="preserve"> </w:t>
      </w:r>
      <w:r w:rsidR="006F5FD7">
        <w:t>lead is permitted to be included in listed medicines as follows:</w:t>
      </w:r>
    </w:p>
    <w:tbl>
      <w:tblPr>
        <w:tblStyle w:val="TableTGAblue"/>
        <w:tblW w:w="9060" w:type="dxa"/>
        <w:tblLook w:val="04A0" w:firstRow="1" w:lastRow="0" w:firstColumn="1" w:lastColumn="0" w:noHBand="0" w:noVBand="1"/>
      </w:tblPr>
      <w:tblGrid>
        <w:gridCol w:w="686"/>
        <w:gridCol w:w="1828"/>
        <w:gridCol w:w="1059"/>
        <w:gridCol w:w="5487"/>
      </w:tblGrid>
      <w:tr w:rsidR="00F13518" w:rsidRPr="00F13518" w14:paraId="28458F33" w14:textId="77777777" w:rsidTr="006A1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14:paraId="5BA17EA5" w14:textId="77777777" w:rsidR="00F13518" w:rsidRPr="00F13518" w:rsidRDefault="00F13518" w:rsidP="00F13518">
            <w:pPr>
              <w:spacing w:after="120" w:line="240" w:lineRule="auto"/>
              <w:rPr>
                <w:rFonts w:asciiTheme="minorHAnsi" w:eastAsia="Times New Roman" w:hAnsiTheme="minorHAnsi"/>
                <w:bCs/>
                <w:szCs w:val="22"/>
                <w:lang w:eastAsia="en-AU"/>
              </w:rPr>
            </w:pPr>
            <w:r w:rsidRPr="00F13518">
              <w:rPr>
                <w:rFonts w:asciiTheme="minorHAnsi" w:eastAsia="Times New Roman" w:hAnsiTheme="minorHAnsi"/>
                <w:bCs/>
                <w:szCs w:val="22"/>
                <w:lang w:eastAsia="en-AU"/>
              </w:rPr>
              <w:t>Item</w:t>
            </w:r>
          </w:p>
        </w:tc>
        <w:tc>
          <w:tcPr>
            <w:tcW w:w="0" w:type="auto"/>
            <w:tcBorders>
              <w:top w:val="single" w:sz="4" w:space="0" w:color="auto"/>
              <w:left w:val="single" w:sz="4" w:space="0" w:color="auto"/>
              <w:bottom w:val="single" w:sz="4" w:space="0" w:color="auto"/>
              <w:right w:val="single" w:sz="4" w:space="0" w:color="auto"/>
            </w:tcBorders>
            <w:hideMark/>
          </w:tcPr>
          <w:p w14:paraId="5D846C83" w14:textId="77777777" w:rsidR="00F13518" w:rsidRPr="00F13518" w:rsidRDefault="00F13518" w:rsidP="00F13518">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Cs w:val="22"/>
                <w:lang w:eastAsia="en-AU"/>
              </w:rPr>
            </w:pPr>
            <w:r w:rsidRPr="00F13518">
              <w:rPr>
                <w:rFonts w:asciiTheme="minorHAnsi" w:eastAsia="Times New Roman" w:hAnsiTheme="minorHAnsi"/>
                <w:bCs/>
                <w:szCs w:val="22"/>
                <w:lang w:eastAsia="en-AU"/>
              </w:rPr>
              <w:t>Ingredient name</w:t>
            </w:r>
          </w:p>
        </w:tc>
        <w:tc>
          <w:tcPr>
            <w:tcW w:w="0" w:type="auto"/>
            <w:tcBorders>
              <w:top w:val="single" w:sz="4" w:space="0" w:color="auto"/>
              <w:left w:val="single" w:sz="4" w:space="0" w:color="auto"/>
              <w:bottom w:val="single" w:sz="4" w:space="0" w:color="auto"/>
              <w:right w:val="single" w:sz="4" w:space="0" w:color="auto"/>
            </w:tcBorders>
            <w:hideMark/>
          </w:tcPr>
          <w:p w14:paraId="3C43BEFF" w14:textId="77777777" w:rsidR="00F13518" w:rsidRPr="00F13518" w:rsidRDefault="00F13518" w:rsidP="00F13518">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Cs w:val="22"/>
                <w:lang w:eastAsia="en-AU"/>
              </w:rPr>
            </w:pPr>
            <w:r w:rsidRPr="00F13518">
              <w:rPr>
                <w:rFonts w:asciiTheme="minorHAnsi" w:eastAsia="Times New Roman" w:hAnsiTheme="minorHAnsi"/>
                <w:bCs/>
                <w:szCs w:val="22"/>
                <w:lang w:eastAsia="en-AU"/>
              </w:rPr>
              <w:t>Purpose</w:t>
            </w:r>
          </w:p>
        </w:tc>
        <w:tc>
          <w:tcPr>
            <w:tcW w:w="0" w:type="auto"/>
            <w:tcBorders>
              <w:top w:val="single" w:sz="4" w:space="0" w:color="auto"/>
              <w:left w:val="single" w:sz="4" w:space="0" w:color="auto"/>
              <w:bottom w:val="single" w:sz="4" w:space="0" w:color="auto"/>
              <w:right w:val="single" w:sz="4" w:space="0" w:color="auto"/>
            </w:tcBorders>
            <w:hideMark/>
          </w:tcPr>
          <w:p w14:paraId="0E031B93" w14:textId="77777777" w:rsidR="00F13518" w:rsidRPr="00F13518" w:rsidRDefault="00F13518" w:rsidP="00F13518">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Cs w:val="22"/>
                <w:lang w:eastAsia="en-AU"/>
              </w:rPr>
            </w:pPr>
            <w:r w:rsidRPr="00F13518">
              <w:rPr>
                <w:rFonts w:asciiTheme="minorHAnsi" w:eastAsia="Times New Roman" w:hAnsiTheme="minorHAnsi"/>
                <w:bCs/>
                <w:szCs w:val="22"/>
                <w:lang w:eastAsia="en-AU"/>
              </w:rPr>
              <w:t>Specific requirements</w:t>
            </w:r>
          </w:p>
        </w:tc>
      </w:tr>
      <w:tr w:rsidR="00F13518" w:rsidRPr="00F13518" w14:paraId="2B4A9A30" w14:textId="77777777" w:rsidTr="006A123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0F93653B" w14:textId="77777777" w:rsidR="00F13518" w:rsidRPr="00F13518" w:rsidRDefault="00F13518" w:rsidP="00F13518">
            <w:pPr>
              <w:spacing w:before="0" w:after="240" w:line="240" w:lineRule="auto"/>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2955</w:t>
            </w:r>
          </w:p>
        </w:tc>
        <w:tc>
          <w:tcPr>
            <w:tcW w:w="0" w:type="auto"/>
            <w:tcBorders>
              <w:top w:val="single" w:sz="4" w:space="0" w:color="auto"/>
            </w:tcBorders>
            <w:hideMark/>
          </w:tcPr>
          <w:p w14:paraId="249F49C6"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LEAD</w:t>
            </w:r>
          </w:p>
        </w:tc>
        <w:tc>
          <w:tcPr>
            <w:tcW w:w="0" w:type="auto"/>
            <w:tcBorders>
              <w:top w:val="single" w:sz="4" w:space="0" w:color="auto"/>
            </w:tcBorders>
            <w:hideMark/>
          </w:tcPr>
          <w:p w14:paraId="0DDDF365"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H</w:t>
            </w:r>
          </w:p>
        </w:tc>
        <w:tc>
          <w:tcPr>
            <w:tcW w:w="0" w:type="auto"/>
            <w:tcBorders>
              <w:top w:val="single" w:sz="4" w:space="0" w:color="auto"/>
            </w:tcBorders>
            <w:hideMark/>
          </w:tcPr>
          <w:p w14:paraId="16CF2197"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Only for use as an active homoeopathic ingredient.</w:t>
            </w:r>
          </w:p>
          <w:p w14:paraId="234864AA"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The concentration in the medicine must be no more than 0.001%.</w:t>
            </w:r>
          </w:p>
        </w:tc>
      </w:tr>
      <w:tr w:rsidR="00F13518" w:rsidRPr="00F13518" w14:paraId="680AB166" w14:textId="77777777" w:rsidTr="006A1230">
        <w:tc>
          <w:tcPr>
            <w:cnfStyle w:val="001000000000" w:firstRow="0" w:lastRow="0" w:firstColumn="1" w:lastColumn="0" w:oddVBand="0" w:evenVBand="0" w:oddHBand="0" w:evenHBand="0" w:firstRowFirstColumn="0" w:firstRowLastColumn="0" w:lastRowFirstColumn="0" w:lastRowLastColumn="0"/>
            <w:tcW w:w="0" w:type="auto"/>
            <w:hideMark/>
          </w:tcPr>
          <w:p w14:paraId="6809E167" w14:textId="77777777" w:rsidR="00F13518" w:rsidRPr="00F13518" w:rsidRDefault="00F13518" w:rsidP="00F13518">
            <w:pPr>
              <w:spacing w:before="0" w:after="240" w:line="240" w:lineRule="auto"/>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2956</w:t>
            </w:r>
          </w:p>
        </w:tc>
        <w:tc>
          <w:tcPr>
            <w:tcW w:w="0" w:type="auto"/>
            <w:hideMark/>
          </w:tcPr>
          <w:p w14:paraId="5E190E93"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LEAD ACETATE</w:t>
            </w:r>
          </w:p>
        </w:tc>
        <w:tc>
          <w:tcPr>
            <w:tcW w:w="0" w:type="auto"/>
            <w:hideMark/>
          </w:tcPr>
          <w:p w14:paraId="0250F54C"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H</w:t>
            </w:r>
          </w:p>
        </w:tc>
        <w:tc>
          <w:tcPr>
            <w:tcW w:w="0" w:type="auto"/>
            <w:hideMark/>
          </w:tcPr>
          <w:p w14:paraId="76DF1A8E"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Only for use as an active homoeopathic ingredient.</w:t>
            </w:r>
          </w:p>
        </w:tc>
      </w:tr>
      <w:tr w:rsidR="00F13518" w:rsidRPr="00F13518" w14:paraId="5186D19E" w14:textId="77777777" w:rsidTr="006A1230">
        <w:tc>
          <w:tcPr>
            <w:cnfStyle w:val="001000000000" w:firstRow="0" w:lastRow="0" w:firstColumn="1" w:lastColumn="0" w:oddVBand="0" w:evenVBand="0" w:oddHBand="0" w:evenHBand="0" w:firstRowFirstColumn="0" w:firstRowLastColumn="0" w:lastRowFirstColumn="0" w:lastRowLastColumn="0"/>
            <w:tcW w:w="0" w:type="auto"/>
            <w:hideMark/>
          </w:tcPr>
          <w:p w14:paraId="7D44718A" w14:textId="77777777" w:rsidR="00F13518" w:rsidRPr="00F13518" w:rsidRDefault="00F13518" w:rsidP="00F13518">
            <w:pPr>
              <w:spacing w:before="0" w:after="240" w:line="240" w:lineRule="auto"/>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4139</w:t>
            </w:r>
            <w:r w:rsidRPr="00F13518">
              <w:rPr>
                <w:rFonts w:asciiTheme="minorHAnsi" w:eastAsia="Times New Roman" w:hAnsiTheme="minorHAnsi"/>
                <w:sz w:val="20"/>
                <w:szCs w:val="20"/>
                <w:lang w:eastAsia="en-AU"/>
              </w:rPr>
              <w:br/>
              <w:t>4140</w:t>
            </w:r>
            <w:r w:rsidRPr="00F13518">
              <w:rPr>
                <w:rFonts w:asciiTheme="minorHAnsi" w:eastAsia="Times New Roman" w:hAnsiTheme="minorHAnsi"/>
                <w:sz w:val="20"/>
                <w:szCs w:val="20"/>
                <w:lang w:eastAsia="en-AU"/>
              </w:rPr>
              <w:br/>
              <w:t>4141</w:t>
            </w:r>
            <w:r w:rsidRPr="00F13518">
              <w:rPr>
                <w:rFonts w:asciiTheme="minorHAnsi" w:eastAsia="Times New Roman" w:hAnsiTheme="minorHAnsi"/>
                <w:sz w:val="20"/>
                <w:szCs w:val="20"/>
                <w:lang w:eastAsia="en-AU"/>
              </w:rPr>
              <w:br/>
              <w:t>4142</w:t>
            </w:r>
            <w:r w:rsidRPr="00F13518">
              <w:rPr>
                <w:rFonts w:asciiTheme="minorHAnsi" w:eastAsia="Times New Roman" w:hAnsiTheme="minorHAnsi"/>
                <w:sz w:val="20"/>
                <w:szCs w:val="20"/>
                <w:lang w:eastAsia="en-AU"/>
              </w:rPr>
              <w:br/>
              <w:t>4143</w:t>
            </w:r>
            <w:r w:rsidRPr="00F13518">
              <w:rPr>
                <w:rFonts w:asciiTheme="minorHAnsi" w:eastAsia="Times New Roman" w:hAnsiTheme="minorHAnsi"/>
                <w:sz w:val="20"/>
                <w:szCs w:val="20"/>
                <w:lang w:eastAsia="en-AU"/>
              </w:rPr>
              <w:br/>
              <w:t>4144</w:t>
            </w:r>
          </w:p>
        </w:tc>
        <w:tc>
          <w:tcPr>
            <w:tcW w:w="0" w:type="auto"/>
            <w:hideMark/>
          </w:tcPr>
          <w:p w14:paraId="45C4B305"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PROPOLIS</w:t>
            </w:r>
            <w:r w:rsidRPr="00F13518">
              <w:rPr>
                <w:rFonts w:asciiTheme="minorHAnsi" w:eastAsia="Times New Roman" w:hAnsiTheme="minorHAnsi"/>
                <w:sz w:val="20"/>
                <w:szCs w:val="20"/>
                <w:lang w:eastAsia="en-AU"/>
              </w:rPr>
              <w:br/>
              <w:t>PROPOLIS BALSAM</w:t>
            </w:r>
            <w:r w:rsidRPr="00F13518">
              <w:rPr>
                <w:rFonts w:asciiTheme="minorHAnsi" w:eastAsia="Times New Roman" w:hAnsiTheme="minorHAnsi"/>
                <w:sz w:val="20"/>
                <w:szCs w:val="20"/>
                <w:lang w:eastAsia="en-AU"/>
              </w:rPr>
              <w:br/>
              <w:t>PROPOLIS DRY EXTRACT</w:t>
            </w:r>
            <w:r w:rsidRPr="00F13518">
              <w:rPr>
                <w:rFonts w:asciiTheme="minorHAnsi" w:eastAsia="Times New Roman" w:hAnsiTheme="minorHAnsi"/>
                <w:sz w:val="20"/>
                <w:szCs w:val="20"/>
                <w:lang w:eastAsia="en-AU"/>
              </w:rPr>
              <w:br/>
              <w:t>PROPOLIS LIQUID EXTRACT</w:t>
            </w:r>
            <w:r w:rsidRPr="00F13518">
              <w:rPr>
                <w:rFonts w:asciiTheme="minorHAnsi" w:eastAsia="Times New Roman" w:hAnsiTheme="minorHAnsi"/>
                <w:sz w:val="20"/>
                <w:szCs w:val="20"/>
                <w:lang w:eastAsia="en-AU"/>
              </w:rPr>
              <w:br/>
              <w:t>PROPOLIS RESIN</w:t>
            </w:r>
            <w:r w:rsidRPr="00F13518">
              <w:rPr>
                <w:rFonts w:asciiTheme="minorHAnsi" w:eastAsia="Times New Roman" w:hAnsiTheme="minorHAnsi"/>
                <w:sz w:val="20"/>
                <w:szCs w:val="20"/>
                <w:lang w:eastAsia="en-AU"/>
              </w:rPr>
              <w:br/>
              <w:t>PROPOLIS TINCTURE</w:t>
            </w:r>
          </w:p>
        </w:tc>
        <w:tc>
          <w:tcPr>
            <w:tcW w:w="0" w:type="auto"/>
            <w:hideMark/>
          </w:tcPr>
          <w:p w14:paraId="26149245"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A, E</w:t>
            </w:r>
            <w:r w:rsidRPr="00F13518">
              <w:rPr>
                <w:rFonts w:asciiTheme="minorHAnsi" w:eastAsia="Times New Roman" w:hAnsiTheme="minorHAnsi"/>
                <w:sz w:val="20"/>
                <w:szCs w:val="20"/>
                <w:lang w:eastAsia="en-AU"/>
              </w:rPr>
              <w:br/>
              <w:t>A, E</w:t>
            </w:r>
            <w:r w:rsidRPr="00F13518">
              <w:rPr>
                <w:rFonts w:asciiTheme="minorHAnsi" w:eastAsia="Times New Roman" w:hAnsiTheme="minorHAnsi"/>
                <w:sz w:val="20"/>
                <w:szCs w:val="20"/>
                <w:lang w:eastAsia="en-AU"/>
              </w:rPr>
              <w:br/>
              <w:t>A, E</w:t>
            </w:r>
            <w:r w:rsidRPr="00F13518">
              <w:rPr>
                <w:rFonts w:asciiTheme="minorHAnsi" w:eastAsia="Times New Roman" w:hAnsiTheme="minorHAnsi"/>
                <w:sz w:val="20"/>
                <w:szCs w:val="20"/>
                <w:lang w:eastAsia="en-AU"/>
              </w:rPr>
              <w:br/>
              <w:t>A, E</w:t>
            </w:r>
            <w:r w:rsidRPr="00F13518">
              <w:rPr>
                <w:rFonts w:asciiTheme="minorHAnsi" w:eastAsia="Times New Roman" w:hAnsiTheme="minorHAnsi"/>
                <w:sz w:val="20"/>
                <w:szCs w:val="20"/>
                <w:lang w:eastAsia="en-AU"/>
              </w:rPr>
              <w:br/>
              <w:t>A, E</w:t>
            </w:r>
            <w:r w:rsidRPr="00F13518">
              <w:rPr>
                <w:rFonts w:asciiTheme="minorHAnsi" w:eastAsia="Times New Roman" w:hAnsiTheme="minorHAnsi"/>
                <w:sz w:val="20"/>
                <w:szCs w:val="20"/>
                <w:lang w:eastAsia="en-AU"/>
              </w:rPr>
              <w:br/>
              <w:t>A, E</w:t>
            </w:r>
          </w:p>
        </w:tc>
        <w:tc>
          <w:tcPr>
            <w:tcW w:w="0" w:type="auto"/>
            <w:hideMark/>
          </w:tcPr>
          <w:p w14:paraId="7E3C3788"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Lead is a mandatory component of (these preparations).</w:t>
            </w:r>
          </w:p>
          <w:p w14:paraId="672B4DC5"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The concentration of lead in the medicine must be no more than 0.001%.</w:t>
            </w:r>
          </w:p>
          <w:p w14:paraId="03537807"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When used topically, the medicine requires the following warning statement on the medicine label:</w:t>
            </w:r>
          </w:p>
          <w:p w14:paraId="343068E1" w14:textId="77777777" w:rsidR="00F13518" w:rsidRPr="00F13518" w:rsidRDefault="00F13518" w:rsidP="00F13518">
            <w:pPr>
              <w:spacing w:before="0" w:after="240" w:line="240" w:lineRule="auto"/>
              <w:ind w:left="24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(PROP1) 'WARNING: Propolis may cause skin irritation. Test before use'</w:t>
            </w:r>
          </w:p>
          <w:p w14:paraId="40344C65" w14:textId="77777777" w:rsidR="00F13518" w:rsidRPr="00F13518" w:rsidRDefault="00F13518" w:rsidP="00F13518">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When used for other than for topical, the medicine requires the following warning statement on the medicine label:</w:t>
            </w:r>
          </w:p>
          <w:p w14:paraId="31638234" w14:textId="77777777" w:rsidR="00F13518" w:rsidRPr="00F13518" w:rsidRDefault="00F13518" w:rsidP="00F13518">
            <w:pPr>
              <w:spacing w:before="0" w:after="240" w:line="240" w:lineRule="auto"/>
              <w:ind w:left="24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00F13518">
              <w:rPr>
                <w:rFonts w:asciiTheme="minorHAnsi" w:eastAsia="Times New Roman" w:hAnsiTheme="minorHAnsi"/>
                <w:sz w:val="20"/>
                <w:szCs w:val="20"/>
                <w:lang w:eastAsia="en-AU"/>
              </w:rPr>
              <w:t>(PROP2) 'Warning: Propolis may cause allergic reactions. If irritation or swelling of the mouth or throat occurs, discontinue use.'</w:t>
            </w:r>
          </w:p>
        </w:tc>
      </w:tr>
      <w:tr w:rsidR="00F13518" w:rsidRPr="00F13518" w14:paraId="5D8C19D5" w14:textId="77777777" w:rsidTr="006A1230">
        <w:tc>
          <w:tcPr>
            <w:cnfStyle w:val="001000000000" w:firstRow="0" w:lastRow="0" w:firstColumn="1" w:lastColumn="0" w:oddVBand="0" w:evenVBand="0" w:oddHBand="0" w:evenHBand="0" w:firstRowFirstColumn="0" w:firstRowLastColumn="0" w:lastRowFirstColumn="0" w:lastRowLastColumn="0"/>
            <w:tcW w:w="0" w:type="auto"/>
            <w:gridSpan w:val="4"/>
            <w:hideMark/>
          </w:tcPr>
          <w:p w14:paraId="3C24743D" w14:textId="77777777" w:rsidR="00F13518" w:rsidRPr="00F13518" w:rsidRDefault="00F13518" w:rsidP="00F13518">
            <w:pPr>
              <w:spacing w:before="0" w:after="240" w:line="240" w:lineRule="auto"/>
              <w:rPr>
                <w:rFonts w:asciiTheme="minorHAnsi" w:eastAsia="Times New Roman" w:hAnsiTheme="minorHAnsi"/>
                <w:sz w:val="16"/>
                <w:szCs w:val="16"/>
                <w:lang w:eastAsia="en-AU"/>
              </w:rPr>
            </w:pPr>
            <w:r w:rsidRPr="00F13518">
              <w:rPr>
                <w:rFonts w:asciiTheme="minorHAnsi" w:eastAsia="Times New Roman" w:hAnsiTheme="minorHAnsi"/>
                <w:sz w:val="16"/>
                <w:szCs w:val="16"/>
                <w:lang w:eastAsia="en-AU"/>
              </w:rPr>
              <w:t>A = active ingredient for a medicine has the same meaning as in the Regulations</w:t>
            </w:r>
            <w:r w:rsidRPr="00F13518">
              <w:rPr>
                <w:rFonts w:asciiTheme="minorHAnsi" w:eastAsia="Times New Roman" w:hAnsiTheme="minorHAnsi"/>
                <w:sz w:val="16"/>
                <w:szCs w:val="16"/>
                <w:lang w:eastAsia="en-AU"/>
              </w:rPr>
              <w:br/>
              <w:t>H = homoeopathic preparation ingredient meaning an ingredient that is a constituent of a homoeopathic preparation</w:t>
            </w:r>
          </w:p>
        </w:tc>
      </w:tr>
    </w:tbl>
    <w:p w14:paraId="1402F3EF" w14:textId="7275DF2B" w:rsidR="006F5FD7" w:rsidRDefault="00F13518" w:rsidP="006F5FD7">
      <w:pPr>
        <w:pStyle w:val="ListBullet"/>
        <w:keepNext/>
        <w:keepLines/>
        <w:numPr>
          <w:ilvl w:val="0"/>
          <w:numId w:val="36"/>
        </w:numPr>
      </w:pPr>
      <w:r>
        <w:t xml:space="preserve">the </w:t>
      </w:r>
      <w:hyperlink r:id="rId68" w:history="1">
        <w:r w:rsidR="006F5FD7" w:rsidRPr="00C81411">
          <w:rPr>
            <w:rStyle w:val="Hyperlink"/>
          </w:rPr>
          <w:t xml:space="preserve">TGA </w:t>
        </w:r>
        <w:r w:rsidR="006F5FD7">
          <w:rPr>
            <w:rStyle w:val="Hyperlink"/>
          </w:rPr>
          <w:t>p</w:t>
        </w:r>
        <w:r w:rsidR="006F5FD7" w:rsidRPr="00C81411">
          <w:rPr>
            <w:rStyle w:val="Hyperlink"/>
          </w:rPr>
          <w:t>rescribing medicines in pregnancy database</w:t>
        </w:r>
      </w:hyperlink>
      <w:r w:rsidR="006F5FD7">
        <w:rPr>
          <w:rStyle w:val="FootnoteReference"/>
        </w:rPr>
        <w:footnoteReference w:id="11"/>
      </w:r>
      <w:r>
        <w:rPr>
          <w:rStyle w:val="Hyperlink"/>
        </w:rPr>
        <w:t xml:space="preserve"> </w:t>
      </w:r>
      <w:r w:rsidRPr="00F13518">
        <w:t>does not include an entry for lead</w:t>
      </w:r>
      <w:r>
        <w:t>.</w:t>
      </w:r>
    </w:p>
    <w:p w14:paraId="5054CB99" w14:textId="688D8AB0" w:rsidR="006F5FD7" w:rsidRDefault="00251574" w:rsidP="006F5FD7">
      <w:pPr>
        <w:pStyle w:val="ListBullet"/>
        <w:numPr>
          <w:ilvl w:val="0"/>
          <w:numId w:val="36"/>
        </w:numPr>
      </w:pPr>
      <w:r>
        <w:t>t</w:t>
      </w:r>
      <w:r w:rsidR="006F5FD7">
        <w:t xml:space="preserve">here are no </w:t>
      </w:r>
      <w:r w:rsidR="006F5FD7" w:rsidRPr="00A30084">
        <w:t xml:space="preserve">warning statements pertaining </w:t>
      </w:r>
      <w:r w:rsidR="00F13518">
        <w:t>to lead</w:t>
      </w:r>
      <w:r w:rsidR="006F5FD7">
        <w:t xml:space="preserve"> in the </w:t>
      </w:r>
      <w:hyperlink r:id="rId69" w:history="1">
        <w:r w:rsidR="006F5FD7" w:rsidRPr="00AB7BF5">
          <w:rPr>
            <w:rStyle w:val="Hyperlink"/>
          </w:rPr>
          <w:t>Therapeutic Goods (Medicines Advisory Statements) Specification 2019</w:t>
        </w:r>
      </w:hyperlink>
      <w:r w:rsidR="006F5FD7">
        <w:rPr>
          <w:rStyle w:val="FootnoteReference"/>
        </w:rPr>
        <w:footnoteReference w:id="12"/>
      </w:r>
    </w:p>
    <w:p w14:paraId="60139A20" w14:textId="5194A947" w:rsidR="006F5FD7" w:rsidRPr="009C55D5" w:rsidRDefault="006F5FD7" w:rsidP="006F5FD7">
      <w:pPr>
        <w:pStyle w:val="ListBullet"/>
        <w:numPr>
          <w:ilvl w:val="0"/>
          <w:numId w:val="36"/>
        </w:numPr>
      </w:pPr>
      <w:r>
        <w:t>there were</w:t>
      </w:r>
      <w:r w:rsidRPr="009C55D5">
        <w:t xml:space="preserve"> </w:t>
      </w:r>
      <w:r>
        <w:t>no</w:t>
      </w:r>
      <w:r w:rsidRPr="009C55D5">
        <w:t xml:space="preserve"> reports of adverse events for products containing </w:t>
      </w:r>
      <w:r w:rsidR="00F13518">
        <w:t xml:space="preserve">lead </w:t>
      </w:r>
      <w:r w:rsidRPr="009C55D5">
        <w:t>as an active ingredient</w:t>
      </w:r>
      <w:r>
        <w:t xml:space="preserve"> on the </w:t>
      </w:r>
      <w:hyperlink r:id="rId70" w:history="1">
        <w:r w:rsidRPr="00F0449C">
          <w:rPr>
            <w:rStyle w:val="Hyperlink"/>
          </w:rPr>
          <w:t>Database of Adverse Event Notifications (DAEN)</w:t>
        </w:r>
      </w:hyperlink>
      <w:r w:rsidRPr="00F0449C">
        <w:rPr>
          <w:rStyle w:val="FootnoteReference"/>
        </w:rPr>
        <w:footnoteReference w:id="13"/>
      </w:r>
    </w:p>
    <w:p w14:paraId="6B0CACE4" w14:textId="42EEAE65" w:rsidR="006F5FD7" w:rsidRDefault="006F5FD7" w:rsidP="006F5FD7">
      <w:pPr>
        <w:pStyle w:val="ListBullet"/>
        <w:numPr>
          <w:ilvl w:val="0"/>
          <w:numId w:val="36"/>
        </w:numPr>
      </w:pPr>
      <w:r>
        <w:t>t</w:t>
      </w:r>
      <w:r w:rsidRPr="00F0449C">
        <w:t xml:space="preserve">here </w:t>
      </w:r>
      <w:r>
        <w:t>was</w:t>
      </w:r>
      <w:r w:rsidRPr="00F0449C">
        <w:t xml:space="preserve"> </w:t>
      </w:r>
      <w:r>
        <w:t>one product</w:t>
      </w:r>
      <w:r w:rsidRPr="00F0449C">
        <w:t xml:space="preserve"> containing </w:t>
      </w:r>
      <w:r>
        <w:t xml:space="preserve">lead acetate </w:t>
      </w:r>
      <w:r w:rsidRPr="00F0449C">
        <w:t xml:space="preserve">listed on the </w:t>
      </w:r>
      <w:hyperlink r:id="rId71" w:history="1">
        <w:r w:rsidRPr="00F0449C">
          <w:rPr>
            <w:rStyle w:val="Hyperlink"/>
          </w:rPr>
          <w:t>Public Chemical Registration Information System Search (P</w:t>
        </w:r>
        <w:r>
          <w:rPr>
            <w:rStyle w:val="Hyperlink"/>
          </w:rPr>
          <w:t>ub</w:t>
        </w:r>
        <w:r w:rsidRPr="00F0449C">
          <w:rPr>
            <w:rStyle w:val="Hyperlink"/>
          </w:rPr>
          <w:t>CRIS)</w:t>
        </w:r>
      </w:hyperlink>
      <w:r w:rsidRPr="007B2865">
        <w:rPr>
          <w:rStyle w:val="FootnoteReference"/>
        </w:rPr>
        <w:footnoteReference w:id="14"/>
      </w:r>
      <w:r w:rsidR="00F13518">
        <w:rPr>
          <w:rStyle w:val="Hyperlink"/>
        </w:rPr>
        <w:t>.</w:t>
      </w:r>
      <w:r w:rsidRPr="007B2865">
        <w:t xml:space="preserve"> </w:t>
      </w:r>
      <w:r w:rsidR="00F13518" w:rsidRPr="00F13518">
        <w:t>Lead acetate is listed as an approved active constituent, and listed as an active constituent in a dermatological veterinary medicine.</w:t>
      </w:r>
    </w:p>
    <w:p w14:paraId="60519CEA" w14:textId="7C0F4979" w:rsidR="006F5FD7" w:rsidRPr="00B81102" w:rsidRDefault="00684E81" w:rsidP="006F5FD7">
      <w:pPr>
        <w:pStyle w:val="ListBullet2"/>
        <w:numPr>
          <w:ilvl w:val="1"/>
          <w:numId w:val="36"/>
        </w:numPr>
        <w:ind w:left="850" w:hanging="425"/>
      </w:pPr>
      <w:r>
        <w:lastRenderedPageBreak/>
        <w:t>a</w:t>
      </w:r>
      <w:r w:rsidR="006F5FD7">
        <w:t xml:space="preserve"> veterinary antiseptic topical solution</w:t>
      </w:r>
      <w:r>
        <w:t>, listed as a Schedule 6 poison</w:t>
      </w:r>
    </w:p>
    <w:p w14:paraId="35FDA10A" w14:textId="41D51EA4" w:rsidR="006F5FD7" w:rsidRDefault="007B2865" w:rsidP="006F5FD7">
      <w:pPr>
        <w:pStyle w:val="ListBullet"/>
        <w:numPr>
          <w:ilvl w:val="0"/>
          <w:numId w:val="36"/>
        </w:numPr>
      </w:pPr>
      <w:r>
        <w:t>there were no reports of adverse experiences recorded for</w:t>
      </w:r>
      <w:r w:rsidR="006F5FD7">
        <w:t xml:space="preserve"> lead acetate in the </w:t>
      </w:r>
      <w:hyperlink r:id="rId72" w:history="1">
        <w:r w:rsidR="006F5FD7" w:rsidRPr="006B6023">
          <w:rPr>
            <w:rStyle w:val="Hyperlink"/>
          </w:rPr>
          <w:t>A</w:t>
        </w:r>
        <w:r w:rsidR="006F5FD7">
          <w:rPr>
            <w:rStyle w:val="Hyperlink"/>
          </w:rPr>
          <w:t>PVMA A</w:t>
        </w:r>
        <w:r w:rsidR="006F5FD7" w:rsidRPr="006B6023">
          <w:rPr>
            <w:rStyle w:val="Hyperlink"/>
          </w:rPr>
          <w:t>dverse Experience Reporting Program</w:t>
        </w:r>
      </w:hyperlink>
      <w:r w:rsidR="006F5FD7">
        <w:rPr>
          <w:rStyle w:val="Hyperlink"/>
        </w:rPr>
        <w:t xml:space="preserve"> database (AERP)</w:t>
      </w:r>
      <w:r w:rsidR="00684E81">
        <w:rPr>
          <w:rStyle w:val="Hyperlink"/>
          <w:color w:val="auto"/>
          <w:u w:val="none"/>
        </w:rPr>
        <w:t xml:space="preserve"> since January 2010</w:t>
      </w:r>
      <w:r w:rsidR="006F5FD7">
        <w:rPr>
          <w:rStyle w:val="FootnoteReference"/>
        </w:rPr>
        <w:footnoteReference w:id="15"/>
      </w:r>
      <w:r w:rsidR="00684E81">
        <w:rPr>
          <w:rStyle w:val="Hyperlink"/>
          <w:color w:val="auto"/>
          <w:u w:val="none"/>
        </w:rPr>
        <w:t>.</w:t>
      </w:r>
    </w:p>
    <w:p w14:paraId="5E17C2EA" w14:textId="7606A172" w:rsidR="006F5FD7" w:rsidRDefault="006F5FD7" w:rsidP="006F5FD7">
      <w:pPr>
        <w:pStyle w:val="Heading4"/>
      </w:pPr>
      <w:bookmarkStart w:id="51" w:name="_Toc71182240"/>
      <w:r>
        <w:t>International regulations</w:t>
      </w:r>
      <w:bookmarkEnd w:id="51"/>
    </w:p>
    <w:p w14:paraId="776C9456" w14:textId="1313C35E" w:rsidR="00BC641B" w:rsidRPr="00CE3D9B" w:rsidRDefault="00BC641B" w:rsidP="00251574">
      <w:r>
        <w:t xml:space="preserve">As of April 2021, lead </w:t>
      </w:r>
      <w:r w:rsidR="00F13518">
        <w:t>is</w:t>
      </w:r>
      <w:r>
        <w:t>:</w:t>
      </w:r>
    </w:p>
    <w:p w14:paraId="509D7362" w14:textId="0E838806" w:rsidR="006F5FD7" w:rsidRDefault="006F5FD7" w:rsidP="006F5FD7">
      <w:pPr>
        <w:pStyle w:val="ListBullet"/>
        <w:numPr>
          <w:ilvl w:val="0"/>
          <w:numId w:val="36"/>
        </w:numPr>
      </w:pPr>
      <w:r>
        <w:t xml:space="preserve">is not included in the </w:t>
      </w:r>
      <w:hyperlink r:id="rId73" w:history="1">
        <w:r w:rsidRPr="00E611AB">
          <w:rPr>
            <w:rStyle w:val="Hyperlink"/>
          </w:rPr>
          <w:t>US FDA Approved Drug Products Database</w:t>
        </w:r>
      </w:hyperlink>
      <w:r>
        <w:rPr>
          <w:rStyle w:val="FootnoteReference"/>
        </w:rPr>
        <w:footnoteReference w:id="16"/>
      </w:r>
    </w:p>
    <w:p w14:paraId="4360516A" w14:textId="65D05FDA" w:rsidR="006F5FD7" w:rsidRPr="004E7FF0" w:rsidRDefault="006F5FD7" w:rsidP="006F5FD7">
      <w:pPr>
        <w:pStyle w:val="ListBullet"/>
        <w:numPr>
          <w:ilvl w:val="0"/>
          <w:numId w:val="36"/>
        </w:numPr>
        <w:rPr>
          <w:color w:val="0000FF"/>
          <w:u w:val="single"/>
        </w:rPr>
      </w:pPr>
      <w:r>
        <w:t xml:space="preserve">is included in the </w:t>
      </w:r>
      <w:hyperlink r:id="rId74" w:history="1">
        <w:r w:rsidRPr="004E7FF0">
          <w:rPr>
            <w:rStyle w:val="Hyperlink"/>
          </w:rPr>
          <w:t>European Commission database for cosmetic substances and ingredients</w:t>
        </w:r>
      </w:hyperlink>
      <w:r>
        <w:rPr>
          <w:rStyle w:val="FootnoteReference"/>
        </w:rPr>
        <w:footnoteReference w:id="17"/>
      </w:r>
      <w:r>
        <w:t xml:space="preserve"> for use in hair dyeing. Lead acetate, basic is included in the database as a Class 1A reprotox</w:t>
      </w:r>
      <w:r w:rsidR="00684E81">
        <w:t>in</w:t>
      </w:r>
    </w:p>
    <w:p w14:paraId="4480337F" w14:textId="47CD4B31" w:rsidR="006A1230" w:rsidRPr="006A1230" w:rsidRDefault="006A1230" w:rsidP="006A1230">
      <w:pPr>
        <w:pStyle w:val="ListBullet"/>
        <w:numPr>
          <w:ilvl w:val="0"/>
          <w:numId w:val="36"/>
        </w:numPr>
        <w:spacing w:before="100" w:beforeAutospacing="1" w:after="100" w:afterAutospacing="1" w:line="240" w:lineRule="auto"/>
      </w:pPr>
      <w:r w:rsidRPr="006A1230">
        <w:t>According to the</w:t>
      </w:r>
      <w:r w:rsidRPr="006A1230">
        <w:rPr>
          <w:rFonts w:ascii="Verdana" w:hAnsi="Verdana"/>
          <w:color w:val="000000"/>
          <w:szCs w:val="22"/>
        </w:rPr>
        <w:t> </w:t>
      </w:r>
      <w:hyperlink r:id="rId75" w:tgtFrame="_blank" w:tooltip="link to the Medsafe website" w:history="1">
        <w:r w:rsidRPr="006A1230">
          <w:rPr>
            <w:rStyle w:val="Hyperlink"/>
            <w:sz w:val="20"/>
          </w:rPr>
          <w:t>Medsafe Medicine Classification Database</w:t>
        </w:r>
        <w:r>
          <w:rPr>
            <w:rStyle w:val="FootnoteReference"/>
            <w:rFonts w:ascii="Verdana" w:hAnsi="Verdana"/>
            <w:color w:val="000000"/>
            <w:szCs w:val="22"/>
            <w:u w:val="single"/>
          </w:rPr>
          <w:footnoteReference w:id="18"/>
        </w:r>
      </w:hyperlink>
      <w:r>
        <w:rPr>
          <w:rFonts w:ascii="Verdana" w:hAnsi="Verdana"/>
          <w:color w:val="000000"/>
          <w:szCs w:val="22"/>
        </w:rPr>
        <w:t>, l</w:t>
      </w:r>
      <w:r w:rsidRPr="006A1230">
        <w:t>ead is regulated as a prescription medicine.</w:t>
      </w:r>
    </w:p>
    <w:p w14:paraId="61202F0A" w14:textId="783070C8" w:rsidR="006F5FD7" w:rsidRPr="004E7FF0" w:rsidRDefault="006F5FD7" w:rsidP="006F5FD7">
      <w:pPr>
        <w:pStyle w:val="ListBullet"/>
        <w:numPr>
          <w:ilvl w:val="0"/>
          <w:numId w:val="36"/>
        </w:numPr>
        <w:rPr>
          <w:color w:val="0000FF"/>
          <w:u w:val="single"/>
        </w:rPr>
      </w:pPr>
      <w:r>
        <w:t xml:space="preserve">is not included in the </w:t>
      </w:r>
      <w:hyperlink r:id="rId76" w:history="1">
        <w:r w:rsidRPr="004E7FF0">
          <w:rPr>
            <w:rStyle w:val="Hyperlink"/>
          </w:rPr>
          <w:t xml:space="preserve">New Zealand Medicines and Medicals Devices Safety Authority </w:t>
        </w:r>
        <w:r w:rsidR="00D81BD6">
          <w:rPr>
            <w:rStyle w:val="Hyperlink"/>
          </w:rPr>
          <w:t>(Medsafe)</w:t>
        </w:r>
        <w:r w:rsidR="00D81BD6" w:rsidRPr="00D81BD6">
          <w:rPr>
            <w:rStyle w:val="Hyperlink"/>
            <w:color w:val="auto"/>
            <w:u w:val="none"/>
          </w:rPr>
          <w:t xml:space="preserve"> </w:t>
        </w:r>
        <w:r w:rsidR="00D81BD6">
          <w:rPr>
            <w:rStyle w:val="Hyperlink"/>
            <w:color w:val="auto"/>
            <w:u w:val="none"/>
          </w:rPr>
          <w:t>Medicines Classification Database.</w:t>
        </w:r>
      </w:hyperlink>
      <w:r>
        <w:rPr>
          <w:rStyle w:val="FootnoteReference"/>
        </w:rPr>
        <w:footnoteReference w:id="19"/>
      </w:r>
      <w:r w:rsidR="00684E81">
        <w:rPr>
          <w:rStyle w:val="Hyperlink"/>
        </w:rPr>
        <w:t>.</w:t>
      </w:r>
    </w:p>
    <w:p w14:paraId="2AB9832D" w14:textId="4FC92A58" w:rsidR="006F5FD7" w:rsidRPr="00665C46" w:rsidRDefault="00BC641B" w:rsidP="006F5FD7">
      <w:pPr>
        <w:pStyle w:val="ListBullet"/>
        <w:numPr>
          <w:ilvl w:val="0"/>
          <w:numId w:val="36"/>
        </w:numPr>
        <w:rPr>
          <w:color w:val="0000FF"/>
          <w:u w:val="single"/>
        </w:rPr>
      </w:pPr>
      <w:r>
        <w:t>is</w:t>
      </w:r>
      <w:r w:rsidR="006F5FD7">
        <w:t xml:space="preserve"> listed in the </w:t>
      </w:r>
      <w:hyperlink r:id="rId77" w:history="1">
        <w:r w:rsidR="006F5FD7" w:rsidRPr="00665C46">
          <w:rPr>
            <w:rStyle w:val="Hyperlink"/>
          </w:rPr>
          <w:t>New Zealand Inventory of Chemicals</w:t>
        </w:r>
      </w:hyperlink>
      <w:r w:rsidR="006F5FD7">
        <w:rPr>
          <w:rStyle w:val="FootnoteReference"/>
        </w:rPr>
        <w:footnoteReference w:id="20"/>
      </w:r>
    </w:p>
    <w:p w14:paraId="29EA2872" w14:textId="1EF47692" w:rsidR="006F5FD7" w:rsidRPr="006A1230" w:rsidRDefault="006F5FD7" w:rsidP="006F5FD7">
      <w:pPr>
        <w:pStyle w:val="ListBullet"/>
        <w:numPr>
          <w:ilvl w:val="0"/>
          <w:numId w:val="36"/>
        </w:numPr>
        <w:rPr>
          <w:color w:val="0000FF"/>
          <w:u w:val="single"/>
        </w:rPr>
      </w:pPr>
      <w:r>
        <w:t>is available as</w:t>
      </w:r>
      <w:r w:rsidR="006A1230">
        <w:t xml:space="preserve"> lead acetate as</w:t>
      </w:r>
      <w:r>
        <w:t xml:space="preserve"> an ingredient in homeopathic medicines</w:t>
      </w:r>
      <w:r w:rsidR="00BC641B" w:rsidRPr="00BC641B">
        <w:t xml:space="preserve"> </w:t>
      </w:r>
      <w:r w:rsidR="00BC641B">
        <w:t xml:space="preserve">according to the </w:t>
      </w:r>
      <w:hyperlink r:id="rId78" w:history="1">
        <w:r w:rsidR="00D31739">
          <w:rPr>
            <w:rStyle w:val="Hyperlink"/>
          </w:rPr>
          <w:t>Canadian (Health Canada) Drug Product Database</w:t>
        </w:r>
      </w:hyperlink>
      <w:r w:rsidR="00D31739">
        <w:t>,</w:t>
      </w:r>
      <w:r w:rsidR="00251574">
        <w:rPr>
          <w:rStyle w:val="FootnoteReference"/>
        </w:rPr>
        <w:footnoteReference w:id="21"/>
      </w:r>
      <w:r w:rsidR="006A1230">
        <w:t>.</w:t>
      </w:r>
    </w:p>
    <w:p w14:paraId="37B61DC6" w14:textId="1364E5AF" w:rsidR="006A1230" w:rsidRPr="006A1230" w:rsidRDefault="006A1230" w:rsidP="006A1230">
      <w:pPr>
        <w:pStyle w:val="ListBullet"/>
        <w:numPr>
          <w:ilvl w:val="0"/>
          <w:numId w:val="36"/>
        </w:numPr>
        <w:spacing w:before="100" w:beforeAutospacing="1" w:after="100" w:afterAutospacing="1" w:line="240" w:lineRule="auto"/>
      </w:pPr>
      <w:r w:rsidRPr="006A1230">
        <w:t>The </w:t>
      </w:r>
      <w:hyperlink r:id="rId79" w:tgtFrame="_blank" w:tooltip="link to the HSA website" w:history="1">
        <w:r w:rsidRPr="006A1230">
          <w:rPr>
            <w:rStyle w:val="Hyperlink"/>
          </w:rPr>
          <w:t>Health and Safety Authority</w:t>
        </w:r>
      </w:hyperlink>
      <w:r>
        <w:rPr>
          <w:rStyle w:val="FootnoteReference"/>
        </w:rPr>
        <w:footnoteReference w:id="22"/>
      </w:r>
      <w:r w:rsidRPr="006A1230">
        <w:t> of Ireland enforces a ban on the use of lead carbons and lead sulphates in paint except for restoration and maintenance of art and historic buildings.</w:t>
      </w:r>
    </w:p>
    <w:p w14:paraId="1F44D3E3" w14:textId="71C491F4" w:rsidR="0027202C" w:rsidRPr="00251574" w:rsidRDefault="00604455" w:rsidP="006F5FD7">
      <w:pPr>
        <w:pStyle w:val="ListBullet"/>
        <w:numPr>
          <w:ilvl w:val="0"/>
          <w:numId w:val="36"/>
        </w:numPr>
        <w:rPr>
          <w:u w:val="single"/>
        </w:rPr>
      </w:pPr>
      <w:r>
        <w:t xml:space="preserve">is registered with the </w:t>
      </w:r>
      <w:hyperlink r:id="rId80" w:history="1">
        <w:r w:rsidRPr="0027202C">
          <w:rPr>
            <w:rStyle w:val="Hyperlink"/>
          </w:rPr>
          <w:t>European Chemicals Agency</w:t>
        </w:r>
      </w:hyperlink>
      <w:r>
        <w:t xml:space="preserve"> (ECA)</w:t>
      </w:r>
      <w:r w:rsidR="0027202C">
        <w:t>. According to the</w:t>
      </w:r>
      <w:r w:rsidR="006F5FD7">
        <w:t xml:space="preserve"> </w:t>
      </w:r>
      <w:r w:rsidRPr="00251574">
        <w:t>ECA</w:t>
      </w:r>
      <w:r w:rsidR="0027202C">
        <w:t>, the substance</w:t>
      </w:r>
      <w:r w:rsidR="0027202C" w:rsidRPr="0027202C">
        <w:t xml:space="preserve">: </w:t>
      </w:r>
    </w:p>
    <w:p w14:paraId="645BC4E6" w14:textId="6D846852" w:rsidR="0027202C" w:rsidRPr="00251574" w:rsidRDefault="006F5FD7" w:rsidP="00251574">
      <w:pPr>
        <w:pStyle w:val="ListBullet2"/>
        <w:rPr>
          <w:color w:val="0000FF"/>
          <w:u w:val="single"/>
        </w:rPr>
      </w:pPr>
      <w:r w:rsidRPr="0027202C">
        <w:t>may damage the unborn child and is suspected of damaging fertility</w:t>
      </w:r>
    </w:p>
    <w:p w14:paraId="7E4E2B1F" w14:textId="0BA309D4" w:rsidR="0027202C" w:rsidRPr="00251574" w:rsidRDefault="006F5FD7" w:rsidP="00251574">
      <w:pPr>
        <w:pStyle w:val="ListBullet2"/>
        <w:rPr>
          <w:color w:val="0000FF"/>
          <w:u w:val="single"/>
        </w:rPr>
      </w:pPr>
      <w:r w:rsidRPr="0027202C">
        <w:t>is very toxic to a</w:t>
      </w:r>
      <w:r w:rsidRPr="00611645">
        <w:t>quatic life</w:t>
      </w:r>
    </w:p>
    <w:p w14:paraId="59823D44" w14:textId="08BCBD32" w:rsidR="0027202C" w:rsidRPr="00251574" w:rsidRDefault="006F5FD7" w:rsidP="00251574">
      <w:pPr>
        <w:pStyle w:val="ListBullet2"/>
        <w:rPr>
          <w:color w:val="0000FF"/>
          <w:u w:val="single"/>
        </w:rPr>
      </w:pPr>
      <w:r w:rsidRPr="00611645">
        <w:t>is very toxic to aquatic life with long lasting effects</w:t>
      </w:r>
    </w:p>
    <w:p w14:paraId="702E620E" w14:textId="4BB2DCF6" w:rsidR="0027202C" w:rsidRPr="00251574" w:rsidRDefault="006F5FD7" w:rsidP="00251574">
      <w:pPr>
        <w:pStyle w:val="ListBullet2"/>
        <w:rPr>
          <w:color w:val="0000FF"/>
          <w:u w:val="single"/>
        </w:rPr>
      </w:pPr>
      <w:r w:rsidRPr="00611645">
        <w:t>is harmful if swallowed</w:t>
      </w:r>
    </w:p>
    <w:p w14:paraId="5AD80D1A" w14:textId="27D3B33E" w:rsidR="006F5FD7" w:rsidRPr="006F5FD7" w:rsidRDefault="006F5FD7" w:rsidP="00251574">
      <w:pPr>
        <w:pStyle w:val="ListBullet2"/>
        <w:rPr>
          <w:color w:val="0000FF"/>
          <w:u w:val="single"/>
        </w:rPr>
      </w:pPr>
      <w:r w:rsidRPr="00611645">
        <w:t>is harmful if inhaled and may cause damage to organs through prolonged or repeated exposure.</w:t>
      </w:r>
    </w:p>
    <w:p w14:paraId="6DEC83FB" w14:textId="77777777" w:rsidR="003C02CB" w:rsidRDefault="003C02CB" w:rsidP="003C02CB">
      <w:pPr>
        <w:pStyle w:val="Heading2"/>
        <w:pageBreakBefore w:val="0"/>
      </w:pPr>
      <w:bookmarkStart w:id="52" w:name="_How_to_respond"/>
      <w:bookmarkStart w:id="53" w:name="_Toc71182241"/>
      <w:bookmarkEnd w:id="52"/>
      <w:r>
        <w:lastRenderedPageBreak/>
        <w:t>How to respond</w:t>
      </w:r>
      <w:bookmarkEnd w:id="53"/>
    </w:p>
    <w:p w14:paraId="7D30AD22" w14:textId="071A8F81" w:rsidR="005F0424" w:rsidRDefault="005F0424" w:rsidP="005F0424">
      <w:pPr>
        <w:pStyle w:val="ListBullet"/>
        <w:numPr>
          <w:ilvl w:val="0"/>
          <w:numId w:val="0"/>
        </w:numPr>
      </w:pPr>
      <w:r>
        <w:t xml:space="preserve">Submissions must be provided by the closing date of </w:t>
      </w:r>
      <w:r w:rsidR="002B1FB5">
        <w:rPr>
          <w:b/>
        </w:rPr>
        <w:t>4</w:t>
      </w:r>
      <w:r w:rsidR="00C36544">
        <w:rPr>
          <w:b/>
        </w:rPr>
        <w:t xml:space="preserve"> June</w:t>
      </w:r>
      <w:r w:rsidRPr="00074B69">
        <w:rPr>
          <w:b/>
        </w:rPr>
        <w:t xml:space="preserve"> 2021</w:t>
      </w:r>
      <w:r>
        <w:t xml:space="preserve"> </w:t>
      </w:r>
      <w:r w:rsidRPr="00972C2F">
        <w:t>through our </w:t>
      </w:r>
      <w:hyperlink r:id="rId81" w:history="1">
        <w:r w:rsidRPr="002D2D4E">
          <w:rPr>
            <w:rStyle w:val="Hyperlink"/>
          </w:rPr>
          <w:t>consultation hub</w:t>
        </w:r>
      </w:hyperlink>
      <w:r w:rsidRPr="00972C2F">
        <w:t>. Any submission about any of the proposals to amend the Poisons Standard will be considered at the next meeting of the </w:t>
      </w:r>
      <w:hyperlink r:id="rId82" w:history="1">
        <w:r w:rsidRPr="00972C2F">
          <w:rPr>
            <w:rStyle w:val="Hyperlink"/>
          </w:rPr>
          <w:t xml:space="preserve">Advisory Committee on </w:t>
        </w:r>
        <w:r w:rsidR="003F106C">
          <w:rPr>
            <w:rStyle w:val="Hyperlink"/>
          </w:rPr>
          <w:t>Chemicals</w:t>
        </w:r>
        <w:r w:rsidRPr="00972C2F">
          <w:rPr>
            <w:rStyle w:val="Hyperlink"/>
          </w:rPr>
          <w:t xml:space="preserve"> Scheduling (AC</w:t>
        </w:r>
        <w:r w:rsidR="003F106C">
          <w:rPr>
            <w:rStyle w:val="Hyperlink"/>
          </w:rPr>
          <w:t>C</w:t>
        </w:r>
        <w:r w:rsidRPr="00972C2F">
          <w:rPr>
            <w:rStyle w:val="Hyperlink"/>
          </w:rPr>
          <w:t>S)</w:t>
        </w:r>
      </w:hyperlink>
      <w:r>
        <w:t>.</w:t>
      </w:r>
    </w:p>
    <w:p w14:paraId="62DDB87C" w14:textId="77777777" w:rsidR="003C02CB" w:rsidRDefault="003C02CB" w:rsidP="003C02CB">
      <w:pPr>
        <w:pStyle w:val="Heading2"/>
        <w:pageBreakBefore w:val="0"/>
      </w:pPr>
      <w:bookmarkStart w:id="54" w:name="_Toc71182242"/>
      <w:r>
        <w:t>What will happen</w:t>
      </w:r>
      <w:bookmarkEnd w:id="54"/>
    </w:p>
    <w:p w14:paraId="09ADF3C0" w14:textId="77777777" w:rsidR="004D74CA" w:rsidRPr="00CE3D9B" w:rsidRDefault="004D74CA" w:rsidP="004D74CA">
      <w:pPr>
        <w:rPr>
          <w:szCs w:val="22"/>
        </w:rPr>
      </w:pPr>
      <w:r w:rsidRPr="00CE3D9B">
        <w:rPr>
          <w:szCs w:val="22"/>
        </w:rPr>
        <w:t xml:space="preserve">All public submissions will be published on the TGA website at </w:t>
      </w:r>
      <w:hyperlink r:id="rId83" w:history="1">
        <w:r w:rsidRPr="00CE3D9B">
          <w:rPr>
            <w:rStyle w:val="Hyperlink"/>
            <w:szCs w:val="22"/>
          </w:rPr>
          <w:t>Public submissions on scheduling matters</w:t>
        </w:r>
      </w:hyperlink>
      <w:r w:rsidRPr="00CE3D9B">
        <w:rPr>
          <w:szCs w:val="22"/>
        </w:rPr>
        <w:t>, unless marked confidential or indicated otherwise.</w:t>
      </w:r>
    </w:p>
    <w:p w14:paraId="1BC4392B" w14:textId="423E8C1D" w:rsidR="003A1FD3" w:rsidRDefault="004D74CA" w:rsidP="00FB59CE">
      <w:pPr>
        <w:rPr>
          <w:szCs w:val="22"/>
        </w:rPr>
      </w:pPr>
      <w:r w:rsidRPr="00CE3D9B">
        <w:rPr>
          <w:szCs w:val="22"/>
        </w:rPr>
        <w:t>Following consideration of public submissions received before the closing date a</w:t>
      </w:r>
      <w:r w:rsidRPr="00196568">
        <w:rPr>
          <w:szCs w:val="22"/>
        </w:rPr>
        <w:t xml:space="preserve">nd advice from the expert advisory committee, decisions on the proposed amendments will be published as interim decisions on the TGA website: </w:t>
      </w:r>
      <w:hyperlink r:id="rId84" w:history="1">
        <w:r w:rsidRPr="00CE3D9B">
          <w:rPr>
            <w:rStyle w:val="Hyperlink"/>
            <w:szCs w:val="22"/>
          </w:rPr>
          <w:t>Scheduling delegate's interim decisions &amp; invitations for further comment</w:t>
        </w:r>
      </w:hyperlink>
      <w:r w:rsidRPr="00CE3D9B">
        <w:rPr>
          <w:szCs w:val="22"/>
        </w:rPr>
        <w:t xml:space="preserve"> in </w:t>
      </w:r>
      <w:r w:rsidRPr="00CE3D9B">
        <w:rPr>
          <w:b/>
          <w:szCs w:val="22"/>
        </w:rPr>
        <w:t>September 2021</w:t>
      </w:r>
      <w:r w:rsidRPr="00CE3D9B">
        <w:rPr>
          <w:szCs w:val="22"/>
        </w:rPr>
        <w:t>.</w:t>
      </w:r>
    </w:p>
    <w:p w14:paraId="37B25EF5" w14:textId="77777777" w:rsidR="003A1FD3" w:rsidRDefault="003A1FD3" w:rsidP="003A1FD3">
      <w:pPr>
        <w:pStyle w:val="Heading2"/>
        <w:pageBreakBefore w:val="0"/>
      </w:pPr>
      <w:bookmarkStart w:id="55" w:name="_Toc69382122"/>
      <w:bookmarkStart w:id="56" w:name="_Toc71182243"/>
      <w:r>
        <w:t>Enquiries</w:t>
      </w:r>
      <w:bookmarkEnd w:id="55"/>
      <w:bookmarkEnd w:id="56"/>
    </w:p>
    <w:p w14:paraId="50F1A708" w14:textId="77777777" w:rsidR="003A1FD3" w:rsidRDefault="003A1FD3" w:rsidP="003A1FD3">
      <w:r>
        <w:t xml:space="preserve">Any questions relating to submissions should be directed by email to </w:t>
      </w:r>
      <w:hyperlink r:id="rId85" w:history="1">
        <w:r>
          <w:rPr>
            <w:rStyle w:val="Hyperlink"/>
          </w:rPr>
          <w:t>medicines.scheduling@health.gov.au</w:t>
        </w:r>
      </w:hyperlink>
    </w:p>
    <w:p w14:paraId="61A1C96D" w14:textId="40231636" w:rsidR="003A1FD3" w:rsidRDefault="003A1FD3" w:rsidP="003A1FD3">
      <w:pPr>
        <w:spacing w:before="0" w:after="0" w:line="240" w:lineRule="auto"/>
      </w:pPr>
    </w:p>
    <w:p w14:paraId="1D17F959" w14:textId="77777777" w:rsidR="00063495" w:rsidRDefault="00063495" w:rsidP="003A1FD3">
      <w:pPr>
        <w:spacing w:before="0" w:after="0" w:line="240" w:lineRule="auto"/>
        <w:sectPr w:rsidR="00063495" w:rsidSect="003A1FD3">
          <w:footnotePr>
            <w:numRestart w:val="eachSect"/>
          </w:footnotePr>
          <w:type w:val="continuous"/>
          <w:pgSz w:w="11906" w:h="16838"/>
          <w:pgMar w:top="1530" w:right="1418" w:bottom="1361" w:left="1418" w:header="998" w:footer="283" w:gutter="0"/>
          <w:cols w:space="720"/>
        </w:sectPr>
      </w:pPr>
    </w:p>
    <w:p w14:paraId="6BDF0E41" w14:textId="77777777" w:rsidR="0084580B" w:rsidRPr="00684E81" w:rsidRDefault="0084580B" w:rsidP="005E16BA">
      <w:pPr>
        <w:pStyle w:val="Footer"/>
        <w:rPr>
          <w:sz w:val="22"/>
          <w:szCs w:val="22"/>
        </w:rPr>
      </w:pPr>
    </w:p>
    <w:sectPr w:rsidR="0084580B" w:rsidRPr="00684E81" w:rsidSect="00F8404D">
      <w:headerReference w:type="first" r:id="rId86"/>
      <w:footerReference w:type="first" r:id="rId87"/>
      <w:type w:val="continuous"/>
      <w:pgSz w:w="11906" w:h="16838" w:code="9"/>
      <w:pgMar w:top="13718" w:right="1701" w:bottom="709" w:left="1701" w:header="113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AFC5" w14:textId="77777777" w:rsidR="002B1FB5" w:rsidRDefault="002B1FB5" w:rsidP="00C40A36">
      <w:pPr>
        <w:spacing w:after="0"/>
      </w:pPr>
      <w:r>
        <w:separator/>
      </w:r>
    </w:p>
    <w:p w14:paraId="428D1C97" w14:textId="77777777" w:rsidR="002B1FB5" w:rsidRDefault="002B1FB5"/>
  </w:endnote>
  <w:endnote w:type="continuationSeparator" w:id="0">
    <w:p w14:paraId="0DEE48B8" w14:textId="77777777" w:rsidR="002B1FB5" w:rsidRDefault="002B1FB5" w:rsidP="00C40A36">
      <w:pPr>
        <w:spacing w:after="0"/>
      </w:pPr>
      <w:r>
        <w:continuationSeparator/>
      </w:r>
    </w:p>
    <w:p w14:paraId="09686D93" w14:textId="77777777" w:rsidR="002B1FB5" w:rsidRDefault="002B1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F41B" w14:textId="77777777" w:rsidR="002B1FB5" w:rsidRDefault="002B1FB5" w:rsidP="00A3654F">
    <w:pPr>
      <w:pStyle w:val="Footer"/>
      <w:tabs>
        <w:tab w:val="left" w:pos="7620"/>
        <w:tab w:val="right" w:pos="8504"/>
      </w:tabs>
      <w:rPr>
        <w:lang w:eastAsia="en-AU"/>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417"/>
    </w:tblGrid>
    <w:tr w:rsidR="002B1FB5" w:rsidRPr="00257138" w14:paraId="2ED96BC6" w14:textId="77777777" w:rsidTr="00074B69">
      <w:trPr>
        <w:trHeight w:val="423"/>
      </w:trPr>
      <w:tc>
        <w:tcPr>
          <w:tcW w:w="7230" w:type="dxa"/>
          <w:tcBorders>
            <w:top w:val="single" w:sz="4" w:space="0" w:color="auto"/>
          </w:tcBorders>
        </w:tcPr>
        <w:p w14:paraId="3DD17199" w14:textId="77777777" w:rsidR="002B1FB5" w:rsidRDefault="002B1FB5" w:rsidP="008D4740">
          <w:pPr>
            <w:pStyle w:val="Footer"/>
          </w:pPr>
        </w:p>
        <w:p w14:paraId="26FFC07E" w14:textId="3E83B152" w:rsidR="002B1FB5" w:rsidRPr="00257138" w:rsidRDefault="002B1FB5" w:rsidP="008637DD">
          <w:pPr>
            <w:pStyle w:val="Footer"/>
            <w:ind w:right="-1000"/>
          </w:pPr>
          <w:r w:rsidRPr="008637DD">
            <w:t>Consultation: Pro</w:t>
          </w:r>
          <w:r>
            <w:t>posed amendments to the Poisons Standard – ACC</w:t>
          </w:r>
          <w:r w:rsidRPr="008637DD">
            <w:t>S, June 2021</w:t>
          </w:r>
        </w:p>
      </w:tc>
      <w:tc>
        <w:tcPr>
          <w:tcW w:w="1417" w:type="dxa"/>
          <w:tcBorders>
            <w:top w:val="single" w:sz="4" w:space="0" w:color="auto"/>
          </w:tcBorders>
        </w:tcPr>
        <w:sdt>
          <w:sdtPr>
            <w:id w:val="3702144"/>
            <w:docPartObj>
              <w:docPartGallery w:val="Page Numbers (Top of Page)"/>
              <w:docPartUnique/>
            </w:docPartObj>
          </w:sdtPr>
          <w:sdtEndPr/>
          <w:sdtContent>
            <w:p w14:paraId="3C88674F" w14:textId="77777777" w:rsidR="002B1FB5" w:rsidRDefault="002B1FB5" w:rsidP="008D4740">
              <w:pPr>
                <w:pStyle w:val="Footer"/>
                <w:jc w:val="right"/>
              </w:pPr>
            </w:p>
            <w:p w14:paraId="57F00AC1" w14:textId="79D8141A" w:rsidR="002B1FB5" w:rsidRPr="00257138" w:rsidRDefault="002B1FB5" w:rsidP="008D4740">
              <w:pPr>
                <w:pStyle w:val="Footer"/>
                <w:jc w:val="right"/>
              </w:pPr>
              <w:r w:rsidRPr="00257138">
                <w:t xml:space="preserve">Page </w:t>
              </w:r>
              <w:r>
                <w:fldChar w:fldCharType="begin"/>
              </w:r>
              <w:r>
                <w:instrText xml:space="preserve"> PAGE </w:instrText>
              </w:r>
              <w:r>
                <w:fldChar w:fldCharType="separate"/>
              </w:r>
              <w:r w:rsidR="00D5395A">
                <w:rPr>
                  <w:noProof/>
                </w:rPr>
                <w:t>6</w:t>
              </w:r>
              <w:r>
                <w:rPr>
                  <w:noProof/>
                </w:rPr>
                <w:fldChar w:fldCharType="end"/>
              </w:r>
              <w:r w:rsidRPr="00257138">
                <w:t xml:space="preserve"> of </w:t>
              </w:r>
              <w:r w:rsidR="00D5395A">
                <w:fldChar w:fldCharType="begin"/>
              </w:r>
              <w:r w:rsidR="00D5395A">
                <w:instrText xml:space="preserve"> NUMPAGES  </w:instrText>
              </w:r>
              <w:r w:rsidR="00D5395A">
                <w:fldChar w:fldCharType="separate"/>
              </w:r>
              <w:r w:rsidR="00D5395A">
                <w:rPr>
                  <w:noProof/>
                </w:rPr>
                <w:t>24</w:t>
              </w:r>
              <w:r w:rsidR="00D5395A">
                <w:rPr>
                  <w:noProof/>
                </w:rPr>
                <w:fldChar w:fldCharType="end"/>
              </w:r>
            </w:p>
          </w:sdtContent>
        </w:sdt>
      </w:tc>
    </w:tr>
  </w:tbl>
  <w:p w14:paraId="033040CC" w14:textId="77777777" w:rsidR="002B1FB5" w:rsidRPr="00826007" w:rsidRDefault="002B1FB5"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9C01" w14:textId="77777777" w:rsidR="002B1FB5" w:rsidRDefault="002B1FB5"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368C" w14:textId="77777777" w:rsidR="002B1FB5" w:rsidRPr="00F8404D" w:rsidRDefault="002B1FB5" w:rsidP="00F8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7177" w14:textId="77777777" w:rsidR="002B1FB5" w:rsidRDefault="002B1FB5" w:rsidP="00FE1941">
      <w:pPr>
        <w:spacing w:after="0"/>
      </w:pPr>
      <w:r>
        <w:separator/>
      </w:r>
    </w:p>
  </w:footnote>
  <w:footnote w:type="continuationSeparator" w:id="0">
    <w:p w14:paraId="0238C5D0" w14:textId="77777777" w:rsidR="002B1FB5" w:rsidRDefault="002B1FB5" w:rsidP="00C40A36">
      <w:pPr>
        <w:spacing w:after="0"/>
      </w:pPr>
      <w:r>
        <w:continuationSeparator/>
      </w:r>
    </w:p>
    <w:p w14:paraId="57096D44" w14:textId="77777777" w:rsidR="002B1FB5" w:rsidRDefault="002B1FB5"/>
  </w:footnote>
  <w:footnote w:id="1">
    <w:p w14:paraId="1E5CF143" w14:textId="77777777" w:rsidR="002B1FB5" w:rsidRDefault="002B1FB5" w:rsidP="00684E81">
      <w:pPr>
        <w:pStyle w:val="FootnoteText"/>
      </w:pPr>
      <w:r>
        <w:rPr>
          <w:rStyle w:val="FootnoteReference"/>
        </w:rPr>
        <w:footnoteRef/>
      </w:r>
      <w:r>
        <w:t xml:space="preserve"> </w:t>
      </w:r>
      <w:r w:rsidRPr="00C81411">
        <w:t>TGA Ingredient Database</w:t>
      </w:r>
      <w:r>
        <w:t xml:space="preserve"> </w:t>
      </w:r>
      <w:hyperlink r:id="rId1" w:history="1">
        <w:r w:rsidRPr="00C81411">
          <w:rPr>
            <w:rStyle w:val="Hyperlink"/>
            <w:color w:val="002C47" w:themeColor="text2"/>
          </w:rPr>
          <w:t>https://www.ebs.tga.gov.au/</w:t>
        </w:r>
      </w:hyperlink>
    </w:p>
  </w:footnote>
  <w:footnote w:id="2">
    <w:p w14:paraId="3304DFAB" w14:textId="5E5DADD8" w:rsidR="002B1FB5" w:rsidRDefault="002B1FB5" w:rsidP="00D93B74">
      <w:pPr>
        <w:pStyle w:val="FootnoteText"/>
      </w:pPr>
      <w:r>
        <w:rPr>
          <w:rStyle w:val="FootnoteReference"/>
        </w:rPr>
        <w:t>1</w:t>
      </w:r>
      <w:r>
        <w:t xml:space="preserve"> </w:t>
      </w:r>
      <w:r w:rsidRPr="00C81411">
        <w:t>TGA Ingredient Database</w:t>
      </w:r>
      <w:r>
        <w:t xml:space="preserve"> </w:t>
      </w:r>
      <w:hyperlink r:id="rId2" w:history="1">
        <w:r w:rsidRPr="00C81411">
          <w:rPr>
            <w:rStyle w:val="Hyperlink"/>
            <w:color w:val="002C47" w:themeColor="text2"/>
          </w:rPr>
          <w:t>https://www.ebs.tga.gov.au/</w:t>
        </w:r>
      </w:hyperlink>
    </w:p>
    <w:p w14:paraId="73AD043C" w14:textId="38FF3E46" w:rsidR="002B1FB5" w:rsidRDefault="002B1FB5" w:rsidP="00D93B74">
      <w:pPr>
        <w:pStyle w:val="FootnoteText"/>
      </w:pPr>
      <w:r>
        <w:rPr>
          <w:rStyle w:val="FootnoteReference"/>
        </w:rPr>
        <w:footnoteRef/>
      </w:r>
      <w:r>
        <w:t xml:space="preserve"> ARTG database </w:t>
      </w:r>
      <w:hyperlink r:id="rId3" w:history="1">
        <w:r w:rsidRPr="00025BAA">
          <w:rPr>
            <w:rStyle w:val="Hyperlink"/>
          </w:rPr>
          <w:t>https://www.tga.gov.au/artg</w:t>
        </w:r>
      </w:hyperlink>
      <w:r>
        <w:t xml:space="preserve"> </w:t>
      </w:r>
    </w:p>
  </w:footnote>
  <w:footnote w:id="3">
    <w:p w14:paraId="6095F4EE" w14:textId="77777777" w:rsidR="002B1FB5" w:rsidRDefault="002B1FB5" w:rsidP="005F0424">
      <w:pPr>
        <w:pStyle w:val="FootnoteText"/>
      </w:pPr>
      <w:r>
        <w:rPr>
          <w:rStyle w:val="FootnoteReference"/>
        </w:rPr>
        <w:footnoteRef/>
      </w:r>
      <w:r>
        <w:t xml:space="preserve"> </w:t>
      </w:r>
      <w:r w:rsidRPr="007F3638">
        <w:t>Therapeutic Goods (Permissible Ingredients) Determination</w:t>
      </w:r>
      <w:r>
        <w:t xml:space="preserve"> </w:t>
      </w:r>
      <w:hyperlink r:id="rId4" w:history="1">
        <w:r w:rsidRPr="00C51833">
          <w:rPr>
            <w:rStyle w:val="Hyperlink"/>
          </w:rPr>
          <w:t>https://www.legislation.gov.au/Search/Therapeutic%20Goods%20$LB$Permissible%20Ingredients$RB$%20Determination</w:t>
        </w:r>
      </w:hyperlink>
      <w:r>
        <w:t xml:space="preserve"> </w:t>
      </w:r>
    </w:p>
  </w:footnote>
  <w:footnote w:id="4">
    <w:p w14:paraId="370D40AF" w14:textId="77777777" w:rsidR="002B1FB5" w:rsidRPr="002F1C5C" w:rsidRDefault="002B1FB5" w:rsidP="00684E81">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5" w:history="1">
        <w:r w:rsidRPr="00E974A4">
          <w:rPr>
            <w:rStyle w:val="Hyperlink"/>
            <w:szCs w:val="16"/>
          </w:rPr>
          <w:t>https://www.tga.gov.au/prescribing-medicines-pregnancy-database</w:t>
        </w:r>
      </w:hyperlink>
      <w:r>
        <w:rPr>
          <w:szCs w:val="16"/>
        </w:rPr>
        <w:t xml:space="preserve"> </w:t>
      </w:r>
    </w:p>
  </w:footnote>
  <w:footnote w:id="5">
    <w:p w14:paraId="505F94C6" w14:textId="77777777" w:rsidR="002B1FB5" w:rsidRDefault="002B1FB5" w:rsidP="00684E81">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6" w:history="1">
        <w:r w:rsidRPr="00FC5165">
          <w:rPr>
            <w:rStyle w:val="Hyperlink"/>
          </w:rPr>
          <w:t>https://www.legislation.gov.au/Details/F2019L00213</w:t>
        </w:r>
      </w:hyperlink>
      <w:r>
        <w:t xml:space="preserve"> </w:t>
      </w:r>
    </w:p>
  </w:footnote>
  <w:footnote w:id="6">
    <w:p w14:paraId="67A60B77" w14:textId="77777777" w:rsidR="002B1FB5" w:rsidRDefault="002B1FB5" w:rsidP="005F0424">
      <w:pPr>
        <w:pStyle w:val="FootnoteText"/>
      </w:pPr>
      <w:r>
        <w:rPr>
          <w:rStyle w:val="FootnoteReference"/>
        </w:rPr>
        <w:footnoteRef/>
      </w:r>
      <w:r>
        <w:t xml:space="preserve"> </w:t>
      </w:r>
      <w:r w:rsidRPr="00C81411">
        <w:t>Database of Adverse Event Notifications (DAEN)</w:t>
      </w:r>
      <w:r>
        <w:t xml:space="preserve">  </w:t>
      </w:r>
      <w:hyperlink r:id="rId7" w:history="1">
        <w:r w:rsidRPr="007C3A78">
          <w:rPr>
            <w:rStyle w:val="Hyperlink"/>
          </w:rPr>
          <w:t>https://apps.tga.gov.au/Prod/daen/daen-entry.aspx</w:t>
        </w:r>
      </w:hyperlink>
      <w:r>
        <w:t xml:space="preserve"> </w:t>
      </w:r>
    </w:p>
  </w:footnote>
  <w:footnote w:id="7">
    <w:p w14:paraId="6812D04F" w14:textId="77777777" w:rsidR="002B1FB5" w:rsidRDefault="002B1FB5" w:rsidP="005F0424">
      <w:pPr>
        <w:pStyle w:val="FootnoteText"/>
      </w:pPr>
      <w:r>
        <w:rPr>
          <w:rStyle w:val="FootnoteReference"/>
        </w:rPr>
        <w:footnoteRef/>
      </w:r>
      <w:r>
        <w:t xml:space="preserve"> </w:t>
      </w:r>
      <w:r w:rsidRPr="00F53A0E">
        <w:t>Public Chemical Registration Information System Search (PubCRIS)</w:t>
      </w:r>
      <w:r>
        <w:t xml:space="preserve"> </w:t>
      </w:r>
      <w:hyperlink r:id="rId8" w:history="1">
        <w:r w:rsidRPr="007C3A78">
          <w:rPr>
            <w:rStyle w:val="Hyperlink"/>
          </w:rPr>
          <w:t>https://portal.apvma.gov.au/pubcris</w:t>
        </w:r>
      </w:hyperlink>
      <w:r>
        <w:t xml:space="preserve"> </w:t>
      </w:r>
    </w:p>
  </w:footnote>
  <w:footnote w:id="8">
    <w:p w14:paraId="34CE5F1C" w14:textId="3C8B8C9C" w:rsidR="002B1FB5" w:rsidRDefault="002B1FB5" w:rsidP="005F0424">
      <w:pPr>
        <w:pStyle w:val="FootnoteText"/>
      </w:pPr>
      <w:r>
        <w:rPr>
          <w:rStyle w:val="FootnoteReference"/>
        </w:rPr>
        <w:footnoteRef/>
      </w:r>
      <w:r>
        <w:t xml:space="preserve"> </w:t>
      </w:r>
      <w:r w:rsidRPr="00361C74">
        <w:t xml:space="preserve">APVMA Adverse Experience Reporting </w:t>
      </w:r>
      <w:r w:rsidRPr="00F26D74">
        <w:t>Program</w:t>
      </w:r>
      <w:r w:rsidRPr="00074B69">
        <w:rPr>
          <w:rStyle w:val="Hyperlink"/>
          <w:color w:val="auto"/>
          <w:u w:val="none"/>
        </w:rPr>
        <w:t xml:space="preserve"> database (AERP)</w:t>
      </w:r>
      <w:r w:rsidRPr="003A1FD3">
        <w:t xml:space="preserve"> </w:t>
      </w:r>
      <w:hyperlink r:id="rId9" w:history="1">
        <w:r w:rsidRPr="00417A9C">
          <w:rPr>
            <w:rStyle w:val="Hyperlink"/>
          </w:rPr>
          <w:t>https://apvma.gov.au/node/10946</w:t>
        </w:r>
      </w:hyperlink>
      <w:r>
        <w:rPr>
          <w:rStyle w:val="Hyperlink"/>
          <w:sz w:val="22"/>
        </w:rPr>
        <w:br/>
      </w:r>
    </w:p>
  </w:footnote>
  <w:footnote w:id="9">
    <w:p w14:paraId="7E53240B" w14:textId="7DAC02E2" w:rsidR="002B1FB5" w:rsidRDefault="002B1FB5">
      <w:pPr>
        <w:pStyle w:val="FootnoteText"/>
      </w:pPr>
      <w:r>
        <w:rPr>
          <w:rStyle w:val="FootnoteReference"/>
        </w:rPr>
        <w:footnoteRef/>
      </w:r>
      <w:r>
        <w:t xml:space="preserve">  Australian Industrial Chemicals Introduction Scheme – Lead acetates: Health tier III assessment </w:t>
      </w:r>
      <w:hyperlink r:id="rId10" w:history="1">
        <w:r w:rsidRPr="004841FB">
          <w:rPr>
            <w:rStyle w:val="Hyperlink"/>
          </w:rPr>
          <w:t>https://www.industrialchemicals.gov.au/sites/default/files/Lead%20acetates_%20Human%20health%20tier%20III%20assessment.pdf</w:t>
        </w:r>
      </w:hyperlink>
    </w:p>
  </w:footnote>
  <w:footnote w:id="10">
    <w:p w14:paraId="747D5EDC" w14:textId="77777777" w:rsidR="002B1FB5" w:rsidRDefault="002B1FB5" w:rsidP="006F5FD7">
      <w:pPr>
        <w:pStyle w:val="FootnoteText"/>
      </w:pPr>
      <w:r>
        <w:rPr>
          <w:rStyle w:val="FootnoteReference"/>
        </w:rPr>
        <w:footnoteRef/>
      </w:r>
      <w:r>
        <w:t xml:space="preserve"> </w:t>
      </w:r>
      <w:r w:rsidRPr="007F3638">
        <w:t xml:space="preserve">Therapeutic Goods (Permissible Ingredients) Determination  </w:t>
      </w:r>
      <w:hyperlink r:id="rId11" w:history="1">
        <w:r w:rsidRPr="007C3A78">
          <w:rPr>
            <w:rStyle w:val="Hyperlink"/>
          </w:rPr>
          <w:t>https://www.legislation.gov.au/Search/Therapeutic%20Goods%20$LB$Permissible%20Ingredients$RB$%20Determination</w:t>
        </w:r>
      </w:hyperlink>
      <w:r>
        <w:t xml:space="preserve"> </w:t>
      </w:r>
    </w:p>
  </w:footnote>
  <w:footnote w:id="11">
    <w:p w14:paraId="08AD1609" w14:textId="77777777" w:rsidR="002B1FB5" w:rsidRPr="002F1C5C" w:rsidRDefault="002B1FB5" w:rsidP="006F5FD7">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12" w:history="1">
        <w:r w:rsidRPr="00E974A4">
          <w:rPr>
            <w:rStyle w:val="Hyperlink"/>
            <w:szCs w:val="16"/>
          </w:rPr>
          <w:t>https://www.tga.gov.au/prescribing-medicines-pregnancy-database</w:t>
        </w:r>
      </w:hyperlink>
      <w:r>
        <w:rPr>
          <w:szCs w:val="16"/>
        </w:rPr>
        <w:t xml:space="preserve"> </w:t>
      </w:r>
    </w:p>
  </w:footnote>
  <w:footnote w:id="12">
    <w:p w14:paraId="73331156" w14:textId="77777777" w:rsidR="002B1FB5" w:rsidRDefault="002B1FB5" w:rsidP="006F5FD7">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13" w:history="1">
        <w:r w:rsidRPr="00FC5165">
          <w:rPr>
            <w:rStyle w:val="Hyperlink"/>
          </w:rPr>
          <w:t>https://www.legislation.gov.au/Details/F2019L00213</w:t>
        </w:r>
      </w:hyperlink>
      <w:r>
        <w:t xml:space="preserve"> </w:t>
      </w:r>
    </w:p>
  </w:footnote>
  <w:footnote w:id="13">
    <w:p w14:paraId="092D07AE" w14:textId="77777777" w:rsidR="002B1FB5" w:rsidRDefault="002B1FB5" w:rsidP="006F5FD7">
      <w:pPr>
        <w:pStyle w:val="FootnoteText"/>
      </w:pPr>
      <w:r>
        <w:rPr>
          <w:rStyle w:val="FootnoteReference"/>
        </w:rPr>
        <w:footnoteRef/>
      </w:r>
      <w:r>
        <w:t xml:space="preserve"> </w:t>
      </w:r>
      <w:r w:rsidRPr="00C81411">
        <w:t>Database of Adverse Event Notifications (DAEN)</w:t>
      </w:r>
      <w:r>
        <w:t xml:space="preserve">  </w:t>
      </w:r>
      <w:hyperlink r:id="rId14" w:history="1">
        <w:r w:rsidRPr="007C3A78">
          <w:rPr>
            <w:rStyle w:val="Hyperlink"/>
          </w:rPr>
          <w:t>https://apps.tga.gov.au/Prod/daen/daen-entry.aspx</w:t>
        </w:r>
      </w:hyperlink>
      <w:r>
        <w:t xml:space="preserve"> </w:t>
      </w:r>
    </w:p>
  </w:footnote>
  <w:footnote w:id="14">
    <w:p w14:paraId="1F8C665F" w14:textId="77777777" w:rsidR="002B1FB5" w:rsidRDefault="002B1FB5" w:rsidP="006F5FD7">
      <w:pPr>
        <w:pStyle w:val="FootnoteText"/>
      </w:pPr>
      <w:r>
        <w:rPr>
          <w:rStyle w:val="FootnoteReference"/>
        </w:rPr>
        <w:footnoteRef/>
      </w:r>
      <w:r>
        <w:t xml:space="preserve"> </w:t>
      </w:r>
      <w:r w:rsidRPr="00F53A0E">
        <w:t>Public Chemical Registration Information System Search (PubCRIS)</w:t>
      </w:r>
      <w:r>
        <w:t xml:space="preserve"> </w:t>
      </w:r>
      <w:hyperlink r:id="rId15" w:history="1">
        <w:r w:rsidRPr="007C3A78">
          <w:rPr>
            <w:rStyle w:val="Hyperlink"/>
          </w:rPr>
          <w:t>https://portal.apvma.gov.au/pubcris</w:t>
        </w:r>
      </w:hyperlink>
      <w:r>
        <w:t xml:space="preserve"> </w:t>
      </w:r>
    </w:p>
  </w:footnote>
  <w:footnote w:id="15">
    <w:p w14:paraId="683FFAEA" w14:textId="77777777" w:rsidR="002B1FB5" w:rsidRDefault="002B1FB5" w:rsidP="006F5FD7">
      <w:pPr>
        <w:pStyle w:val="FootnoteText"/>
      </w:pPr>
      <w:r>
        <w:rPr>
          <w:rStyle w:val="FootnoteReference"/>
        </w:rPr>
        <w:footnoteRef/>
      </w:r>
      <w:r>
        <w:t xml:space="preserve"> </w:t>
      </w:r>
      <w:r w:rsidRPr="00361C74">
        <w:t>APVMA Adverse Experience Reporting Program</w:t>
      </w:r>
      <w:r w:rsidRPr="00E611AB">
        <w:rPr>
          <w:rStyle w:val="Hyperlink"/>
          <w:color w:val="auto"/>
          <w:u w:val="none"/>
        </w:rPr>
        <w:t xml:space="preserve"> database (AERP)</w:t>
      </w:r>
      <w:r w:rsidRPr="00E611AB">
        <w:t xml:space="preserve"> </w:t>
      </w:r>
      <w:hyperlink r:id="rId16" w:history="1">
        <w:r w:rsidRPr="000B6EAA">
          <w:rPr>
            <w:rStyle w:val="Hyperlink"/>
          </w:rPr>
          <w:t>https://apvma.gov.au/node/10946</w:t>
        </w:r>
      </w:hyperlink>
      <w:r>
        <w:t xml:space="preserve"> </w:t>
      </w:r>
    </w:p>
  </w:footnote>
  <w:footnote w:id="16">
    <w:p w14:paraId="7989C9E2" w14:textId="77777777" w:rsidR="002B1FB5" w:rsidRDefault="002B1FB5" w:rsidP="006F5FD7">
      <w:pPr>
        <w:pStyle w:val="FootnoteText"/>
      </w:pPr>
      <w:r>
        <w:rPr>
          <w:rStyle w:val="FootnoteReference"/>
        </w:rPr>
        <w:footnoteRef/>
      </w:r>
      <w:r>
        <w:t xml:space="preserve"> US FDA Approved Drugs </w:t>
      </w:r>
      <w:hyperlink r:id="rId17" w:history="1">
        <w:r w:rsidRPr="00E611AB">
          <w:rPr>
            <w:rStyle w:val="Hyperlink"/>
          </w:rPr>
          <w:t>www.accessdata.fda.gov/scripts/cder/daf/</w:t>
        </w:r>
      </w:hyperlink>
    </w:p>
  </w:footnote>
  <w:footnote w:id="17">
    <w:p w14:paraId="3612CC01" w14:textId="77777777" w:rsidR="002B1FB5" w:rsidRDefault="002B1FB5" w:rsidP="006F5FD7">
      <w:pPr>
        <w:pStyle w:val="FootnoteText"/>
      </w:pPr>
      <w:r>
        <w:rPr>
          <w:rStyle w:val="FootnoteReference"/>
        </w:rPr>
        <w:footnoteRef/>
      </w:r>
      <w:r>
        <w:t xml:space="preserve"> European Commission database for cosmetic substances and ingredients </w:t>
      </w:r>
      <w:hyperlink r:id="rId18" w:history="1">
        <w:r w:rsidRPr="00E611AB">
          <w:rPr>
            <w:rStyle w:val="Hyperlink"/>
          </w:rPr>
          <w:t>ec.europa.eu/growth/tools-databases/cosing/</w:t>
        </w:r>
      </w:hyperlink>
    </w:p>
  </w:footnote>
  <w:footnote w:id="18">
    <w:p w14:paraId="781AB8BE" w14:textId="3CA5FA68" w:rsidR="002B1FB5" w:rsidRDefault="002B1FB5">
      <w:pPr>
        <w:pStyle w:val="FootnoteText"/>
      </w:pPr>
      <w:r>
        <w:rPr>
          <w:rStyle w:val="FootnoteReference"/>
        </w:rPr>
        <w:footnoteRef/>
      </w:r>
      <w:r>
        <w:t xml:space="preserve"> </w:t>
      </w:r>
      <w:r w:rsidRPr="006A1230">
        <w:t>Medsafe Medicines Classification Database </w:t>
      </w:r>
      <w:hyperlink r:id="rId19" w:tgtFrame="_blank" w:tooltip="link to the Medsafe website" w:history="1">
        <w:r w:rsidRPr="005E751E">
          <w:rPr>
            <w:rStyle w:val="Hyperlink"/>
          </w:rPr>
          <w:t>h</w:t>
        </w:r>
        <w:r w:rsidRPr="006A1230">
          <w:rPr>
            <w:rStyle w:val="Hyperlink"/>
          </w:rPr>
          <w:t>ttps://www.medsafe.govt.nz/profs/class/classintro.asp</w:t>
        </w:r>
      </w:hyperlink>
    </w:p>
  </w:footnote>
  <w:footnote w:id="19">
    <w:p w14:paraId="0A29013B" w14:textId="77777777" w:rsidR="002B1FB5" w:rsidRDefault="002B1FB5" w:rsidP="006F5FD7">
      <w:pPr>
        <w:pStyle w:val="FootnoteText"/>
      </w:pPr>
      <w:r>
        <w:rPr>
          <w:rStyle w:val="FootnoteReference"/>
        </w:rPr>
        <w:footnoteRef/>
      </w:r>
      <w:r>
        <w:t xml:space="preserve"> Medsafe database </w:t>
      </w:r>
      <w:hyperlink r:id="rId20" w:history="1">
        <w:r w:rsidRPr="00E611AB">
          <w:rPr>
            <w:rStyle w:val="Hyperlink"/>
          </w:rPr>
          <w:t>www.medsafe.govt.nz/profs/class/classintro.asp</w:t>
        </w:r>
      </w:hyperlink>
    </w:p>
  </w:footnote>
  <w:footnote w:id="20">
    <w:p w14:paraId="6220F71E" w14:textId="77777777" w:rsidR="002B1FB5" w:rsidRDefault="002B1FB5" w:rsidP="006F5FD7">
      <w:pPr>
        <w:pStyle w:val="FootnoteText"/>
      </w:pPr>
      <w:r>
        <w:rPr>
          <w:rStyle w:val="FootnoteReference"/>
        </w:rPr>
        <w:footnoteRef/>
      </w:r>
      <w:r>
        <w:t xml:space="preserve"> New Zealand Inventory of Chemicals (NZIoC) </w:t>
      </w:r>
      <w:hyperlink r:id="rId21" w:history="1">
        <w:r w:rsidRPr="00E611AB">
          <w:rPr>
            <w:rStyle w:val="Hyperlink"/>
          </w:rPr>
          <w:t>www.epa.govt.nz/database-search/new-zealand-inventory-of-chemicals-nzioc/</w:t>
        </w:r>
      </w:hyperlink>
    </w:p>
  </w:footnote>
  <w:footnote w:id="21">
    <w:p w14:paraId="1253A848" w14:textId="7BD37231" w:rsidR="002B1FB5" w:rsidRPr="00063495" w:rsidRDefault="002B1FB5" w:rsidP="00063495">
      <w:pPr>
        <w:spacing w:before="0"/>
        <w:rPr>
          <w:sz w:val="20"/>
        </w:rPr>
      </w:pPr>
      <w:r w:rsidRPr="00063495">
        <w:rPr>
          <w:rStyle w:val="FootnoteReference"/>
          <w:sz w:val="20"/>
        </w:rPr>
        <w:footnoteRef/>
      </w:r>
      <w:r w:rsidRPr="00063495">
        <w:rPr>
          <w:sz w:val="20"/>
        </w:rPr>
        <w:t xml:space="preserve"> Health Canada Drug Product Database </w:t>
      </w:r>
      <w:hyperlink r:id="rId22" w:history="1">
        <w:r w:rsidRPr="00063495">
          <w:rPr>
            <w:rStyle w:val="Hyperlink"/>
            <w:sz w:val="20"/>
          </w:rPr>
          <w:t>www.canada.ca/en/health-canada/services/drugs-health-products/drug-products/drug-product-database.html</w:t>
        </w:r>
      </w:hyperlink>
    </w:p>
  </w:footnote>
  <w:footnote w:id="22">
    <w:p w14:paraId="29D75726" w14:textId="642F6868" w:rsidR="002B1FB5" w:rsidRDefault="002B1FB5">
      <w:pPr>
        <w:pStyle w:val="FootnoteText"/>
      </w:pPr>
      <w:r>
        <w:rPr>
          <w:rStyle w:val="FootnoteReference"/>
        </w:rPr>
        <w:footnoteRef/>
      </w:r>
      <w:r>
        <w:t xml:space="preserve"> </w:t>
      </w:r>
      <w:r w:rsidRPr="007E034D">
        <w:rPr>
          <w:sz w:val="22"/>
          <w:szCs w:val="22"/>
        </w:rPr>
        <w:t>Health Safety Authority</w:t>
      </w:r>
      <w:r>
        <w:rPr>
          <w:sz w:val="22"/>
          <w:szCs w:val="22"/>
        </w:rPr>
        <w:t xml:space="preserve"> </w:t>
      </w:r>
      <w:hyperlink r:id="rId23" w:tgtFrame="_blank" w:tooltip="link to the HSA website" w:history="1">
        <w:r w:rsidRPr="007E034D">
          <w:rPr>
            <w:rStyle w:val="Hyperlink"/>
            <w:sz w:val="22"/>
          </w:rPr>
          <w:t>https://www.hsa.ie/eng/Topics/Business_Licensing_and_Notification_Requirements/Chemica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39259" w14:textId="77777777" w:rsidR="002B1FB5" w:rsidRPr="00920FF4" w:rsidRDefault="002B1FB5" w:rsidP="00920FF4">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20D8" w14:textId="77777777" w:rsidR="002B1FB5" w:rsidRPr="00E32326" w:rsidRDefault="002B1FB5" w:rsidP="00F202AB">
    <w:r w:rsidRPr="00F3255D">
      <w:rPr>
        <w:noProof/>
        <w:lang w:eastAsia="en-AU"/>
      </w:rPr>
      <w:drawing>
        <wp:anchor distT="0" distB="0" distL="114300" distR="114300" simplePos="0" relativeHeight="251659264" behindDoc="0" locked="0" layoutInCell="1" allowOverlap="1" wp14:anchorId="2AC3292E" wp14:editId="1C0F873B">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2B1FB5" w:rsidRPr="00FF7B50" w14:paraId="68E41C3B" w14:textId="77777777" w:rsidTr="003C02CB">
      <w:trPr>
        <w:trHeight w:hRule="exact" w:val="8845"/>
      </w:trPr>
      <w:tc>
        <w:tcPr>
          <w:tcW w:w="11964" w:type="dxa"/>
        </w:tcPr>
        <w:p w14:paraId="4E45DAB4" w14:textId="77777777" w:rsidR="002B1FB5" w:rsidRPr="00FF7B50" w:rsidRDefault="00D5395A" w:rsidP="00AE0320">
          <w:pPr>
            <w:pStyle w:val="Header"/>
            <w:ind w:left="-57"/>
            <w:jc w:val="left"/>
            <w:rPr>
              <w:noProof/>
              <w:lang w:eastAsia="en-AU"/>
            </w:rPr>
          </w:pPr>
          <w:sdt>
            <w:sdtPr>
              <w:rPr>
                <w:noProof/>
                <w:lang w:eastAsia="en-AU"/>
              </w:rPr>
              <w:id w:val="3702145"/>
              <w:showingPlcHdr/>
              <w:picture/>
            </w:sdtPr>
            <w:sdtEndPr/>
            <w:sdtContent>
              <w:r w:rsidR="002B1FB5" w:rsidRPr="00FF7B50">
                <w:rPr>
                  <w:noProof/>
                  <w:lang w:eastAsia="en-AU"/>
                </w:rPr>
                <w:drawing>
                  <wp:inline distT="0" distB="0" distL="0" distR="0" wp14:anchorId="1AC39AC8" wp14:editId="5D15B4E9">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14:paraId="121BF268" w14:textId="77777777" w:rsidR="002B1FB5" w:rsidRPr="00E32326" w:rsidRDefault="002B1FB5" w:rsidP="00F202AB">
    <w:r>
      <w:rPr>
        <w:noProof/>
        <w:lang w:eastAsia="en-AU"/>
      </w:rPr>
      <w:drawing>
        <wp:anchor distT="0" distB="0" distL="114300" distR="114300" simplePos="0" relativeHeight="251657216" behindDoc="0" locked="0" layoutInCell="0" allowOverlap="1" wp14:anchorId="24CA28B6" wp14:editId="7A888E54">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6CCF" w14:textId="77777777" w:rsidR="002B1FB5" w:rsidRPr="009401F6" w:rsidRDefault="002B1FB5" w:rsidP="0047772E"/>
  <w:p w14:paraId="26CF139F" w14:textId="77777777" w:rsidR="002B1FB5" w:rsidRPr="002B0C2E" w:rsidRDefault="002B1FB5" w:rsidP="002B0C2E">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0269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71E06"/>
    <w:multiLevelType w:val="hybridMultilevel"/>
    <w:tmpl w:val="5E6E09F6"/>
    <w:lvl w:ilvl="0" w:tplc="2DD4790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053F11"/>
    <w:multiLevelType w:val="multilevel"/>
    <w:tmpl w:val="575CEDBE"/>
    <w:styleLink w:val="NumberBullet"/>
    <w:lvl w:ilvl="0">
      <w:start w:val="1"/>
      <w:numFmt w:val="decimal"/>
      <w:pStyle w:val="Numberbullet0"/>
      <w:lvlText w:val="%1."/>
      <w:lvlJc w:val="left"/>
      <w:pPr>
        <w:ind w:left="17349" w:hanging="425"/>
      </w:pPr>
      <w:rPr>
        <w:rFonts w:ascii="Cambria" w:hAnsi="Cambria" w:hint="default"/>
      </w:rPr>
    </w:lvl>
    <w:lvl w:ilvl="1">
      <w:start w:val="1"/>
      <w:numFmt w:val="lowerLetter"/>
      <w:pStyle w:val="Numberbullet2"/>
      <w:lvlText w:val="%2."/>
      <w:lvlJc w:val="left"/>
      <w:pPr>
        <w:ind w:left="17775" w:hanging="426"/>
      </w:pPr>
      <w:rPr>
        <w:rFonts w:hint="default"/>
      </w:rPr>
    </w:lvl>
    <w:lvl w:ilvl="2">
      <w:start w:val="1"/>
      <w:numFmt w:val="lowerRoman"/>
      <w:lvlText w:val="%3."/>
      <w:lvlJc w:val="left"/>
      <w:pPr>
        <w:ind w:left="18200" w:hanging="425"/>
      </w:pPr>
      <w:rPr>
        <w:rFonts w:hint="default"/>
      </w:rPr>
    </w:lvl>
    <w:lvl w:ilvl="3">
      <w:start w:val="1"/>
      <w:numFmt w:val="none"/>
      <w:lvlText w:val=""/>
      <w:lvlJc w:val="left"/>
      <w:pPr>
        <w:ind w:left="18200" w:hanging="425"/>
      </w:pPr>
      <w:rPr>
        <w:rFonts w:hint="default"/>
      </w:rPr>
    </w:lvl>
    <w:lvl w:ilvl="4">
      <w:start w:val="1"/>
      <w:numFmt w:val="none"/>
      <w:lvlText w:val=""/>
      <w:lvlJc w:val="left"/>
      <w:pPr>
        <w:ind w:left="18200" w:hanging="425"/>
      </w:pPr>
      <w:rPr>
        <w:rFonts w:hint="default"/>
      </w:rPr>
    </w:lvl>
    <w:lvl w:ilvl="5">
      <w:start w:val="1"/>
      <w:numFmt w:val="none"/>
      <w:lvlText w:val=""/>
      <w:lvlJc w:val="left"/>
      <w:pPr>
        <w:ind w:left="18200" w:hanging="425"/>
      </w:pPr>
      <w:rPr>
        <w:rFonts w:hint="default"/>
      </w:rPr>
    </w:lvl>
    <w:lvl w:ilvl="6">
      <w:start w:val="1"/>
      <w:numFmt w:val="none"/>
      <w:lvlText w:val="%7"/>
      <w:lvlJc w:val="left"/>
      <w:pPr>
        <w:ind w:left="18200" w:hanging="425"/>
      </w:pPr>
      <w:rPr>
        <w:rFonts w:hint="default"/>
      </w:rPr>
    </w:lvl>
    <w:lvl w:ilvl="7">
      <w:start w:val="1"/>
      <w:numFmt w:val="none"/>
      <w:lvlText w:val=""/>
      <w:lvlJc w:val="left"/>
      <w:pPr>
        <w:ind w:left="18200" w:hanging="425"/>
      </w:pPr>
      <w:rPr>
        <w:rFonts w:hint="default"/>
      </w:rPr>
    </w:lvl>
    <w:lvl w:ilvl="8">
      <w:start w:val="1"/>
      <w:numFmt w:val="none"/>
      <w:lvlText w:val=""/>
      <w:lvlJc w:val="left"/>
      <w:pPr>
        <w:ind w:left="18200" w:hanging="425"/>
      </w:pPr>
      <w:rPr>
        <w:rFonts w:hint="default"/>
      </w:rPr>
    </w:lvl>
  </w:abstractNum>
  <w:abstractNum w:abstractNumId="3" w15:restartNumberingAfterBreak="0">
    <w:nsid w:val="11A81D8D"/>
    <w:multiLevelType w:val="hybridMultilevel"/>
    <w:tmpl w:val="CCD0BBDA"/>
    <w:lvl w:ilvl="0" w:tplc="AFD05C3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8F13E9"/>
    <w:multiLevelType w:val="multilevel"/>
    <w:tmpl w:val="2E8637A2"/>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9307F5E"/>
    <w:multiLevelType w:val="hybridMultilevel"/>
    <w:tmpl w:val="A668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A4615"/>
    <w:multiLevelType w:val="hybridMultilevel"/>
    <w:tmpl w:val="1D4A0D70"/>
    <w:lvl w:ilvl="0" w:tplc="EE3AC95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CEF3ACD"/>
    <w:multiLevelType w:val="multilevel"/>
    <w:tmpl w:val="0748BD50"/>
    <w:lvl w:ilvl="0">
      <w:start w:val="1"/>
      <w:numFmt w:val="decimal"/>
      <w:pStyle w:val="Heading2"/>
      <w:lvlText w:val="%1"/>
      <w:lvlJc w:val="left"/>
      <w:pPr>
        <w:ind w:left="432" w:hanging="432"/>
      </w:pPr>
    </w:lvl>
    <w:lvl w:ilvl="1">
      <w:start w:val="1"/>
      <w:numFmt w:val="decimal"/>
      <w:pStyle w:val="Heading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EB1BE1"/>
    <w:multiLevelType w:val="hybridMultilevel"/>
    <w:tmpl w:val="8DFA1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4B2F84"/>
    <w:multiLevelType w:val="hybridMultilevel"/>
    <w:tmpl w:val="1AF4487A"/>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D722BA0"/>
    <w:multiLevelType w:val="multilevel"/>
    <w:tmpl w:val="A50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24211"/>
    <w:multiLevelType w:val="hybridMultilevel"/>
    <w:tmpl w:val="1626152A"/>
    <w:lvl w:ilvl="0" w:tplc="28EA0C14">
      <w:start w:val="1"/>
      <w:numFmt w:val="lowerLetter"/>
      <w:pStyle w:val="ListBulleta"/>
      <w:lvlText w:val="%1)"/>
      <w:lvlJc w:val="left"/>
      <w:pPr>
        <w:ind w:left="1146" w:hanging="360"/>
      </w:pPr>
      <w:rPr>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362021A4"/>
    <w:multiLevelType w:val="hybridMultilevel"/>
    <w:tmpl w:val="9632A0DE"/>
    <w:lvl w:ilvl="0" w:tplc="B878500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C1B274D"/>
    <w:multiLevelType w:val="hybridMultilevel"/>
    <w:tmpl w:val="C5AC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AE0ED5"/>
    <w:multiLevelType w:val="hybridMultilevel"/>
    <w:tmpl w:val="69880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CB1466"/>
    <w:multiLevelType w:val="hybridMultilevel"/>
    <w:tmpl w:val="FB489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125856"/>
    <w:multiLevelType w:val="hybridMultilevel"/>
    <w:tmpl w:val="256621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488087E"/>
    <w:multiLevelType w:val="hybridMultilevel"/>
    <w:tmpl w:val="8AC6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D17858"/>
    <w:multiLevelType w:val="hybridMultilevel"/>
    <w:tmpl w:val="476A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652609"/>
    <w:multiLevelType w:val="hybridMultilevel"/>
    <w:tmpl w:val="9A1A7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E481C"/>
    <w:multiLevelType w:val="hybridMultilevel"/>
    <w:tmpl w:val="8D383826"/>
    <w:lvl w:ilvl="0" w:tplc="07BAA58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6D5527DE"/>
    <w:multiLevelType w:val="hybridMultilevel"/>
    <w:tmpl w:val="5E9C0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BD7B19"/>
    <w:multiLevelType w:val="hybridMultilevel"/>
    <w:tmpl w:val="8C68DD7A"/>
    <w:lvl w:ilvl="0" w:tplc="81B47C08">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1616ED"/>
    <w:multiLevelType w:val="multilevel"/>
    <w:tmpl w:val="9000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01B9B"/>
    <w:multiLevelType w:val="hybridMultilevel"/>
    <w:tmpl w:val="5B52E68E"/>
    <w:lvl w:ilvl="0" w:tplc="6772DBF2">
      <w:start w:val="68"/>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lvlOverride w:ilvl="1">
      <w:lvl w:ilvl="1">
        <w:start w:val="1"/>
        <w:numFmt w:val="bullet"/>
        <w:pStyle w:val="ListBullet2"/>
        <w:lvlText w:val="–"/>
        <w:lvlJc w:val="left"/>
        <w:pPr>
          <w:ind w:left="720" w:hanging="360"/>
        </w:pPr>
        <w:rPr>
          <w:rFonts w:ascii="Arial" w:hAnsi="Arial" w:hint="default"/>
          <w:color w:val="auto"/>
        </w:rPr>
      </w:lvl>
    </w:lvlOverride>
  </w:num>
  <w:num w:numId="4">
    <w:abstractNumId w:val="2"/>
  </w:num>
  <w:num w:numId="5">
    <w:abstractNumId w:val="13"/>
  </w:num>
  <w:num w:numId="6">
    <w:abstractNumId w:val="24"/>
  </w:num>
  <w:num w:numId="7">
    <w:abstractNumId w:val="3"/>
  </w:num>
  <w:num w:numId="8">
    <w:abstractNumId w:val="21"/>
  </w:num>
  <w:num w:numId="9">
    <w:abstractNumId w:val="18"/>
  </w:num>
  <w:num w:numId="10">
    <w:abstractNumId w:val="9"/>
  </w:num>
  <w:num w:numId="11">
    <w:abstractNumId w:val="17"/>
  </w:num>
  <w:num w:numId="12">
    <w:abstractNumId w:val="23"/>
  </w:num>
  <w:num w:numId="13">
    <w:abstractNumId w:val="16"/>
  </w:num>
  <w:num w:numId="14">
    <w:abstractNumId w:val="8"/>
  </w:num>
  <w:num w:numId="15">
    <w:abstractNumId w:val="12"/>
  </w:num>
  <w:num w:numId="16">
    <w:abstractNumId w:val="7"/>
  </w:num>
  <w:num w:numId="17">
    <w:abstractNumId w:val="26"/>
  </w:num>
  <w:num w:numId="18">
    <w:abstractNumId w:val="4"/>
    <w:lvlOverride w:ilvl="0">
      <w:lvl w:ilvl="0">
        <w:start w:val="1"/>
        <w:numFmt w:val="bullet"/>
        <w:pStyle w:val="ListBullet"/>
        <w:lvlText w:val=""/>
        <w:lvlJc w:val="left"/>
        <w:pPr>
          <w:ind w:left="360" w:hanging="360"/>
        </w:pPr>
        <w:rPr>
          <w:rFonts w:ascii="Symbol" w:hAnsi="Symbol" w:hint="default"/>
          <w:color w:val="auto"/>
        </w:rPr>
      </w:lvl>
    </w:lvlOverride>
  </w:num>
  <w:num w:numId="19">
    <w:abstractNumId w:val="14"/>
    <w:lvlOverride w:ilvl="0">
      <w:startOverride w:val="1"/>
    </w:lvlOverride>
  </w:num>
  <w:num w:numId="20">
    <w:abstractNumId w:val="14"/>
  </w:num>
  <w:num w:numId="21">
    <w:abstractNumId w:val="10"/>
  </w:num>
  <w:num w:numId="22">
    <w:abstractNumId w:val="4"/>
    <w:lvlOverride w:ilvl="0">
      <w:lvl w:ilvl="0">
        <w:start w:val="1"/>
        <w:numFmt w:val="bullet"/>
        <w:pStyle w:val="ListBullet"/>
        <w:lvlText w:val="•"/>
        <w:lvlJc w:val="left"/>
        <w:pPr>
          <w:ind w:left="360" w:hanging="360"/>
        </w:pPr>
        <w:rPr>
          <w:rFonts w:ascii="Arial" w:hAnsi="Arial" w:hint="default"/>
        </w:rPr>
      </w:lvl>
    </w:lvlOverride>
    <w:lvlOverride w:ilvl="1">
      <w:lvl w:ilvl="1" w:tentative="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3">
    <w:abstractNumId w:val="6"/>
  </w:num>
  <w:num w:numId="24">
    <w:abstractNumId w:val="12"/>
    <w:lvlOverride w:ilvl="0">
      <w:startOverride w:val="1"/>
    </w:lvlOverride>
  </w:num>
  <w:num w:numId="25">
    <w:abstractNumId w:val="12"/>
    <w:lvlOverride w:ilvl="0">
      <w:startOverride w:val="1"/>
    </w:lvlOverride>
  </w:num>
  <w:num w:numId="26">
    <w:abstractNumId w:val="19"/>
  </w:num>
  <w:num w:numId="27">
    <w:abstractNumId w:val="12"/>
    <w:lvlOverride w:ilvl="0">
      <w:startOverride w:val="1"/>
    </w:lvlOverride>
  </w:num>
  <w:num w:numId="28">
    <w:abstractNumId w:val="12"/>
    <w:lvlOverride w:ilvl="0">
      <w:startOverride w:val="1"/>
    </w:lvlOverride>
  </w:num>
  <w:num w:numId="29">
    <w:abstractNumId w:val="4"/>
  </w:num>
  <w:num w:numId="30">
    <w:abstractNumId w:val="4"/>
    <w:lvlOverride w:ilvl="0">
      <w:lvl w:ilvl="0">
        <w:start w:val="4"/>
        <w:numFmt w:val="bullet"/>
        <w:pStyle w:val="ListBullet"/>
        <w:lvlText w:val="•"/>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4"/>
    <w:lvlOverride w:ilvl="0">
      <w:lvl w:ilvl="0">
        <w:start w:val="4"/>
        <w:numFmt w:val="bullet"/>
        <w:pStyle w:val="ListBullet"/>
        <w:lvlText w:val="•"/>
        <w:lvlJc w:val="left"/>
        <w:pPr>
          <w:ind w:left="37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0"/>
  </w:num>
  <w:num w:numId="33">
    <w:abstractNumId w:val="1"/>
  </w:num>
  <w:num w:numId="34">
    <w:abstractNumId w:val="4"/>
    <w:lvlOverride w:ilvl="0">
      <w:lvl w:ilvl="0">
        <w:start w:val="4"/>
        <w:numFmt w:val="bullet"/>
        <w:pStyle w:val="ListBullet"/>
        <w:lvlText w:val="•"/>
        <w:lvlJc w:val="left"/>
        <w:pPr>
          <w:ind w:left="360" w:hanging="360"/>
        </w:pPr>
        <w:rPr>
          <w:rFonts w:ascii="Arial" w:eastAsia="Cambria" w:hAnsi="Arial" w:cs="Times New Roman" w:hint="default"/>
        </w:rPr>
      </w:lvl>
    </w:lvlOverride>
    <w:lvlOverride w:ilvl="1">
      <w:lvl w:ilvl="1">
        <w:start w:val="1"/>
        <w:numFmt w:val="bullet"/>
        <w:pStyle w:val="ListBullet2"/>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5">
    <w:abstractNumId w:val="4"/>
    <w:lvlOverride w:ilvl="0">
      <w:startOverride w:val="4"/>
      <w:lvl w:ilvl="0">
        <w:start w:val="4"/>
        <w:numFmt w:val="bullet"/>
        <w:pStyle w:val="ListBullet"/>
        <w:lvlText w:val="•"/>
        <w:lvlJc w:val="left"/>
        <w:pPr>
          <w:ind w:left="360" w:hanging="360"/>
        </w:pPr>
        <w:rPr>
          <w:rFonts w:ascii="Arial" w:eastAsia="Cambria" w:hAnsi="Arial" w:cs="Times New Roman" w:hint="default"/>
        </w:rPr>
      </w:lvl>
    </w:lvlOverride>
    <w:lvlOverride w:ilvl="1">
      <w:lvl w:ilvl="1">
        <w:numFmt w:val="decimal"/>
        <w:pStyle w:val="ListBullet2"/>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4"/>
    <w:lvlOverride w:ilvl="0">
      <w:lvl w:ilvl="0">
        <w:start w:val="4"/>
        <w:numFmt w:val="bullet"/>
        <w:pStyle w:val="ListBullet"/>
        <w:lvlText w:val="•"/>
        <w:lvlJc w:val="left"/>
        <w:pPr>
          <w:ind w:left="360" w:hanging="360"/>
        </w:pPr>
        <w:rPr>
          <w:rFonts w:ascii="Arial" w:eastAsia="Cambria" w:hAnsi="Arial" w:hint="default"/>
          <w:color w:val="auto"/>
        </w:rPr>
      </w:lvl>
    </w:lvlOverride>
  </w:num>
  <w:num w:numId="37">
    <w:abstractNumId w:val="15"/>
  </w:num>
  <w:num w:numId="38">
    <w:abstractNumId w:val="12"/>
    <w:lvlOverride w:ilvl="0">
      <w:startOverride w:val="1"/>
    </w:lvlOverride>
  </w:num>
  <w:num w:numId="39">
    <w:abstractNumId w:val="5"/>
  </w:num>
  <w:num w:numId="40">
    <w:abstractNumId w:val="20"/>
  </w:num>
  <w:num w:numId="41">
    <w:abstractNumId w:val="22"/>
  </w:num>
  <w:num w:numId="42">
    <w:abstractNumId w:val="11"/>
  </w:num>
  <w:num w:numId="4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35"/>
    <w:rsid w:val="00002031"/>
    <w:rsid w:val="000029AF"/>
    <w:rsid w:val="00002F35"/>
    <w:rsid w:val="00004734"/>
    <w:rsid w:val="00006B22"/>
    <w:rsid w:val="0001276A"/>
    <w:rsid w:val="0002026C"/>
    <w:rsid w:val="000246AE"/>
    <w:rsid w:val="00025C67"/>
    <w:rsid w:val="00026C44"/>
    <w:rsid w:val="0003306D"/>
    <w:rsid w:val="000344D7"/>
    <w:rsid w:val="000356CE"/>
    <w:rsid w:val="00040C56"/>
    <w:rsid w:val="00052891"/>
    <w:rsid w:val="00055129"/>
    <w:rsid w:val="000554B4"/>
    <w:rsid w:val="0005559E"/>
    <w:rsid w:val="00061E51"/>
    <w:rsid w:val="00062AFC"/>
    <w:rsid w:val="00063028"/>
    <w:rsid w:val="00063495"/>
    <w:rsid w:val="00066638"/>
    <w:rsid w:val="00071199"/>
    <w:rsid w:val="00074B69"/>
    <w:rsid w:val="00077775"/>
    <w:rsid w:val="00083EC2"/>
    <w:rsid w:val="00090471"/>
    <w:rsid w:val="000958DF"/>
    <w:rsid w:val="00095D56"/>
    <w:rsid w:val="0009662B"/>
    <w:rsid w:val="000A0965"/>
    <w:rsid w:val="000A09AA"/>
    <w:rsid w:val="000B0A5D"/>
    <w:rsid w:val="000B3532"/>
    <w:rsid w:val="000B3A75"/>
    <w:rsid w:val="000B7084"/>
    <w:rsid w:val="000C1C08"/>
    <w:rsid w:val="000C5A31"/>
    <w:rsid w:val="000D01B7"/>
    <w:rsid w:val="000D391B"/>
    <w:rsid w:val="000D3D6D"/>
    <w:rsid w:val="000D4FC7"/>
    <w:rsid w:val="000E4228"/>
    <w:rsid w:val="000F031A"/>
    <w:rsid w:val="000F4869"/>
    <w:rsid w:val="000F5B42"/>
    <w:rsid w:val="000F6B0B"/>
    <w:rsid w:val="000F6E6F"/>
    <w:rsid w:val="000F789C"/>
    <w:rsid w:val="001003F2"/>
    <w:rsid w:val="00102995"/>
    <w:rsid w:val="0010601F"/>
    <w:rsid w:val="001066EB"/>
    <w:rsid w:val="00107378"/>
    <w:rsid w:val="00110EA5"/>
    <w:rsid w:val="001119DF"/>
    <w:rsid w:val="00111BE6"/>
    <w:rsid w:val="00115240"/>
    <w:rsid w:val="0012367B"/>
    <w:rsid w:val="00125091"/>
    <w:rsid w:val="00125318"/>
    <w:rsid w:val="00126758"/>
    <w:rsid w:val="00127B03"/>
    <w:rsid w:val="001305A2"/>
    <w:rsid w:val="0013202A"/>
    <w:rsid w:val="00132294"/>
    <w:rsid w:val="00133238"/>
    <w:rsid w:val="00134C40"/>
    <w:rsid w:val="001359E2"/>
    <w:rsid w:val="00140FE3"/>
    <w:rsid w:val="0014197B"/>
    <w:rsid w:val="00142547"/>
    <w:rsid w:val="001447CD"/>
    <w:rsid w:val="00147B1C"/>
    <w:rsid w:val="001516B1"/>
    <w:rsid w:val="001525B4"/>
    <w:rsid w:val="00156316"/>
    <w:rsid w:val="00160006"/>
    <w:rsid w:val="001610DD"/>
    <w:rsid w:val="00162083"/>
    <w:rsid w:val="00165389"/>
    <w:rsid w:val="00170CED"/>
    <w:rsid w:val="0017693F"/>
    <w:rsid w:val="0018110E"/>
    <w:rsid w:val="00181684"/>
    <w:rsid w:val="001843C6"/>
    <w:rsid w:val="001850E0"/>
    <w:rsid w:val="0018693C"/>
    <w:rsid w:val="00186D37"/>
    <w:rsid w:val="0019255A"/>
    <w:rsid w:val="001935C3"/>
    <w:rsid w:val="00196568"/>
    <w:rsid w:val="001A4704"/>
    <w:rsid w:val="001A525F"/>
    <w:rsid w:val="001A5E54"/>
    <w:rsid w:val="001A69AB"/>
    <w:rsid w:val="001A6FC9"/>
    <w:rsid w:val="001B09F9"/>
    <w:rsid w:val="001B6448"/>
    <w:rsid w:val="001C014F"/>
    <w:rsid w:val="001C12AF"/>
    <w:rsid w:val="001D06F4"/>
    <w:rsid w:val="001D19E0"/>
    <w:rsid w:val="001D480A"/>
    <w:rsid w:val="001D5449"/>
    <w:rsid w:val="001D58AF"/>
    <w:rsid w:val="001D6B75"/>
    <w:rsid w:val="001E00C7"/>
    <w:rsid w:val="001E07CF"/>
    <w:rsid w:val="001E1163"/>
    <w:rsid w:val="001E59F1"/>
    <w:rsid w:val="001F1A53"/>
    <w:rsid w:val="001F49EB"/>
    <w:rsid w:val="001F4A2F"/>
    <w:rsid w:val="001F6CBA"/>
    <w:rsid w:val="001F78B9"/>
    <w:rsid w:val="00201D4E"/>
    <w:rsid w:val="00204049"/>
    <w:rsid w:val="00204F19"/>
    <w:rsid w:val="00207515"/>
    <w:rsid w:val="00207FDD"/>
    <w:rsid w:val="00211C7B"/>
    <w:rsid w:val="00220B8A"/>
    <w:rsid w:val="002232C2"/>
    <w:rsid w:val="002257F3"/>
    <w:rsid w:val="002261EB"/>
    <w:rsid w:val="002302EC"/>
    <w:rsid w:val="002303B0"/>
    <w:rsid w:val="002314E8"/>
    <w:rsid w:val="002317F6"/>
    <w:rsid w:val="002321FA"/>
    <w:rsid w:val="00232B6A"/>
    <w:rsid w:val="00233456"/>
    <w:rsid w:val="0023397F"/>
    <w:rsid w:val="002339A5"/>
    <w:rsid w:val="00234889"/>
    <w:rsid w:val="00244517"/>
    <w:rsid w:val="002452E7"/>
    <w:rsid w:val="00245F98"/>
    <w:rsid w:val="00246194"/>
    <w:rsid w:val="00251574"/>
    <w:rsid w:val="002538AE"/>
    <w:rsid w:val="002541E7"/>
    <w:rsid w:val="00257138"/>
    <w:rsid w:val="00257848"/>
    <w:rsid w:val="00260B72"/>
    <w:rsid w:val="00261821"/>
    <w:rsid w:val="002619FF"/>
    <w:rsid w:val="002662F8"/>
    <w:rsid w:val="0027084A"/>
    <w:rsid w:val="00271109"/>
    <w:rsid w:val="0027202C"/>
    <w:rsid w:val="00276951"/>
    <w:rsid w:val="00277EF5"/>
    <w:rsid w:val="0028082E"/>
    <w:rsid w:val="00286434"/>
    <w:rsid w:val="00286C59"/>
    <w:rsid w:val="002942D1"/>
    <w:rsid w:val="0029763B"/>
    <w:rsid w:val="002A0556"/>
    <w:rsid w:val="002A4443"/>
    <w:rsid w:val="002A6A60"/>
    <w:rsid w:val="002A6D89"/>
    <w:rsid w:val="002A6EE1"/>
    <w:rsid w:val="002B0C2E"/>
    <w:rsid w:val="002B1638"/>
    <w:rsid w:val="002B1FB5"/>
    <w:rsid w:val="002B706C"/>
    <w:rsid w:val="002B7851"/>
    <w:rsid w:val="002C1070"/>
    <w:rsid w:val="002C1D7D"/>
    <w:rsid w:val="002C2511"/>
    <w:rsid w:val="002D1EDF"/>
    <w:rsid w:val="002D2D4E"/>
    <w:rsid w:val="002E1A00"/>
    <w:rsid w:val="002E3245"/>
    <w:rsid w:val="002E4C9A"/>
    <w:rsid w:val="002F11F8"/>
    <w:rsid w:val="002F3F56"/>
    <w:rsid w:val="002F44B5"/>
    <w:rsid w:val="002F4F94"/>
    <w:rsid w:val="002F7926"/>
    <w:rsid w:val="00303C95"/>
    <w:rsid w:val="00311AC0"/>
    <w:rsid w:val="003129CE"/>
    <w:rsid w:val="003204DD"/>
    <w:rsid w:val="00322261"/>
    <w:rsid w:val="003269F2"/>
    <w:rsid w:val="00331DBB"/>
    <w:rsid w:val="0033257F"/>
    <w:rsid w:val="00332680"/>
    <w:rsid w:val="00332B94"/>
    <w:rsid w:val="00343E89"/>
    <w:rsid w:val="003474F4"/>
    <w:rsid w:val="00347BEC"/>
    <w:rsid w:val="003521E8"/>
    <w:rsid w:val="003621E8"/>
    <w:rsid w:val="00362C3F"/>
    <w:rsid w:val="00362F3A"/>
    <w:rsid w:val="00363977"/>
    <w:rsid w:val="003654EA"/>
    <w:rsid w:val="00365DDD"/>
    <w:rsid w:val="003664BF"/>
    <w:rsid w:val="003728F3"/>
    <w:rsid w:val="00390900"/>
    <w:rsid w:val="0039620B"/>
    <w:rsid w:val="0039713A"/>
    <w:rsid w:val="003A13F0"/>
    <w:rsid w:val="003A1FD3"/>
    <w:rsid w:val="003A2631"/>
    <w:rsid w:val="003A3323"/>
    <w:rsid w:val="003A35BD"/>
    <w:rsid w:val="003A62A6"/>
    <w:rsid w:val="003B00C5"/>
    <w:rsid w:val="003B09FD"/>
    <w:rsid w:val="003B38F6"/>
    <w:rsid w:val="003B443E"/>
    <w:rsid w:val="003B5800"/>
    <w:rsid w:val="003B7E39"/>
    <w:rsid w:val="003C02CB"/>
    <w:rsid w:val="003C18DC"/>
    <w:rsid w:val="003C2255"/>
    <w:rsid w:val="003C30DC"/>
    <w:rsid w:val="003C58DC"/>
    <w:rsid w:val="003C7461"/>
    <w:rsid w:val="003D0CD9"/>
    <w:rsid w:val="003E1B09"/>
    <w:rsid w:val="003E237A"/>
    <w:rsid w:val="003E3208"/>
    <w:rsid w:val="003E3D34"/>
    <w:rsid w:val="003E4FCC"/>
    <w:rsid w:val="003E7EAA"/>
    <w:rsid w:val="003F0B04"/>
    <w:rsid w:val="003F106C"/>
    <w:rsid w:val="003F6F7D"/>
    <w:rsid w:val="0040134E"/>
    <w:rsid w:val="0040269F"/>
    <w:rsid w:val="004034EB"/>
    <w:rsid w:val="00410839"/>
    <w:rsid w:val="00414410"/>
    <w:rsid w:val="0041452B"/>
    <w:rsid w:val="004169A8"/>
    <w:rsid w:val="00417181"/>
    <w:rsid w:val="00430686"/>
    <w:rsid w:val="00434592"/>
    <w:rsid w:val="004352F8"/>
    <w:rsid w:val="00440A2D"/>
    <w:rsid w:val="00440CEE"/>
    <w:rsid w:val="004414E4"/>
    <w:rsid w:val="00453804"/>
    <w:rsid w:val="00455A6F"/>
    <w:rsid w:val="004564A7"/>
    <w:rsid w:val="004617BF"/>
    <w:rsid w:val="004634F1"/>
    <w:rsid w:val="00465E72"/>
    <w:rsid w:val="00465E90"/>
    <w:rsid w:val="0047772E"/>
    <w:rsid w:val="00477BB1"/>
    <w:rsid w:val="004923FF"/>
    <w:rsid w:val="00494E60"/>
    <w:rsid w:val="00496BAC"/>
    <w:rsid w:val="004A3F2D"/>
    <w:rsid w:val="004A401F"/>
    <w:rsid w:val="004B28E6"/>
    <w:rsid w:val="004B4CB5"/>
    <w:rsid w:val="004B4FF4"/>
    <w:rsid w:val="004B5A6B"/>
    <w:rsid w:val="004B732C"/>
    <w:rsid w:val="004B744F"/>
    <w:rsid w:val="004B772D"/>
    <w:rsid w:val="004B7B76"/>
    <w:rsid w:val="004C0070"/>
    <w:rsid w:val="004C2E29"/>
    <w:rsid w:val="004C40C4"/>
    <w:rsid w:val="004C4AD6"/>
    <w:rsid w:val="004D3B35"/>
    <w:rsid w:val="004D51A6"/>
    <w:rsid w:val="004D74CA"/>
    <w:rsid w:val="004E20C8"/>
    <w:rsid w:val="004E6267"/>
    <w:rsid w:val="004F0F38"/>
    <w:rsid w:val="004F1A46"/>
    <w:rsid w:val="004F32F6"/>
    <w:rsid w:val="004F4D12"/>
    <w:rsid w:val="00500087"/>
    <w:rsid w:val="00501921"/>
    <w:rsid w:val="005059CD"/>
    <w:rsid w:val="00507A51"/>
    <w:rsid w:val="00511904"/>
    <w:rsid w:val="00512DE9"/>
    <w:rsid w:val="00522A0C"/>
    <w:rsid w:val="005234E9"/>
    <w:rsid w:val="00530354"/>
    <w:rsid w:val="00531B11"/>
    <w:rsid w:val="005413CD"/>
    <w:rsid w:val="005434C6"/>
    <w:rsid w:val="00543B39"/>
    <w:rsid w:val="00544D11"/>
    <w:rsid w:val="0054583D"/>
    <w:rsid w:val="005477E7"/>
    <w:rsid w:val="00550096"/>
    <w:rsid w:val="00552571"/>
    <w:rsid w:val="0055532D"/>
    <w:rsid w:val="00557F9D"/>
    <w:rsid w:val="00557FF9"/>
    <w:rsid w:val="00564821"/>
    <w:rsid w:val="00566A53"/>
    <w:rsid w:val="00576378"/>
    <w:rsid w:val="00577279"/>
    <w:rsid w:val="00577E38"/>
    <w:rsid w:val="00582848"/>
    <w:rsid w:val="00585322"/>
    <w:rsid w:val="00591EB2"/>
    <w:rsid w:val="00593AD1"/>
    <w:rsid w:val="00594D03"/>
    <w:rsid w:val="0059669D"/>
    <w:rsid w:val="00597877"/>
    <w:rsid w:val="005A07E4"/>
    <w:rsid w:val="005A1131"/>
    <w:rsid w:val="005A2F3C"/>
    <w:rsid w:val="005A61CE"/>
    <w:rsid w:val="005C4CFA"/>
    <w:rsid w:val="005C5570"/>
    <w:rsid w:val="005C79A4"/>
    <w:rsid w:val="005D135B"/>
    <w:rsid w:val="005D1C23"/>
    <w:rsid w:val="005D49B8"/>
    <w:rsid w:val="005D4EA1"/>
    <w:rsid w:val="005D5442"/>
    <w:rsid w:val="005D6B6C"/>
    <w:rsid w:val="005E16BA"/>
    <w:rsid w:val="005E6592"/>
    <w:rsid w:val="005E751E"/>
    <w:rsid w:val="005F0424"/>
    <w:rsid w:val="00600656"/>
    <w:rsid w:val="0060254C"/>
    <w:rsid w:val="00604455"/>
    <w:rsid w:val="00604A31"/>
    <w:rsid w:val="00611B57"/>
    <w:rsid w:val="006134AE"/>
    <w:rsid w:val="00617EAC"/>
    <w:rsid w:val="006239CD"/>
    <w:rsid w:val="00625AB7"/>
    <w:rsid w:val="00625FB9"/>
    <w:rsid w:val="006334B1"/>
    <w:rsid w:val="00635A08"/>
    <w:rsid w:val="00640190"/>
    <w:rsid w:val="006405A9"/>
    <w:rsid w:val="0064094B"/>
    <w:rsid w:val="00640FC3"/>
    <w:rsid w:val="00642020"/>
    <w:rsid w:val="00643964"/>
    <w:rsid w:val="006454FF"/>
    <w:rsid w:val="0064634E"/>
    <w:rsid w:val="0064747C"/>
    <w:rsid w:val="00651C87"/>
    <w:rsid w:val="0065337B"/>
    <w:rsid w:val="00653FBF"/>
    <w:rsid w:val="0065419D"/>
    <w:rsid w:val="006604D8"/>
    <w:rsid w:val="00664A5B"/>
    <w:rsid w:val="00665F8C"/>
    <w:rsid w:val="00667942"/>
    <w:rsid w:val="00667B4F"/>
    <w:rsid w:val="00676C9F"/>
    <w:rsid w:val="0067777C"/>
    <w:rsid w:val="00680C08"/>
    <w:rsid w:val="00684E81"/>
    <w:rsid w:val="00685AA6"/>
    <w:rsid w:val="0068741A"/>
    <w:rsid w:val="00691723"/>
    <w:rsid w:val="006931B1"/>
    <w:rsid w:val="00693CDB"/>
    <w:rsid w:val="006948A8"/>
    <w:rsid w:val="006978FC"/>
    <w:rsid w:val="006A1230"/>
    <w:rsid w:val="006A15C0"/>
    <w:rsid w:val="006A4975"/>
    <w:rsid w:val="006A4C59"/>
    <w:rsid w:val="006B188D"/>
    <w:rsid w:val="006B25C7"/>
    <w:rsid w:val="006C1F3B"/>
    <w:rsid w:val="006C3E2A"/>
    <w:rsid w:val="006C4815"/>
    <w:rsid w:val="006C5893"/>
    <w:rsid w:val="006C626D"/>
    <w:rsid w:val="006C642F"/>
    <w:rsid w:val="006C6EDB"/>
    <w:rsid w:val="006C7160"/>
    <w:rsid w:val="006C758F"/>
    <w:rsid w:val="006D039E"/>
    <w:rsid w:val="006D03E5"/>
    <w:rsid w:val="006D0C3B"/>
    <w:rsid w:val="006D1DCB"/>
    <w:rsid w:val="006D22F9"/>
    <w:rsid w:val="006D5A11"/>
    <w:rsid w:val="006D5D3E"/>
    <w:rsid w:val="006E08B3"/>
    <w:rsid w:val="006E0C60"/>
    <w:rsid w:val="006E5781"/>
    <w:rsid w:val="006E5AB4"/>
    <w:rsid w:val="006E7EE9"/>
    <w:rsid w:val="006F14A5"/>
    <w:rsid w:val="006F25FE"/>
    <w:rsid w:val="006F572E"/>
    <w:rsid w:val="006F5FD7"/>
    <w:rsid w:val="007046D6"/>
    <w:rsid w:val="00705DB0"/>
    <w:rsid w:val="00706AFE"/>
    <w:rsid w:val="00713D09"/>
    <w:rsid w:val="0071612C"/>
    <w:rsid w:val="0072056C"/>
    <w:rsid w:val="00725A8B"/>
    <w:rsid w:val="0073064B"/>
    <w:rsid w:val="0074066C"/>
    <w:rsid w:val="00742004"/>
    <w:rsid w:val="0074253D"/>
    <w:rsid w:val="0074429B"/>
    <w:rsid w:val="007477D6"/>
    <w:rsid w:val="007477F8"/>
    <w:rsid w:val="00747F63"/>
    <w:rsid w:val="007615BC"/>
    <w:rsid w:val="00762F05"/>
    <w:rsid w:val="00763336"/>
    <w:rsid w:val="00764EB9"/>
    <w:rsid w:val="007652FF"/>
    <w:rsid w:val="00765383"/>
    <w:rsid w:val="00766D01"/>
    <w:rsid w:val="00766F39"/>
    <w:rsid w:val="00771329"/>
    <w:rsid w:val="00773EF7"/>
    <w:rsid w:val="00774E1D"/>
    <w:rsid w:val="0077675A"/>
    <w:rsid w:val="00780355"/>
    <w:rsid w:val="00785721"/>
    <w:rsid w:val="00787170"/>
    <w:rsid w:val="00793A59"/>
    <w:rsid w:val="007A0404"/>
    <w:rsid w:val="007A2162"/>
    <w:rsid w:val="007A654C"/>
    <w:rsid w:val="007B2865"/>
    <w:rsid w:val="007B302B"/>
    <w:rsid w:val="007B43ED"/>
    <w:rsid w:val="007B4BF9"/>
    <w:rsid w:val="007C0F3D"/>
    <w:rsid w:val="007C1AF7"/>
    <w:rsid w:val="007C7A6D"/>
    <w:rsid w:val="007C7B5B"/>
    <w:rsid w:val="007D4BF5"/>
    <w:rsid w:val="007E034D"/>
    <w:rsid w:val="007E1661"/>
    <w:rsid w:val="007E4E71"/>
    <w:rsid w:val="007E5C0C"/>
    <w:rsid w:val="007E62A9"/>
    <w:rsid w:val="007E652D"/>
    <w:rsid w:val="007E768C"/>
    <w:rsid w:val="007E7BF8"/>
    <w:rsid w:val="007F2FF0"/>
    <w:rsid w:val="007F6AC0"/>
    <w:rsid w:val="008035EE"/>
    <w:rsid w:val="008048BB"/>
    <w:rsid w:val="00810598"/>
    <w:rsid w:val="00811166"/>
    <w:rsid w:val="00814492"/>
    <w:rsid w:val="00821776"/>
    <w:rsid w:val="00826007"/>
    <w:rsid w:val="00827777"/>
    <w:rsid w:val="00831F16"/>
    <w:rsid w:val="008321F5"/>
    <w:rsid w:val="00832369"/>
    <w:rsid w:val="00834660"/>
    <w:rsid w:val="00834C8E"/>
    <w:rsid w:val="00836BC2"/>
    <w:rsid w:val="0084156C"/>
    <w:rsid w:val="0084580B"/>
    <w:rsid w:val="00845BCA"/>
    <w:rsid w:val="00853189"/>
    <w:rsid w:val="00853C8F"/>
    <w:rsid w:val="0085451D"/>
    <w:rsid w:val="008547A2"/>
    <w:rsid w:val="00854CF2"/>
    <w:rsid w:val="00854F57"/>
    <w:rsid w:val="0085641B"/>
    <w:rsid w:val="00857136"/>
    <w:rsid w:val="008637DD"/>
    <w:rsid w:val="008642AE"/>
    <w:rsid w:val="00864511"/>
    <w:rsid w:val="00870B12"/>
    <w:rsid w:val="008752CE"/>
    <w:rsid w:val="008821AA"/>
    <w:rsid w:val="00885548"/>
    <w:rsid w:val="008855B8"/>
    <w:rsid w:val="008932F3"/>
    <w:rsid w:val="00895282"/>
    <w:rsid w:val="008959D5"/>
    <w:rsid w:val="00896018"/>
    <w:rsid w:val="008A07FF"/>
    <w:rsid w:val="008A2B9D"/>
    <w:rsid w:val="008A4E36"/>
    <w:rsid w:val="008A5E0B"/>
    <w:rsid w:val="008A5E18"/>
    <w:rsid w:val="008A6D59"/>
    <w:rsid w:val="008B2D31"/>
    <w:rsid w:val="008B2D4F"/>
    <w:rsid w:val="008B4B03"/>
    <w:rsid w:val="008B596F"/>
    <w:rsid w:val="008C159F"/>
    <w:rsid w:val="008C1623"/>
    <w:rsid w:val="008C51A9"/>
    <w:rsid w:val="008C56D9"/>
    <w:rsid w:val="008C57CB"/>
    <w:rsid w:val="008D161D"/>
    <w:rsid w:val="008D2B09"/>
    <w:rsid w:val="008D4740"/>
    <w:rsid w:val="008E1FFC"/>
    <w:rsid w:val="008E285D"/>
    <w:rsid w:val="008E7B83"/>
    <w:rsid w:val="008E7CBC"/>
    <w:rsid w:val="008F1CCC"/>
    <w:rsid w:val="008F2967"/>
    <w:rsid w:val="008F407A"/>
    <w:rsid w:val="008F5BF3"/>
    <w:rsid w:val="0090354E"/>
    <w:rsid w:val="00907ACE"/>
    <w:rsid w:val="00911753"/>
    <w:rsid w:val="0091227A"/>
    <w:rsid w:val="00913318"/>
    <w:rsid w:val="00915CC5"/>
    <w:rsid w:val="00917673"/>
    <w:rsid w:val="00920330"/>
    <w:rsid w:val="00920FF4"/>
    <w:rsid w:val="009219D7"/>
    <w:rsid w:val="00922830"/>
    <w:rsid w:val="00922D53"/>
    <w:rsid w:val="00923B70"/>
    <w:rsid w:val="00925DC5"/>
    <w:rsid w:val="0092600B"/>
    <w:rsid w:val="00930237"/>
    <w:rsid w:val="00930BA3"/>
    <w:rsid w:val="009333AC"/>
    <w:rsid w:val="00934397"/>
    <w:rsid w:val="009401F6"/>
    <w:rsid w:val="00940F44"/>
    <w:rsid w:val="00941988"/>
    <w:rsid w:val="00952295"/>
    <w:rsid w:val="00952562"/>
    <w:rsid w:val="00955BFE"/>
    <w:rsid w:val="0095792A"/>
    <w:rsid w:val="00961EB2"/>
    <w:rsid w:val="00963C08"/>
    <w:rsid w:val="00973DCF"/>
    <w:rsid w:val="00977E45"/>
    <w:rsid w:val="00991135"/>
    <w:rsid w:val="009967B9"/>
    <w:rsid w:val="00997420"/>
    <w:rsid w:val="009A09AA"/>
    <w:rsid w:val="009A09C1"/>
    <w:rsid w:val="009A474D"/>
    <w:rsid w:val="009A4CED"/>
    <w:rsid w:val="009B15F1"/>
    <w:rsid w:val="009B1D12"/>
    <w:rsid w:val="009B416B"/>
    <w:rsid w:val="009B5713"/>
    <w:rsid w:val="009C4BD5"/>
    <w:rsid w:val="009D1F2D"/>
    <w:rsid w:val="009D2E04"/>
    <w:rsid w:val="009D416F"/>
    <w:rsid w:val="009D5516"/>
    <w:rsid w:val="009D7B65"/>
    <w:rsid w:val="009D7B77"/>
    <w:rsid w:val="009E0BB0"/>
    <w:rsid w:val="009E3FBB"/>
    <w:rsid w:val="009E5BD4"/>
    <w:rsid w:val="009E71F4"/>
    <w:rsid w:val="009F018D"/>
    <w:rsid w:val="009F1ACF"/>
    <w:rsid w:val="009F2211"/>
    <w:rsid w:val="009F49C1"/>
    <w:rsid w:val="009F7D61"/>
    <w:rsid w:val="00A052B5"/>
    <w:rsid w:val="00A0649D"/>
    <w:rsid w:val="00A1235B"/>
    <w:rsid w:val="00A13E05"/>
    <w:rsid w:val="00A14DF7"/>
    <w:rsid w:val="00A14F77"/>
    <w:rsid w:val="00A23DEB"/>
    <w:rsid w:val="00A23F3C"/>
    <w:rsid w:val="00A26FAA"/>
    <w:rsid w:val="00A3246D"/>
    <w:rsid w:val="00A34C1C"/>
    <w:rsid w:val="00A3654F"/>
    <w:rsid w:val="00A36949"/>
    <w:rsid w:val="00A36FA7"/>
    <w:rsid w:val="00A475B7"/>
    <w:rsid w:val="00A47AF7"/>
    <w:rsid w:val="00A47C3E"/>
    <w:rsid w:val="00A50226"/>
    <w:rsid w:val="00A539AC"/>
    <w:rsid w:val="00A53CAB"/>
    <w:rsid w:val="00A55A51"/>
    <w:rsid w:val="00A56488"/>
    <w:rsid w:val="00A5676B"/>
    <w:rsid w:val="00A60BAD"/>
    <w:rsid w:val="00A61BA0"/>
    <w:rsid w:val="00A64387"/>
    <w:rsid w:val="00A736F3"/>
    <w:rsid w:val="00A73A8D"/>
    <w:rsid w:val="00A8194B"/>
    <w:rsid w:val="00A8290F"/>
    <w:rsid w:val="00A84503"/>
    <w:rsid w:val="00A85B04"/>
    <w:rsid w:val="00A87334"/>
    <w:rsid w:val="00A93EE0"/>
    <w:rsid w:val="00AA20F3"/>
    <w:rsid w:val="00AB21AD"/>
    <w:rsid w:val="00AB60EB"/>
    <w:rsid w:val="00AB6F47"/>
    <w:rsid w:val="00AC2B40"/>
    <w:rsid w:val="00AC2BB2"/>
    <w:rsid w:val="00AC2C3C"/>
    <w:rsid w:val="00AC3BD9"/>
    <w:rsid w:val="00AC62E7"/>
    <w:rsid w:val="00AC7EB0"/>
    <w:rsid w:val="00AD082A"/>
    <w:rsid w:val="00AD5AAF"/>
    <w:rsid w:val="00AE0320"/>
    <w:rsid w:val="00AE65EB"/>
    <w:rsid w:val="00AF1D94"/>
    <w:rsid w:val="00AF60C5"/>
    <w:rsid w:val="00AF641B"/>
    <w:rsid w:val="00B009C6"/>
    <w:rsid w:val="00B01548"/>
    <w:rsid w:val="00B10D49"/>
    <w:rsid w:val="00B16BA2"/>
    <w:rsid w:val="00B21D29"/>
    <w:rsid w:val="00B21FC5"/>
    <w:rsid w:val="00B21FEE"/>
    <w:rsid w:val="00B25034"/>
    <w:rsid w:val="00B31089"/>
    <w:rsid w:val="00B33002"/>
    <w:rsid w:val="00B33863"/>
    <w:rsid w:val="00B368F4"/>
    <w:rsid w:val="00B37D17"/>
    <w:rsid w:val="00B40C62"/>
    <w:rsid w:val="00B4175E"/>
    <w:rsid w:val="00B510E1"/>
    <w:rsid w:val="00B53302"/>
    <w:rsid w:val="00B54C25"/>
    <w:rsid w:val="00B600DA"/>
    <w:rsid w:val="00B6256E"/>
    <w:rsid w:val="00B64F68"/>
    <w:rsid w:val="00B73EF1"/>
    <w:rsid w:val="00B74823"/>
    <w:rsid w:val="00B75A74"/>
    <w:rsid w:val="00B76B91"/>
    <w:rsid w:val="00B76D94"/>
    <w:rsid w:val="00B80EFA"/>
    <w:rsid w:val="00B81579"/>
    <w:rsid w:val="00B92C72"/>
    <w:rsid w:val="00B95586"/>
    <w:rsid w:val="00B96236"/>
    <w:rsid w:val="00B977FC"/>
    <w:rsid w:val="00BA1F55"/>
    <w:rsid w:val="00BA6FF1"/>
    <w:rsid w:val="00BB01FB"/>
    <w:rsid w:val="00BB0909"/>
    <w:rsid w:val="00BB29EA"/>
    <w:rsid w:val="00BB6529"/>
    <w:rsid w:val="00BC1CAB"/>
    <w:rsid w:val="00BC622A"/>
    <w:rsid w:val="00BC641B"/>
    <w:rsid w:val="00BC7178"/>
    <w:rsid w:val="00BC7BE5"/>
    <w:rsid w:val="00BD1D38"/>
    <w:rsid w:val="00BD6F8A"/>
    <w:rsid w:val="00BE0A78"/>
    <w:rsid w:val="00BE79F0"/>
    <w:rsid w:val="00BF046D"/>
    <w:rsid w:val="00BF5D04"/>
    <w:rsid w:val="00BF6F04"/>
    <w:rsid w:val="00C0113E"/>
    <w:rsid w:val="00C016A5"/>
    <w:rsid w:val="00C04313"/>
    <w:rsid w:val="00C076CE"/>
    <w:rsid w:val="00C13563"/>
    <w:rsid w:val="00C1405E"/>
    <w:rsid w:val="00C15409"/>
    <w:rsid w:val="00C204D2"/>
    <w:rsid w:val="00C3326C"/>
    <w:rsid w:val="00C339C6"/>
    <w:rsid w:val="00C36544"/>
    <w:rsid w:val="00C404A6"/>
    <w:rsid w:val="00C40A36"/>
    <w:rsid w:val="00C44419"/>
    <w:rsid w:val="00C45E7B"/>
    <w:rsid w:val="00C471B1"/>
    <w:rsid w:val="00C52BEE"/>
    <w:rsid w:val="00C534D8"/>
    <w:rsid w:val="00C55C83"/>
    <w:rsid w:val="00C56992"/>
    <w:rsid w:val="00C6316B"/>
    <w:rsid w:val="00C634A9"/>
    <w:rsid w:val="00C73D6C"/>
    <w:rsid w:val="00C772FF"/>
    <w:rsid w:val="00C77BC8"/>
    <w:rsid w:val="00C801AF"/>
    <w:rsid w:val="00C80256"/>
    <w:rsid w:val="00C82010"/>
    <w:rsid w:val="00C918C4"/>
    <w:rsid w:val="00C94993"/>
    <w:rsid w:val="00C949CB"/>
    <w:rsid w:val="00CA77CC"/>
    <w:rsid w:val="00CB0B54"/>
    <w:rsid w:val="00CB6BC0"/>
    <w:rsid w:val="00CC1B7C"/>
    <w:rsid w:val="00CC727F"/>
    <w:rsid w:val="00CD2699"/>
    <w:rsid w:val="00CD3CD5"/>
    <w:rsid w:val="00CD7871"/>
    <w:rsid w:val="00CE2E2D"/>
    <w:rsid w:val="00CE3D9B"/>
    <w:rsid w:val="00CE5BB0"/>
    <w:rsid w:val="00CF04BD"/>
    <w:rsid w:val="00CF15C3"/>
    <w:rsid w:val="00CF2B6F"/>
    <w:rsid w:val="00CF3409"/>
    <w:rsid w:val="00CF3414"/>
    <w:rsid w:val="00CF6A94"/>
    <w:rsid w:val="00CF6C9B"/>
    <w:rsid w:val="00D017ED"/>
    <w:rsid w:val="00D07FED"/>
    <w:rsid w:val="00D153B1"/>
    <w:rsid w:val="00D224FE"/>
    <w:rsid w:val="00D229BA"/>
    <w:rsid w:val="00D26B84"/>
    <w:rsid w:val="00D26D35"/>
    <w:rsid w:val="00D30EE7"/>
    <w:rsid w:val="00D31739"/>
    <w:rsid w:val="00D41755"/>
    <w:rsid w:val="00D433BD"/>
    <w:rsid w:val="00D43617"/>
    <w:rsid w:val="00D5001C"/>
    <w:rsid w:val="00D5290D"/>
    <w:rsid w:val="00D52A8B"/>
    <w:rsid w:val="00D5395A"/>
    <w:rsid w:val="00D5616E"/>
    <w:rsid w:val="00D5635D"/>
    <w:rsid w:val="00D56B08"/>
    <w:rsid w:val="00D634FE"/>
    <w:rsid w:val="00D6493E"/>
    <w:rsid w:val="00D66AFF"/>
    <w:rsid w:val="00D71D7E"/>
    <w:rsid w:val="00D74639"/>
    <w:rsid w:val="00D76DB7"/>
    <w:rsid w:val="00D8047D"/>
    <w:rsid w:val="00D81BD6"/>
    <w:rsid w:val="00D81C28"/>
    <w:rsid w:val="00D85661"/>
    <w:rsid w:val="00D85AC0"/>
    <w:rsid w:val="00D873A3"/>
    <w:rsid w:val="00D87D0C"/>
    <w:rsid w:val="00D93B74"/>
    <w:rsid w:val="00D94801"/>
    <w:rsid w:val="00D96C63"/>
    <w:rsid w:val="00DA0C6D"/>
    <w:rsid w:val="00DA1124"/>
    <w:rsid w:val="00DA1B06"/>
    <w:rsid w:val="00DA1DEF"/>
    <w:rsid w:val="00DA2B8F"/>
    <w:rsid w:val="00DA3043"/>
    <w:rsid w:val="00DA6BD7"/>
    <w:rsid w:val="00DB2920"/>
    <w:rsid w:val="00DB6F22"/>
    <w:rsid w:val="00DC73C2"/>
    <w:rsid w:val="00DC74CD"/>
    <w:rsid w:val="00DD4C9F"/>
    <w:rsid w:val="00DD5496"/>
    <w:rsid w:val="00DD6264"/>
    <w:rsid w:val="00DD75A3"/>
    <w:rsid w:val="00DD7A91"/>
    <w:rsid w:val="00DE02AE"/>
    <w:rsid w:val="00DE391D"/>
    <w:rsid w:val="00DE6A0C"/>
    <w:rsid w:val="00DE6C04"/>
    <w:rsid w:val="00DE75AC"/>
    <w:rsid w:val="00DF1D7F"/>
    <w:rsid w:val="00E02472"/>
    <w:rsid w:val="00E02FB4"/>
    <w:rsid w:val="00E1340C"/>
    <w:rsid w:val="00E20571"/>
    <w:rsid w:val="00E21651"/>
    <w:rsid w:val="00E22A6B"/>
    <w:rsid w:val="00E235F7"/>
    <w:rsid w:val="00E239D4"/>
    <w:rsid w:val="00E25B60"/>
    <w:rsid w:val="00E32070"/>
    <w:rsid w:val="00E32326"/>
    <w:rsid w:val="00E33CB6"/>
    <w:rsid w:val="00E346DC"/>
    <w:rsid w:val="00E4033D"/>
    <w:rsid w:val="00E40B22"/>
    <w:rsid w:val="00E43463"/>
    <w:rsid w:val="00E4588F"/>
    <w:rsid w:val="00E46DA3"/>
    <w:rsid w:val="00E51164"/>
    <w:rsid w:val="00E54042"/>
    <w:rsid w:val="00E55725"/>
    <w:rsid w:val="00E5699E"/>
    <w:rsid w:val="00E57EAF"/>
    <w:rsid w:val="00E615F8"/>
    <w:rsid w:val="00E61FC2"/>
    <w:rsid w:val="00E63FA6"/>
    <w:rsid w:val="00E65CAA"/>
    <w:rsid w:val="00E71242"/>
    <w:rsid w:val="00E8120B"/>
    <w:rsid w:val="00E81384"/>
    <w:rsid w:val="00E873D1"/>
    <w:rsid w:val="00E944A3"/>
    <w:rsid w:val="00EA16DE"/>
    <w:rsid w:val="00EA2860"/>
    <w:rsid w:val="00EA406B"/>
    <w:rsid w:val="00EA453A"/>
    <w:rsid w:val="00EB0798"/>
    <w:rsid w:val="00EB182C"/>
    <w:rsid w:val="00EB19F8"/>
    <w:rsid w:val="00EB2CA1"/>
    <w:rsid w:val="00EB40AD"/>
    <w:rsid w:val="00EB586E"/>
    <w:rsid w:val="00EB5FC8"/>
    <w:rsid w:val="00EB6F5B"/>
    <w:rsid w:val="00EC1271"/>
    <w:rsid w:val="00EC2A18"/>
    <w:rsid w:val="00EC3915"/>
    <w:rsid w:val="00EC46AF"/>
    <w:rsid w:val="00EC67E5"/>
    <w:rsid w:val="00EC720E"/>
    <w:rsid w:val="00ED0C8B"/>
    <w:rsid w:val="00ED13CF"/>
    <w:rsid w:val="00ED5A41"/>
    <w:rsid w:val="00ED7C5D"/>
    <w:rsid w:val="00EE1184"/>
    <w:rsid w:val="00EE1482"/>
    <w:rsid w:val="00EE1824"/>
    <w:rsid w:val="00EE1C29"/>
    <w:rsid w:val="00EE255A"/>
    <w:rsid w:val="00EE3C3B"/>
    <w:rsid w:val="00EF0345"/>
    <w:rsid w:val="00EF0EAB"/>
    <w:rsid w:val="00EF1D96"/>
    <w:rsid w:val="00EF2296"/>
    <w:rsid w:val="00EF3536"/>
    <w:rsid w:val="00EF400B"/>
    <w:rsid w:val="00EF47F3"/>
    <w:rsid w:val="00EF578B"/>
    <w:rsid w:val="00F017D8"/>
    <w:rsid w:val="00F033EC"/>
    <w:rsid w:val="00F04F68"/>
    <w:rsid w:val="00F0627D"/>
    <w:rsid w:val="00F07609"/>
    <w:rsid w:val="00F07C5A"/>
    <w:rsid w:val="00F11A17"/>
    <w:rsid w:val="00F12670"/>
    <w:rsid w:val="00F13518"/>
    <w:rsid w:val="00F14B27"/>
    <w:rsid w:val="00F16DE9"/>
    <w:rsid w:val="00F202AB"/>
    <w:rsid w:val="00F26D74"/>
    <w:rsid w:val="00F3148D"/>
    <w:rsid w:val="00F3255D"/>
    <w:rsid w:val="00F35298"/>
    <w:rsid w:val="00F35299"/>
    <w:rsid w:val="00F3529E"/>
    <w:rsid w:val="00F36C32"/>
    <w:rsid w:val="00F372DC"/>
    <w:rsid w:val="00F40F73"/>
    <w:rsid w:val="00F412B8"/>
    <w:rsid w:val="00F4305F"/>
    <w:rsid w:val="00F44B0D"/>
    <w:rsid w:val="00F4663D"/>
    <w:rsid w:val="00F467A6"/>
    <w:rsid w:val="00F47E37"/>
    <w:rsid w:val="00F52545"/>
    <w:rsid w:val="00F54A41"/>
    <w:rsid w:val="00F560BB"/>
    <w:rsid w:val="00F623FD"/>
    <w:rsid w:val="00F63C0D"/>
    <w:rsid w:val="00F640B6"/>
    <w:rsid w:val="00F66FBF"/>
    <w:rsid w:val="00F67B16"/>
    <w:rsid w:val="00F67BBC"/>
    <w:rsid w:val="00F7049F"/>
    <w:rsid w:val="00F724AB"/>
    <w:rsid w:val="00F72C5E"/>
    <w:rsid w:val="00F72EE8"/>
    <w:rsid w:val="00F730CE"/>
    <w:rsid w:val="00F739D1"/>
    <w:rsid w:val="00F74E92"/>
    <w:rsid w:val="00F80E40"/>
    <w:rsid w:val="00F8365F"/>
    <w:rsid w:val="00F8404D"/>
    <w:rsid w:val="00F87B87"/>
    <w:rsid w:val="00FA2D0F"/>
    <w:rsid w:val="00FA2EF0"/>
    <w:rsid w:val="00FA4D6D"/>
    <w:rsid w:val="00FA5B82"/>
    <w:rsid w:val="00FA639E"/>
    <w:rsid w:val="00FA6A3D"/>
    <w:rsid w:val="00FB4063"/>
    <w:rsid w:val="00FB59CE"/>
    <w:rsid w:val="00FC03C8"/>
    <w:rsid w:val="00FC23BC"/>
    <w:rsid w:val="00FC25E4"/>
    <w:rsid w:val="00FC260C"/>
    <w:rsid w:val="00FC4EF7"/>
    <w:rsid w:val="00FC62BC"/>
    <w:rsid w:val="00FC6B18"/>
    <w:rsid w:val="00FD170D"/>
    <w:rsid w:val="00FE1941"/>
    <w:rsid w:val="00FE1DEE"/>
    <w:rsid w:val="00FE5909"/>
    <w:rsid w:val="00FF1DE1"/>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14747D4"/>
  <w15:docId w15:val="{68D64852-22D2-4B89-8202-FE97CA80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F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2C1070"/>
    <w:pPr>
      <w:keepNext/>
      <w:keepLines/>
      <w:pageBreakBefore/>
      <w:numPr>
        <w:numId w:val="14"/>
      </w:numPr>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numPr>
        <w:ilvl w:val="1"/>
        <w:numId w:val="14"/>
      </w:numPr>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numPr>
        <w:ilvl w:val="5"/>
        <w:numId w:val="14"/>
      </w:numPr>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numPr>
        <w:ilvl w:val="6"/>
        <w:numId w:val="14"/>
      </w:numPr>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3C02CB"/>
    <w:pPr>
      <w:keepNext/>
      <w:keepLines/>
      <w:numPr>
        <w:ilvl w:val="7"/>
        <w:numId w:val="14"/>
      </w:numPr>
      <w:spacing w:before="200" w:after="0"/>
      <w:outlineLvl w:val="7"/>
    </w:pPr>
    <w:rPr>
      <w:rFonts w:asciiTheme="majorHAnsi" w:eastAsiaTheme="majorEastAsia" w:hAnsiTheme="majorHAnsi" w:cstheme="majorBidi"/>
      <w:color w:val="0070B5" w:themeColor="text1" w:themeTint="BF"/>
      <w:sz w:val="20"/>
    </w:rPr>
  </w:style>
  <w:style w:type="paragraph" w:styleId="Heading9">
    <w:name w:val="heading 9"/>
    <w:basedOn w:val="Normal"/>
    <w:next w:val="Normal"/>
    <w:link w:val="Heading9Char"/>
    <w:uiPriority w:val="9"/>
    <w:semiHidden/>
    <w:unhideWhenUsed/>
    <w:qFormat/>
    <w:rsid w:val="003C02CB"/>
    <w:pPr>
      <w:keepNext/>
      <w:keepLines/>
      <w:numPr>
        <w:ilvl w:val="8"/>
        <w:numId w:val="14"/>
      </w:numPr>
      <w:spacing w:before="200" w:after="0"/>
      <w:outlineLvl w:val="8"/>
    </w:pPr>
    <w:rPr>
      <w:rFonts w:asciiTheme="majorHAnsi" w:eastAsiaTheme="majorEastAsia" w:hAnsiTheme="majorHAnsi" w:cstheme="majorBidi"/>
      <w:i/>
      <w:iCs/>
      <w:color w:val="0070B5"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2C1070"/>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aliases w:val="OECD 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8932F3"/>
    <w:pPr>
      <w:numPr>
        <w:numId w:val="3"/>
      </w:numPr>
    </w:pPr>
  </w:style>
  <w:style w:type="paragraph" w:styleId="ListBullet2">
    <w:name w:val="List Bullet 2"/>
    <w:basedOn w:val="Normal"/>
    <w:uiPriority w:val="2"/>
    <w:qFormat/>
    <w:rsid w:val="004B5A6B"/>
    <w:pPr>
      <w:numPr>
        <w:ilvl w:val="1"/>
        <w:numId w:val="3"/>
      </w:numPr>
      <w:ind w:left="850" w:hanging="425"/>
    </w:pPr>
  </w:style>
  <w:style w:type="paragraph" w:styleId="ListBullet3">
    <w:name w:val="List Bullet 3"/>
    <w:basedOn w:val="Normal"/>
    <w:uiPriority w:val="2"/>
    <w:qFormat/>
    <w:rsid w:val="002B706C"/>
    <w:pPr>
      <w:numPr>
        <w:numId w:val="5"/>
      </w:numPr>
      <w:ind w:left="1276" w:hanging="425"/>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E1482"/>
    <w:pPr>
      <w:numPr>
        <w:numId w:val="4"/>
      </w:numPr>
    </w:pPr>
  </w:style>
  <w:style w:type="paragraph" w:customStyle="1" w:styleId="Numberbullet2">
    <w:name w:val="Number bullet 2"/>
    <w:basedOn w:val="ListBullet2"/>
    <w:qFormat/>
    <w:rsid w:val="00EE1482"/>
    <w:pPr>
      <w:numPr>
        <w:numId w:val="4"/>
      </w:numPr>
    </w:pPr>
  </w:style>
  <w:style w:type="paragraph" w:customStyle="1" w:styleId="Numberbullet3">
    <w:name w:val="Number bullet 3"/>
    <w:basedOn w:val="Normal"/>
    <w:qFormat/>
    <w:rsid w:val="004B4CB5"/>
    <w:pPr>
      <w:numPr>
        <w:numId w:val="6"/>
      </w:numPr>
      <w:ind w:left="1361" w:hanging="397"/>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132294"/>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13229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EE1482"/>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3A13F0"/>
    <w:pPr>
      <w:keepNext/>
      <w:keepLines/>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4"/>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3A13F0"/>
    <w:pPr>
      <w:keepNext/>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unhideWhenUsed/>
    <w:rsid w:val="000B0A5D"/>
    <w:pPr>
      <w:spacing w:line="240" w:lineRule="auto"/>
    </w:pPr>
    <w:rPr>
      <w:sz w:val="20"/>
    </w:rPr>
  </w:style>
  <w:style w:type="character" w:customStyle="1" w:styleId="CommentTextChar">
    <w:name w:val="Comment Text Char"/>
    <w:basedOn w:val="DefaultParagraphFont"/>
    <w:link w:val="CommentText"/>
    <w:uiPriority w:val="99"/>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paragraph" w:styleId="ListParagraph">
    <w:name w:val="List Paragraph"/>
    <w:basedOn w:val="Normal"/>
    <w:uiPriority w:val="34"/>
    <w:qFormat/>
    <w:rsid w:val="00854F57"/>
    <w:pPr>
      <w:ind w:left="720"/>
      <w:contextualSpacing/>
    </w:pPr>
  </w:style>
  <w:style w:type="character" w:customStyle="1" w:styleId="Heading8Char">
    <w:name w:val="Heading 8 Char"/>
    <w:basedOn w:val="DefaultParagraphFont"/>
    <w:link w:val="Heading8"/>
    <w:uiPriority w:val="9"/>
    <w:semiHidden/>
    <w:rsid w:val="003C02CB"/>
    <w:rPr>
      <w:rFonts w:asciiTheme="majorHAnsi" w:eastAsiaTheme="majorEastAsia" w:hAnsiTheme="majorHAnsi" w:cstheme="majorBidi"/>
      <w:color w:val="0070B5" w:themeColor="text1" w:themeTint="BF"/>
      <w:lang w:eastAsia="en-US"/>
    </w:rPr>
  </w:style>
  <w:style w:type="character" w:customStyle="1" w:styleId="Heading9Char">
    <w:name w:val="Heading 9 Char"/>
    <w:basedOn w:val="DefaultParagraphFont"/>
    <w:link w:val="Heading9"/>
    <w:uiPriority w:val="9"/>
    <w:semiHidden/>
    <w:rsid w:val="003C02CB"/>
    <w:rPr>
      <w:rFonts w:asciiTheme="majorHAnsi" w:eastAsiaTheme="majorEastAsia" w:hAnsiTheme="majorHAnsi" w:cstheme="majorBidi"/>
      <w:i/>
      <w:iCs/>
      <w:color w:val="0070B5" w:themeColor="text1" w:themeTint="BF"/>
      <w:lang w:eastAsia="en-US"/>
    </w:rPr>
  </w:style>
  <w:style w:type="table" w:styleId="LightList-Accent1">
    <w:name w:val="Light List Accent 1"/>
    <w:basedOn w:val="TableNormal"/>
    <w:uiPriority w:val="61"/>
    <w:rsid w:val="003C02CB"/>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semiHidden/>
    <w:unhideWhenUsed/>
    <w:rsid w:val="003C02CB"/>
    <w:pPr>
      <w:spacing w:after="100"/>
      <w:ind w:left="1760"/>
    </w:pPr>
  </w:style>
  <w:style w:type="paragraph" w:customStyle="1" w:styleId="TableTitle0">
    <w:name w:val="Table Title"/>
    <w:basedOn w:val="Normal"/>
    <w:next w:val="Normal"/>
    <w:qFormat/>
    <w:rsid w:val="003C02CB"/>
    <w:pPr>
      <w:spacing w:before="180"/>
    </w:pPr>
    <w:rPr>
      <w:b/>
    </w:rPr>
  </w:style>
  <w:style w:type="character" w:styleId="Strong">
    <w:name w:val="Strong"/>
    <w:basedOn w:val="DefaultParagraphFont"/>
    <w:uiPriority w:val="22"/>
    <w:qFormat/>
    <w:rsid w:val="003C02CB"/>
    <w:rPr>
      <w:b/>
      <w:bCs/>
    </w:rPr>
  </w:style>
  <w:style w:type="paragraph" w:customStyle="1" w:styleId="Default">
    <w:name w:val="Default"/>
    <w:rsid w:val="003C02CB"/>
    <w:pPr>
      <w:autoSpaceDE w:val="0"/>
      <w:autoSpaceDN w:val="0"/>
      <w:adjustRightInd w:val="0"/>
    </w:pPr>
    <w:rPr>
      <w:rFonts w:ascii="Times New Roman" w:hAnsi="Times New Roman"/>
      <w:color w:val="000000"/>
      <w:sz w:val="24"/>
      <w:szCs w:val="24"/>
    </w:rPr>
  </w:style>
  <w:style w:type="character" w:customStyle="1" w:styleId="fontstyle01">
    <w:name w:val="fontstyle01"/>
    <w:basedOn w:val="DefaultParagraphFont"/>
    <w:rsid w:val="003C02CB"/>
    <w:rPr>
      <w:rFonts w:ascii="Cambria" w:hAnsi="Cambria" w:hint="default"/>
      <w:b w:val="0"/>
      <w:bCs w:val="0"/>
      <w:i w:val="0"/>
      <w:iCs w:val="0"/>
      <w:color w:val="000000"/>
      <w:sz w:val="22"/>
      <w:szCs w:val="22"/>
    </w:rPr>
  </w:style>
  <w:style w:type="character" w:customStyle="1" w:styleId="fontstyle21">
    <w:name w:val="fontstyle21"/>
    <w:basedOn w:val="DefaultParagraphFont"/>
    <w:rsid w:val="003C02CB"/>
    <w:rPr>
      <w:rFonts w:ascii="Cambria-Bold" w:hAnsi="Cambria-Bold" w:hint="default"/>
      <w:b/>
      <w:bCs/>
      <w:i w:val="0"/>
      <w:iCs w:val="0"/>
      <w:color w:val="000000"/>
      <w:sz w:val="22"/>
      <w:szCs w:val="22"/>
    </w:rPr>
  </w:style>
  <w:style w:type="paragraph" w:styleId="Revision">
    <w:name w:val="Revision"/>
    <w:hidden/>
    <w:uiPriority w:val="99"/>
    <w:semiHidden/>
    <w:rsid w:val="003C02CB"/>
    <w:rPr>
      <w:sz w:val="22"/>
      <w:lang w:eastAsia="en-US"/>
    </w:rPr>
  </w:style>
  <w:style w:type="paragraph" w:customStyle="1" w:styleId="ListBulleta">
    <w:name w:val="List Bullet a)"/>
    <w:basedOn w:val="ListBullet"/>
    <w:uiPriority w:val="1"/>
    <w:qFormat/>
    <w:rsid w:val="003C02CB"/>
    <w:pPr>
      <w:numPr>
        <w:numId w:val="15"/>
      </w:numPr>
    </w:pPr>
  </w:style>
  <w:style w:type="paragraph" w:customStyle="1" w:styleId="ListBulleti">
    <w:name w:val="List Bullet i)"/>
    <w:basedOn w:val="ListBullet"/>
    <w:uiPriority w:val="1"/>
    <w:qFormat/>
    <w:rsid w:val="003C02CB"/>
    <w:pPr>
      <w:numPr>
        <w:numId w:val="16"/>
      </w:numPr>
    </w:pPr>
  </w:style>
  <w:style w:type="character" w:customStyle="1" w:styleId="Style1">
    <w:name w:val="Style1"/>
    <w:basedOn w:val="DefaultParagraphFont"/>
    <w:uiPriority w:val="1"/>
    <w:rsid w:val="003C02CB"/>
    <w:rPr>
      <w:rFonts w:ascii="Cambria" w:hAnsi="Cambria"/>
      <w:sz w:val="22"/>
    </w:rPr>
  </w:style>
  <w:style w:type="paragraph" w:styleId="NormalWeb">
    <w:name w:val="Normal (Web)"/>
    <w:basedOn w:val="Normal"/>
    <w:uiPriority w:val="99"/>
    <w:semiHidden/>
    <w:unhideWhenUsed/>
    <w:rsid w:val="003C02C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hanging">
    <w:name w:val="Normal - hanging"/>
    <w:basedOn w:val="Normal"/>
    <w:next w:val="Normal"/>
    <w:qFormat/>
    <w:rsid w:val="00F13518"/>
    <w:pPr>
      <w:ind w:left="1134"/>
    </w:pPr>
  </w:style>
  <w:style w:type="character" w:styleId="Emphasis">
    <w:name w:val="Emphasis"/>
    <w:basedOn w:val="DefaultParagraphFont"/>
    <w:uiPriority w:val="20"/>
    <w:qFormat/>
    <w:rsid w:val="00DD5496"/>
    <w:rPr>
      <w:i/>
      <w:iCs/>
    </w:rPr>
  </w:style>
  <w:style w:type="paragraph" w:customStyle="1" w:styleId="tabletext">
    <w:name w:val="tabletext"/>
    <w:basedOn w:val="Normal"/>
    <w:rsid w:val="00EC2A1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umberbullet20">
    <w:name w:val="numberbullet2"/>
    <w:basedOn w:val="Normal"/>
    <w:rsid w:val="008F5BF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lement-invisible">
    <w:name w:val="element-invisible"/>
    <w:basedOn w:val="DefaultParagraphFont"/>
    <w:rsid w:val="00D56B08"/>
  </w:style>
  <w:style w:type="character" w:customStyle="1" w:styleId="normaltextrun">
    <w:name w:val="normaltextrun"/>
    <w:basedOn w:val="DefaultParagraphFont"/>
    <w:rsid w:val="005F0424"/>
  </w:style>
  <w:style w:type="paragraph" w:customStyle="1" w:styleId="tabletitle1">
    <w:name w:val="tabletitle"/>
    <w:basedOn w:val="Normal"/>
    <w:rsid w:val="00EC46AF"/>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lp-block">
    <w:name w:val="help-block"/>
    <w:basedOn w:val="DefaultParagraphFont"/>
    <w:rsid w:val="002D2D4E"/>
  </w:style>
  <w:style w:type="paragraph" w:customStyle="1" w:styleId="indented-text">
    <w:name w:val="indented-text"/>
    <w:basedOn w:val="Normal"/>
    <w:rsid w:val="00F13518"/>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20">
      <w:bodyDiv w:val="1"/>
      <w:marLeft w:val="0"/>
      <w:marRight w:val="0"/>
      <w:marTop w:val="0"/>
      <w:marBottom w:val="0"/>
      <w:divBdr>
        <w:top w:val="none" w:sz="0" w:space="0" w:color="auto"/>
        <w:left w:val="none" w:sz="0" w:space="0" w:color="auto"/>
        <w:bottom w:val="none" w:sz="0" w:space="0" w:color="auto"/>
        <w:right w:val="none" w:sz="0" w:space="0" w:color="auto"/>
      </w:divBdr>
      <w:divsChild>
        <w:div w:id="1654025027">
          <w:marLeft w:val="0"/>
          <w:marRight w:val="0"/>
          <w:marTop w:val="0"/>
          <w:marBottom w:val="0"/>
          <w:divBdr>
            <w:top w:val="none" w:sz="0" w:space="0" w:color="auto"/>
            <w:left w:val="none" w:sz="0" w:space="0" w:color="auto"/>
            <w:bottom w:val="none" w:sz="0" w:space="0" w:color="auto"/>
            <w:right w:val="none" w:sz="0" w:space="0" w:color="auto"/>
          </w:divBdr>
          <w:divsChild>
            <w:div w:id="799034839">
              <w:marLeft w:val="0"/>
              <w:marRight w:val="0"/>
              <w:marTop w:val="0"/>
              <w:marBottom w:val="0"/>
              <w:divBdr>
                <w:top w:val="none" w:sz="0" w:space="0" w:color="auto"/>
                <w:left w:val="none" w:sz="0" w:space="0" w:color="auto"/>
                <w:bottom w:val="none" w:sz="0" w:space="0" w:color="auto"/>
                <w:right w:val="none" w:sz="0" w:space="0" w:color="auto"/>
              </w:divBdr>
              <w:divsChild>
                <w:div w:id="1310860308">
                  <w:marLeft w:val="0"/>
                  <w:marRight w:val="0"/>
                  <w:marTop w:val="0"/>
                  <w:marBottom w:val="0"/>
                  <w:divBdr>
                    <w:top w:val="none" w:sz="0" w:space="0" w:color="auto"/>
                    <w:left w:val="none" w:sz="0" w:space="0" w:color="auto"/>
                    <w:bottom w:val="none" w:sz="0" w:space="0" w:color="auto"/>
                    <w:right w:val="none" w:sz="0" w:space="0" w:color="auto"/>
                  </w:divBdr>
                  <w:divsChild>
                    <w:div w:id="1384983564">
                      <w:marLeft w:val="0"/>
                      <w:marRight w:val="0"/>
                      <w:marTop w:val="0"/>
                      <w:marBottom w:val="0"/>
                      <w:divBdr>
                        <w:top w:val="none" w:sz="0" w:space="0" w:color="auto"/>
                        <w:left w:val="none" w:sz="0" w:space="0" w:color="auto"/>
                        <w:bottom w:val="none" w:sz="0" w:space="0" w:color="auto"/>
                        <w:right w:val="none" w:sz="0" w:space="0" w:color="auto"/>
                      </w:divBdr>
                      <w:divsChild>
                        <w:div w:id="1412585764">
                          <w:marLeft w:val="0"/>
                          <w:marRight w:val="0"/>
                          <w:marTop w:val="0"/>
                          <w:marBottom w:val="0"/>
                          <w:divBdr>
                            <w:top w:val="none" w:sz="0" w:space="0" w:color="auto"/>
                            <w:left w:val="none" w:sz="0" w:space="0" w:color="auto"/>
                            <w:bottom w:val="none" w:sz="0" w:space="0" w:color="auto"/>
                            <w:right w:val="none" w:sz="0" w:space="0" w:color="auto"/>
                          </w:divBdr>
                          <w:divsChild>
                            <w:div w:id="1115363625">
                              <w:marLeft w:val="0"/>
                              <w:marRight w:val="0"/>
                              <w:marTop w:val="0"/>
                              <w:marBottom w:val="0"/>
                              <w:divBdr>
                                <w:top w:val="none" w:sz="0" w:space="0" w:color="auto"/>
                                <w:left w:val="none" w:sz="0" w:space="0" w:color="auto"/>
                                <w:bottom w:val="none" w:sz="0" w:space="0" w:color="auto"/>
                                <w:right w:val="none" w:sz="0" w:space="0" w:color="auto"/>
                              </w:divBdr>
                              <w:divsChild>
                                <w:div w:id="986278701">
                                  <w:marLeft w:val="0"/>
                                  <w:marRight w:val="0"/>
                                  <w:marTop w:val="0"/>
                                  <w:marBottom w:val="0"/>
                                  <w:divBdr>
                                    <w:top w:val="none" w:sz="0" w:space="0" w:color="auto"/>
                                    <w:left w:val="none" w:sz="0" w:space="0" w:color="auto"/>
                                    <w:bottom w:val="none" w:sz="0" w:space="0" w:color="auto"/>
                                    <w:right w:val="none" w:sz="0" w:space="0" w:color="auto"/>
                                  </w:divBdr>
                                  <w:divsChild>
                                    <w:div w:id="1427384821">
                                      <w:marLeft w:val="0"/>
                                      <w:marRight w:val="0"/>
                                      <w:marTop w:val="0"/>
                                      <w:marBottom w:val="0"/>
                                      <w:divBdr>
                                        <w:top w:val="none" w:sz="0" w:space="0" w:color="auto"/>
                                        <w:left w:val="none" w:sz="0" w:space="0" w:color="auto"/>
                                        <w:bottom w:val="none" w:sz="0" w:space="0" w:color="auto"/>
                                        <w:right w:val="none" w:sz="0" w:space="0" w:color="auto"/>
                                      </w:divBdr>
                                      <w:divsChild>
                                        <w:div w:id="889153519">
                                          <w:marLeft w:val="0"/>
                                          <w:marRight w:val="0"/>
                                          <w:marTop w:val="0"/>
                                          <w:marBottom w:val="0"/>
                                          <w:divBdr>
                                            <w:top w:val="none" w:sz="0" w:space="0" w:color="auto"/>
                                            <w:left w:val="none" w:sz="0" w:space="0" w:color="auto"/>
                                            <w:bottom w:val="none" w:sz="0" w:space="0" w:color="auto"/>
                                            <w:right w:val="none" w:sz="0" w:space="0" w:color="auto"/>
                                          </w:divBdr>
                                          <w:divsChild>
                                            <w:div w:id="739014559">
                                              <w:marLeft w:val="0"/>
                                              <w:marRight w:val="0"/>
                                              <w:marTop w:val="0"/>
                                              <w:marBottom w:val="0"/>
                                              <w:divBdr>
                                                <w:top w:val="none" w:sz="0" w:space="0" w:color="auto"/>
                                                <w:left w:val="none" w:sz="0" w:space="0" w:color="auto"/>
                                                <w:bottom w:val="none" w:sz="0" w:space="0" w:color="auto"/>
                                                <w:right w:val="none" w:sz="0" w:space="0" w:color="auto"/>
                                              </w:divBdr>
                                              <w:divsChild>
                                                <w:div w:id="1266186957">
                                                  <w:marLeft w:val="0"/>
                                                  <w:marRight w:val="0"/>
                                                  <w:marTop w:val="0"/>
                                                  <w:marBottom w:val="0"/>
                                                  <w:divBdr>
                                                    <w:top w:val="none" w:sz="0" w:space="0" w:color="auto"/>
                                                    <w:left w:val="none" w:sz="0" w:space="0" w:color="auto"/>
                                                    <w:bottom w:val="none" w:sz="0" w:space="0" w:color="auto"/>
                                                    <w:right w:val="none" w:sz="0" w:space="0" w:color="auto"/>
                                                  </w:divBdr>
                                                  <w:divsChild>
                                                    <w:div w:id="356197654">
                                                      <w:marLeft w:val="0"/>
                                                      <w:marRight w:val="0"/>
                                                      <w:marTop w:val="0"/>
                                                      <w:marBottom w:val="0"/>
                                                      <w:divBdr>
                                                        <w:top w:val="none" w:sz="0" w:space="0" w:color="auto"/>
                                                        <w:left w:val="none" w:sz="0" w:space="0" w:color="auto"/>
                                                        <w:bottom w:val="none" w:sz="0" w:space="0" w:color="auto"/>
                                                        <w:right w:val="none" w:sz="0" w:space="0" w:color="auto"/>
                                                      </w:divBdr>
                                                      <w:divsChild>
                                                        <w:div w:id="14404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8828">
      <w:bodyDiv w:val="1"/>
      <w:marLeft w:val="0"/>
      <w:marRight w:val="0"/>
      <w:marTop w:val="0"/>
      <w:marBottom w:val="0"/>
      <w:divBdr>
        <w:top w:val="none" w:sz="0" w:space="0" w:color="auto"/>
        <w:left w:val="none" w:sz="0" w:space="0" w:color="auto"/>
        <w:bottom w:val="none" w:sz="0" w:space="0" w:color="auto"/>
        <w:right w:val="none" w:sz="0" w:space="0" w:color="auto"/>
      </w:divBdr>
    </w:div>
    <w:div w:id="232467611">
      <w:bodyDiv w:val="1"/>
      <w:marLeft w:val="0"/>
      <w:marRight w:val="0"/>
      <w:marTop w:val="0"/>
      <w:marBottom w:val="0"/>
      <w:divBdr>
        <w:top w:val="none" w:sz="0" w:space="0" w:color="auto"/>
        <w:left w:val="none" w:sz="0" w:space="0" w:color="auto"/>
        <w:bottom w:val="none" w:sz="0" w:space="0" w:color="auto"/>
        <w:right w:val="none" w:sz="0" w:space="0" w:color="auto"/>
      </w:divBdr>
    </w:div>
    <w:div w:id="425154727">
      <w:bodyDiv w:val="1"/>
      <w:marLeft w:val="0"/>
      <w:marRight w:val="0"/>
      <w:marTop w:val="0"/>
      <w:marBottom w:val="0"/>
      <w:divBdr>
        <w:top w:val="none" w:sz="0" w:space="0" w:color="auto"/>
        <w:left w:val="none" w:sz="0" w:space="0" w:color="auto"/>
        <w:bottom w:val="none" w:sz="0" w:space="0" w:color="auto"/>
        <w:right w:val="none" w:sz="0" w:space="0" w:color="auto"/>
      </w:divBdr>
    </w:div>
    <w:div w:id="478544604">
      <w:bodyDiv w:val="1"/>
      <w:marLeft w:val="0"/>
      <w:marRight w:val="0"/>
      <w:marTop w:val="0"/>
      <w:marBottom w:val="0"/>
      <w:divBdr>
        <w:top w:val="none" w:sz="0" w:space="0" w:color="auto"/>
        <w:left w:val="none" w:sz="0" w:space="0" w:color="auto"/>
        <w:bottom w:val="none" w:sz="0" w:space="0" w:color="auto"/>
        <w:right w:val="none" w:sz="0" w:space="0" w:color="auto"/>
      </w:divBdr>
    </w:div>
    <w:div w:id="503982957">
      <w:bodyDiv w:val="1"/>
      <w:marLeft w:val="0"/>
      <w:marRight w:val="0"/>
      <w:marTop w:val="0"/>
      <w:marBottom w:val="0"/>
      <w:divBdr>
        <w:top w:val="none" w:sz="0" w:space="0" w:color="auto"/>
        <w:left w:val="none" w:sz="0" w:space="0" w:color="auto"/>
        <w:bottom w:val="none" w:sz="0" w:space="0" w:color="auto"/>
        <w:right w:val="none" w:sz="0" w:space="0" w:color="auto"/>
      </w:divBdr>
    </w:div>
    <w:div w:id="508494547">
      <w:bodyDiv w:val="1"/>
      <w:marLeft w:val="0"/>
      <w:marRight w:val="0"/>
      <w:marTop w:val="0"/>
      <w:marBottom w:val="0"/>
      <w:divBdr>
        <w:top w:val="none" w:sz="0" w:space="0" w:color="auto"/>
        <w:left w:val="none" w:sz="0" w:space="0" w:color="auto"/>
        <w:bottom w:val="none" w:sz="0" w:space="0" w:color="auto"/>
        <w:right w:val="none" w:sz="0" w:space="0" w:color="auto"/>
      </w:divBdr>
    </w:div>
    <w:div w:id="569735614">
      <w:bodyDiv w:val="1"/>
      <w:marLeft w:val="0"/>
      <w:marRight w:val="0"/>
      <w:marTop w:val="0"/>
      <w:marBottom w:val="0"/>
      <w:divBdr>
        <w:top w:val="none" w:sz="0" w:space="0" w:color="auto"/>
        <w:left w:val="none" w:sz="0" w:space="0" w:color="auto"/>
        <w:bottom w:val="none" w:sz="0" w:space="0" w:color="auto"/>
        <w:right w:val="none" w:sz="0" w:space="0" w:color="auto"/>
      </w:divBdr>
    </w:div>
    <w:div w:id="597640877">
      <w:bodyDiv w:val="1"/>
      <w:marLeft w:val="0"/>
      <w:marRight w:val="0"/>
      <w:marTop w:val="0"/>
      <w:marBottom w:val="0"/>
      <w:divBdr>
        <w:top w:val="none" w:sz="0" w:space="0" w:color="auto"/>
        <w:left w:val="none" w:sz="0" w:space="0" w:color="auto"/>
        <w:bottom w:val="none" w:sz="0" w:space="0" w:color="auto"/>
        <w:right w:val="none" w:sz="0" w:space="0" w:color="auto"/>
      </w:divBdr>
      <w:divsChild>
        <w:div w:id="2100247760">
          <w:marLeft w:val="0"/>
          <w:marRight w:val="0"/>
          <w:marTop w:val="0"/>
          <w:marBottom w:val="0"/>
          <w:divBdr>
            <w:top w:val="none" w:sz="0" w:space="0" w:color="auto"/>
            <w:left w:val="none" w:sz="0" w:space="0" w:color="auto"/>
            <w:bottom w:val="none" w:sz="0" w:space="0" w:color="auto"/>
            <w:right w:val="none" w:sz="0" w:space="0" w:color="auto"/>
          </w:divBdr>
          <w:divsChild>
            <w:div w:id="501046111">
              <w:marLeft w:val="0"/>
              <w:marRight w:val="0"/>
              <w:marTop w:val="0"/>
              <w:marBottom w:val="0"/>
              <w:divBdr>
                <w:top w:val="none" w:sz="0" w:space="0" w:color="auto"/>
                <w:left w:val="none" w:sz="0" w:space="0" w:color="auto"/>
                <w:bottom w:val="none" w:sz="0" w:space="0" w:color="auto"/>
                <w:right w:val="none" w:sz="0" w:space="0" w:color="auto"/>
              </w:divBdr>
              <w:divsChild>
                <w:div w:id="1275212484">
                  <w:marLeft w:val="0"/>
                  <w:marRight w:val="0"/>
                  <w:marTop w:val="0"/>
                  <w:marBottom w:val="0"/>
                  <w:divBdr>
                    <w:top w:val="none" w:sz="0" w:space="0" w:color="auto"/>
                    <w:left w:val="none" w:sz="0" w:space="0" w:color="auto"/>
                    <w:bottom w:val="none" w:sz="0" w:space="0" w:color="auto"/>
                    <w:right w:val="none" w:sz="0" w:space="0" w:color="auto"/>
                  </w:divBdr>
                  <w:divsChild>
                    <w:div w:id="499125714">
                      <w:marLeft w:val="0"/>
                      <w:marRight w:val="0"/>
                      <w:marTop w:val="0"/>
                      <w:marBottom w:val="0"/>
                      <w:divBdr>
                        <w:top w:val="none" w:sz="0" w:space="0" w:color="auto"/>
                        <w:left w:val="none" w:sz="0" w:space="0" w:color="auto"/>
                        <w:bottom w:val="none" w:sz="0" w:space="0" w:color="auto"/>
                        <w:right w:val="none" w:sz="0" w:space="0" w:color="auto"/>
                      </w:divBdr>
                      <w:divsChild>
                        <w:div w:id="1244755353">
                          <w:marLeft w:val="0"/>
                          <w:marRight w:val="0"/>
                          <w:marTop w:val="0"/>
                          <w:marBottom w:val="0"/>
                          <w:divBdr>
                            <w:top w:val="none" w:sz="0" w:space="0" w:color="auto"/>
                            <w:left w:val="none" w:sz="0" w:space="0" w:color="auto"/>
                            <w:bottom w:val="none" w:sz="0" w:space="0" w:color="auto"/>
                            <w:right w:val="none" w:sz="0" w:space="0" w:color="auto"/>
                          </w:divBdr>
                          <w:divsChild>
                            <w:div w:id="23749654">
                              <w:marLeft w:val="0"/>
                              <w:marRight w:val="0"/>
                              <w:marTop w:val="0"/>
                              <w:marBottom w:val="0"/>
                              <w:divBdr>
                                <w:top w:val="none" w:sz="0" w:space="0" w:color="auto"/>
                                <w:left w:val="none" w:sz="0" w:space="0" w:color="auto"/>
                                <w:bottom w:val="none" w:sz="0" w:space="0" w:color="auto"/>
                                <w:right w:val="none" w:sz="0" w:space="0" w:color="auto"/>
                              </w:divBdr>
                              <w:divsChild>
                                <w:div w:id="1854494733">
                                  <w:marLeft w:val="0"/>
                                  <w:marRight w:val="0"/>
                                  <w:marTop w:val="0"/>
                                  <w:marBottom w:val="0"/>
                                  <w:divBdr>
                                    <w:top w:val="none" w:sz="0" w:space="0" w:color="auto"/>
                                    <w:left w:val="none" w:sz="0" w:space="0" w:color="auto"/>
                                    <w:bottom w:val="none" w:sz="0" w:space="0" w:color="auto"/>
                                    <w:right w:val="none" w:sz="0" w:space="0" w:color="auto"/>
                                  </w:divBdr>
                                  <w:divsChild>
                                    <w:div w:id="533349207">
                                      <w:marLeft w:val="0"/>
                                      <w:marRight w:val="0"/>
                                      <w:marTop w:val="0"/>
                                      <w:marBottom w:val="0"/>
                                      <w:divBdr>
                                        <w:top w:val="none" w:sz="0" w:space="0" w:color="auto"/>
                                        <w:left w:val="none" w:sz="0" w:space="0" w:color="auto"/>
                                        <w:bottom w:val="none" w:sz="0" w:space="0" w:color="auto"/>
                                        <w:right w:val="none" w:sz="0" w:space="0" w:color="auto"/>
                                      </w:divBdr>
                                      <w:divsChild>
                                        <w:div w:id="1710448200">
                                          <w:marLeft w:val="0"/>
                                          <w:marRight w:val="0"/>
                                          <w:marTop w:val="0"/>
                                          <w:marBottom w:val="0"/>
                                          <w:divBdr>
                                            <w:top w:val="none" w:sz="0" w:space="0" w:color="auto"/>
                                            <w:left w:val="none" w:sz="0" w:space="0" w:color="auto"/>
                                            <w:bottom w:val="none" w:sz="0" w:space="0" w:color="auto"/>
                                            <w:right w:val="none" w:sz="0" w:space="0" w:color="auto"/>
                                          </w:divBdr>
                                          <w:divsChild>
                                            <w:div w:id="2049137746">
                                              <w:marLeft w:val="0"/>
                                              <w:marRight w:val="0"/>
                                              <w:marTop w:val="0"/>
                                              <w:marBottom w:val="0"/>
                                              <w:divBdr>
                                                <w:top w:val="none" w:sz="0" w:space="0" w:color="auto"/>
                                                <w:left w:val="none" w:sz="0" w:space="0" w:color="auto"/>
                                                <w:bottom w:val="none" w:sz="0" w:space="0" w:color="auto"/>
                                                <w:right w:val="none" w:sz="0" w:space="0" w:color="auto"/>
                                              </w:divBdr>
                                              <w:divsChild>
                                                <w:div w:id="801266594">
                                                  <w:marLeft w:val="0"/>
                                                  <w:marRight w:val="0"/>
                                                  <w:marTop w:val="0"/>
                                                  <w:marBottom w:val="0"/>
                                                  <w:divBdr>
                                                    <w:top w:val="none" w:sz="0" w:space="0" w:color="auto"/>
                                                    <w:left w:val="none" w:sz="0" w:space="0" w:color="auto"/>
                                                    <w:bottom w:val="none" w:sz="0" w:space="0" w:color="auto"/>
                                                    <w:right w:val="none" w:sz="0" w:space="0" w:color="auto"/>
                                                  </w:divBdr>
                                                  <w:divsChild>
                                                    <w:div w:id="1340812899">
                                                      <w:marLeft w:val="0"/>
                                                      <w:marRight w:val="0"/>
                                                      <w:marTop w:val="0"/>
                                                      <w:marBottom w:val="0"/>
                                                      <w:divBdr>
                                                        <w:top w:val="none" w:sz="0" w:space="0" w:color="auto"/>
                                                        <w:left w:val="none" w:sz="0" w:space="0" w:color="auto"/>
                                                        <w:bottom w:val="none" w:sz="0" w:space="0" w:color="auto"/>
                                                        <w:right w:val="none" w:sz="0" w:space="0" w:color="auto"/>
                                                      </w:divBdr>
                                                      <w:divsChild>
                                                        <w:div w:id="1724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0405420">
      <w:bodyDiv w:val="1"/>
      <w:marLeft w:val="0"/>
      <w:marRight w:val="0"/>
      <w:marTop w:val="0"/>
      <w:marBottom w:val="0"/>
      <w:divBdr>
        <w:top w:val="none" w:sz="0" w:space="0" w:color="auto"/>
        <w:left w:val="none" w:sz="0" w:space="0" w:color="auto"/>
        <w:bottom w:val="none" w:sz="0" w:space="0" w:color="auto"/>
        <w:right w:val="none" w:sz="0" w:space="0" w:color="auto"/>
      </w:divBdr>
      <w:divsChild>
        <w:div w:id="1864854386">
          <w:marLeft w:val="0"/>
          <w:marRight w:val="0"/>
          <w:marTop w:val="0"/>
          <w:marBottom w:val="0"/>
          <w:divBdr>
            <w:top w:val="none" w:sz="0" w:space="0" w:color="auto"/>
            <w:left w:val="none" w:sz="0" w:space="0" w:color="auto"/>
            <w:bottom w:val="none" w:sz="0" w:space="0" w:color="auto"/>
            <w:right w:val="none" w:sz="0" w:space="0" w:color="auto"/>
          </w:divBdr>
          <w:divsChild>
            <w:div w:id="1561092900">
              <w:marLeft w:val="0"/>
              <w:marRight w:val="0"/>
              <w:marTop w:val="0"/>
              <w:marBottom w:val="0"/>
              <w:divBdr>
                <w:top w:val="none" w:sz="0" w:space="0" w:color="auto"/>
                <w:left w:val="none" w:sz="0" w:space="0" w:color="auto"/>
                <w:bottom w:val="none" w:sz="0" w:space="0" w:color="auto"/>
                <w:right w:val="none" w:sz="0" w:space="0" w:color="auto"/>
              </w:divBdr>
              <w:divsChild>
                <w:div w:id="1611619911">
                  <w:marLeft w:val="0"/>
                  <w:marRight w:val="0"/>
                  <w:marTop w:val="0"/>
                  <w:marBottom w:val="0"/>
                  <w:divBdr>
                    <w:top w:val="none" w:sz="0" w:space="0" w:color="auto"/>
                    <w:left w:val="none" w:sz="0" w:space="0" w:color="auto"/>
                    <w:bottom w:val="none" w:sz="0" w:space="0" w:color="auto"/>
                    <w:right w:val="none" w:sz="0" w:space="0" w:color="auto"/>
                  </w:divBdr>
                  <w:divsChild>
                    <w:div w:id="1534146243">
                      <w:marLeft w:val="0"/>
                      <w:marRight w:val="0"/>
                      <w:marTop w:val="0"/>
                      <w:marBottom w:val="0"/>
                      <w:divBdr>
                        <w:top w:val="none" w:sz="0" w:space="0" w:color="auto"/>
                        <w:left w:val="none" w:sz="0" w:space="0" w:color="auto"/>
                        <w:bottom w:val="none" w:sz="0" w:space="0" w:color="auto"/>
                        <w:right w:val="none" w:sz="0" w:space="0" w:color="auto"/>
                      </w:divBdr>
                      <w:divsChild>
                        <w:div w:id="832572359">
                          <w:marLeft w:val="0"/>
                          <w:marRight w:val="0"/>
                          <w:marTop w:val="0"/>
                          <w:marBottom w:val="0"/>
                          <w:divBdr>
                            <w:top w:val="none" w:sz="0" w:space="0" w:color="auto"/>
                            <w:left w:val="none" w:sz="0" w:space="0" w:color="auto"/>
                            <w:bottom w:val="none" w:sz="0" w:space="0" w:color="auto"/>
                            <w:right w:val="none" w:sz="0" w:space="0" w:color="auto"/>
                          </w:divBdr>
                          <w:divsChild>
                            <w:div w:id="30765922">
                              <w:marLeft w:val="0"/>
                              <w:marRight w:val="0"/>
                              <w:marTop w:val="0"/>
                              <w:marBottom w:val="0"/>
                              <w:divBdr>
                                <w:top w:val="none" w:sz="0" w:space="0" w:color="auto"/>
                                <w:left w:val="none" w:sz="0" w:space="0" w:color="auto"/>
                                <w:bottom w:val="none" w:sz="0" w:space="0" w:color="auto"/>
                                <w:right w:val="none" w:sz="0" w:space="0" w:color="auto"/>
                              </w:divBdr>
                              <w:divsChild>
                                <w:div w:id="739979921">
                                  <w:marLeft w:val="0"/>
                                  <w:marRight w:val="0"/>
                                  <w:marTop w:val="0"/>
                                  <w:marBottom w:val="0"/>
                                  <w:divBdr>
                                    <w:top w:val="none" w:sz="0" w:space="0" w:color="auto"/>
                                    <w:left w:val="none" w:sz="0" w:space="0" w:color="auto"/>
                                    <w:bottom w:val="none" w:sz="0" w:space="0" w:color="auto"/>
                                    <w:right w:val="none" w:sz="0" w:space="0" w:color="auto"/>
                                  </w:divBdr>
                                  <w:divsChild>
                                    <w:div w:id="2088651635">
                                      <w:marLeft w:val="0"/>
                                      <w:marRight w:val="0"/>
                                      <w:marTop w:val="0"/>
                                      <w:marBottom w:val="0"/>
                                      <w:divBdr>
                                        <w:top w:val="none" w:sz="0" w:space="0" w:color="auto"/>
                                        <w:left w:val="none" w:sz="0" w:space="0" w:color="auto"/>
                                        <w:bottom w:val="none" w:sz="0" w:space="0" w:color="auto"/>
                                        <w:right w:val="none" w:sz="0" w:space="0" w:color="auto"/>
                                      </w:divBdr>
                                      <w:divsChild>
                                        <w:div w:id="1506282927">
                                          <w:marLeft w:val="0"/>
                                          <w:marRight w:val="0"/>
                                          <w:marTop w:val="0"/>
                                          <w:marBottom w:val="0"/>
                                          <w:divBdr>
                                            <w:top w:val="none" w:sz="0" w:space="0" w:color="auto"/>
                                            <w:left w:val="none" w:sz="0" w:space="0" w:color="auto"/>
                                            <w:bottom w:val="none" w:sz="0" w:space="0" w:color="auto"/>
                                            <w:right w:val="none" w:sz="0" w:space="0" w:color="auto"/>
                                          </w:divBdr>
                                          <w:divsChild>
                                            <w:div w:id="1969506311">
                                              <w:marLeft w:val="0"/>
                                              <w:marRight w:val="0"/>
                                              <w:marTop w:val="0"/>
                                              <w:marBottom w:val="0"/>
                                              <w:divBdr>
                                                <w:top w:val="none" w:sz="0" w:space="0" w:color="auto"/>
                                                <w:left w:val="none" w:sz="0" w:space="0" w:color="auto"/>
                                                <w:bottom w:val="none" w:sz="0" w:space="0" w:color="auto"/>
                                                <w:right w:val="none" w:sz="0" w:space="0" w:color="auto"/>
                                              </w:divBdr>
                                              <w:divsChild>
                                                <w:div w:id="1582987782">
                                                  <w:marLeft w:val="0"/>
                                                  <w:marRight w:val="0"/>
                                                  <w:marTop w:val="0"/>
                                                  <w:marBottom w:val="0"/>
                                                  <w:divBdr>
                                                    <w:top w:val="none" w:sz="0" w:space="0" w:color="auto"/>
                                                    <w:left w:val="none" w:sz="0" w:space="0" w:color="auto"/>
                                                    <w:bottom w:val="none" w:sz="0" w:space="0" w:color="auto"/>
                                                    <w:right w:val="none" w:sz="0" w:space="0" w:color="auto"/>
                                                  </w:divBdr>
                                                  <w:divsChild>
                                                    <w:div w:id="1362707723">
                                                      <w:marLeft w:val="0"/>
                                                      <w:marRight w:val="0"/>
                                                      <w:marTop w:val="0"/>
                                                      <w:marBottom w:val="0"/>
                                                      <w:divBdr>
                                                        <w:top w:val="none" w:sz="0" w:space="0" w:color="auto"/>
                                                        <w:left w:val="none" w:sz="0" w:space="0" w:color="auto"/>
                                                        <w:bottom w:val="none" w:sz="0" w:space="0" w:color="auto"/>
                                                        <w:right w:val="none" w:sz="0" w:space="0" w:color="auto"/>
                                                      </w:divBdr>
                                                      <w:divsChild>
                                                        <w:div w:id="12591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9294138">
      <w:bodyDiv w:val="1"/>
      <w:marLeft w:val="0"/>
      <w:marRight w:val="0"/>
      <w:marTop w:val="0"/>
      <w:marBottom w:val="0"/>
      <w:divBdr>
        <w:top w:val="none" w:sz="0" w:space="0" w:color="auto"/>
        <w:left w:val="none" w:sz="0" w:space="0" w:color="auto"/>
        <w:bottom w:val="none" w:sz="0" w:space="0" w:color="auto"/>
        <w:right w:val="none" w:sz="0" w:space="0" w:color="auto"/>
      </w:divBdr>
    </w:div>
    <w:div w:id="1219589460">
      <w:bodyDiv w:val="1"/>
      <w:marLeft w:val="0"/>
      <w:marRight w:val="0"/>
      <w:marTop w:val="0"/>
      <w:marBottom w:val="0"/>
      <w:divBdr>
        <w:top w:val="none" w:sz="0" w:space="0" w:color="auto"/>
        <w:left w:val="none" w:sz="0" w:space="0" w:color="auto"/>
        <w:bottom w:val="none" w:sz="0" w:space="0" w:color="auto"/>
        <w:right w:val="none" w:sz="0" w:space="0" w:color="auto"/>
      </w:divBdr>
    </w:div>
    <w:div w:id="1228346125">
      <w:bodyDiv w:val="1"/>
      <w:marLeft w:val="0"/>
      <w:marRight w:val="0"/>
      <w:marTop w:val="0"/>
      <w:marBottom w:val="0"/>
      <w:divBdr>
        <w:top w:val="none" w:sz="0" w:space="0" w:color="auto"/>
        <w:left w:val="none" w:sz="0" w:space="0" w:color="auto"/>
        <w:bottom w:val="none" w:sz="0" w:space="0" w:color="auto"/>
        <w:right w:val="none" w:sz="0" w:space="0" w:color="auto"/>
      </w:divBdr>
    </w:div>
    <w:div w:id="1325547591">
      <w:bodyDiv w:val="1"/>
      <w:marLeft w:val="0"/>
      <w:marRight w:val="0"/>
      <w:marTop w:val="0"/>
      <w:marBottom w:val="0"/>
      <w:divBdr>
        <w:top w:val="none" w:sz="0" w:space="0" w:color="auto"/>
        <w:left w:val="none" w:sz="0" w:space="0" w:color="auto"/>
        <w:bottom w:val="none" w:sz="0" w:space="0" w:color="auto"/>
        <w:right w:val="none" w:sz="0" w:space="0" w:color="auto"/>
      </w:divBdr>
    </w:div>
    <w:div w:id="1415274828">
      <w:bodyDiv w:val="1"/>
      <w:marLeft w:val="0"/>
      <w:marRight w:val="0"/>
      <w:marTop w:val="0"/>
      <w:marBottom w:val="0"/>
      <w:divBdr>
        <w:top w:val="none" w:sz="0" w:space="0" w:color="auto"/>
        <w:left w:val="none" w:sz="0" w:space="0" w:color="auto"/>
        <w:bottom w:val="none" w:sz="0" w:space="0" w:color="auto"/>
        <w:right w:val="none" w:sz="0" w:space="0" w:color="auto"/>
      </w:divBdr>
    </w:div>
    <w:div w:id="1681009649">
      <w:bodyDiv w:val="1"/>
      <w:marLeft w:val="0"/>
      <w:marRight w:val="0"/>
      <w:marTop w:val="0"/>
      <w:marBottom w:val="0"/>
      <w:divBdr>
        <w:top w:val="none" w:sz="0" w:space="0" w:color="auto"/>
        <w:left w:val="none" w:sz="0" w:space="0" w:color="auto"/>
        <w:bottom w:val="none" w:sz="0" w:space="0" w:color="auto"/>
        <w:right w:val="none" w:sz="0" w:space="0" w:color="auto"/>
      </w:divBdr>
    </w:div>
    <w:div w:id="1726487943">
      <w:bodyDiv w:val="1"/>
      <w:marLeft w:val="0"/>
      <w:marRight w:val="0"/>
      <w:marTop w:val="0"/>
      <w:marBottom w:val="0"/>
      <w:divBdr>
        <w:top w:val="none" w:sz="0" w:space="0" w:color="auto"/>
        <w:left w:val="none" w:sz="0" w:space="0" w:color="auto"/>
        <w:bottom w:val="none" w:sz="0" w:space="0" w:color="auto"/>
        <w:right w:val="none" w:sz="0" w:space="0" w:color="auto"/>
      </w:divBdr>
    </w:div>
    <w:div w:id="1843738832">
      <w:bodyDiv w:val="1"/>
      <w:marLeft w:val="0"/>
      <w:marRight w:val="0"/>
      <w:marTop w:val="0"/>
      <w:marBottom w:val="0"/>
      <w:divBdr>
        <w:top w:val="none" w:sz="0" w:space="0" w:color="auto"/>
        <w:left w:val="none" w:sz="0" w:space="0" w:color="auto"/>
        <w:bottom w:val="none" w:sz="0" w:space="0" w:color="auto"/>
        <w:right w:val="none" w:sz="0" w:space="0" w:color="auto"/>
      </w:divBdr>
      <w:divsChild>
        <w:div w:id="1618105152">
          <w:marLeft w:val="0"/>
          <w:marRight w:val="0"/>
          <w:marTop w:val="0"/>
          <w:marBottom w:val="0"/>
          <w:divBdr>
            <w:top w:val="single" w:sz="6" w:space="0" w:color="E5E5E5"/>
            <w:left w:val="single" w:sz="6" w:space="0" w:color="E5E5E5"/>
            <w:bottom w:val="single" w:sz="6" w:space="0" w:color="E5E5E5"/>
            <w:right w:val="single" w:sz="6" w:space="0" w:color="E5E5E5"/>
          </w:divBdr>
          <w:divsChild>
            <w:div w:id="129398091">
              <w:marLeft w:val="0"/>
              <w:marRight w:val="0"/>
              <w:marTop w:val="0"/>
              <w:marBottom w:val="0"/>
              <w:divBdr>
                <w:top w:val="none" w:sz="0" w:space="0" w:color="auto"/>
                <w:left w:val="none" w:sz="0" w:space="0" w:color="auto"/>
                <w:bottom w:val="none" w:sz="0" w:space="0" w:color="auto"/>
                <w:right w:val="none" w:sz="0" w:space="0" w:color="auto"/>
              </w:divBdr>
              <w:divsChild>
                <w:div w:id="1209681358">
                  <w:marLeft w:val="0"/>
                  <w:marRight w:val="0"/>
                  <w:marTop w:val="0"/>
                  <w:marBottom w:val="0"/>
                  <w:divBdr>
                    <w:top w:val="none" w:sz="0" w:space="0" w:color="auto"/>
                    <w:left w:val="none" w:sz="0" w:space="0" w:color="auto"/>
                    <w:bottom w:val="none" w:sz="0" w:space="0" w:color="auto"/>
                    <w:right w:val="none" w:sz="0" w:space="0" w:color="auto"/>
                  </w:divBdr>
                  <w:divsChild>
                    <w:div w:id="597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2222">
      <w:bodyDiv w:val="1"/>
      <w:marLeft w:val="0"/>
      <w:marRight w:val="0"/>
      <w:marTop w:val="0"/>
      <w:marBottom w:val="0"/>
      <w:divBdr>
        <w:top w:val="none" w:sz="0" w:space="0" w:color="auto"/>
        <w:left w:val="none" w:sz="0" w:space="0" w:color="auto"/>
        <w:bottom w:val="none" w:sz="0" w:space="0" w:color="auto"/>
        <w:right w:val="none" w:sz="0" w:space="0" w:color="auto"/>
      </w:divBdr>
    </w:div>
    <w:div w:id="1875001261">
      <w:bodyDiv w:val="1"/>
      <w:marLeft w:val="0"/>
      <w:marRight w:val="0"/>
      <w:marTop w:val="0"/>
      <w:marBottom w:val="0"/>
      <w:divBdr>
        <w:top w:val="none" w:sz="0" w:space="0" w:color="auto"/>
        <w:left w:val="none" w:sz="0" w:space="0" w:color="auto"/>
        <w:bottom w:val="none" w:sz="0" w:space="0" w:color="auto"/>
        <w:right w:val="none" w:sz="0" w:space="0" w:color="auto"/>
      </w:divBdr>
    </w:div>
    <w:div w:id="1984650625">
      <w:bodyDiv w:val="1"/>
      <w:marLeft w:val="0"/>
      <w:marRight w:val="0"/>
      <w:marTop w:val="0"/>
      <w:marBottom w:val="0"/>
      <w:divBdr>
        <w:top w:val="none" w:sz="0" w:space="0" w:color="auto"/>
        <w:left w:val="none" w:sz="0" w:space="0" w:color="auto"/>
        <w:bottom w:val="none" w:sz="0" w:space="0" w:color="auto"/>
        <w:right w:val="none" w:sz="0" w:space="0" w:color="auto"/>
      </w:divBdr>
    </w:div>
    <w:div w:id="1990792389">
      <w:bodyDiv w:val="1"/>
      <w:marLeft w:val="0"/>
      <w:marRight w:val="0"/>
      <w:marTop w:val="0"/>
      <w:marBottom w:val="0"/>
      <w:divBdr>
        <w:top w:val="none" w:sz="0" w:space="0" w:color="auto"/>
        <w:left w:val="none" w:sz="0" w:space="0" w:color="auto"/>
        <w:bottom w:val="none" w:sz="0" w:space="0" w:color="auto"/>
        <w:right w:val="none" w:sz="0" w:space="0" w:color="auto"/>
      </w:divBdr>
    </w:div>
    <w:div w:id="21138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sultations.health.gov.au/tga/june_2021_accs" TargetMode="External"/><Relationship Id="rId18" Type="http://schemas.openxmlformats.org/officeDocument/2006/relationships/hyperlink" Target="https://www.tga.gov.au/artg" TargetMode="External"/><Relationship Id="rId26" Type="http://schemas.openxmlformats.org/officeDocument/2006/relationships/hyperlink" Target="https://ec.europa.eu/health/sites/health/files/scientific_committees/consumer_safety/docs/sccs_o_095.pdf" TargetMode="External"/><Relationship Id="rId39" Type="http://schemas.openxmlformats.org/officeDocument/2006/relationships/hyperlink" Target="https://www.who.int/publications/i/item/WHOMVPEMPIAU2019.06" TargetMode="External"/><Relationship Id="rId21" Type="http://schemas.openxmlformats.org/officeDocument/2006/relationships/hyperlink" Target="https://portal.apvma.gov.au/pubcris" TargetMode="External"/><Relationship Id="rId34" Type="http://schemas.openxmlformats.org/officeDocument/2006/relationships/hyperlink" Target="https://www.tga.gov.au/artg" TargetMode="External"/><Relationship Id="rId42" Type="http://schemas.openxmlformats.org/officeDocument/2006/relationships/hyperlink" Target="https://ec.europa.eu/health/ph_risk/committees/04_sccp/docs/sccp_o_126.pdf" TargetMode="External"/><Relationship Id="rId47" Type="http://schemas.openxmlformats.org/officeDocument/2006/relationships/hyperlink" Target="https://www.ebs.tga.gov.au/" TargetMode="External"/><Relationship Id="rId50" Type="http://schemas.openxmlformats.org/officeDocument/2006/relationships/hyperlink" Target="https://www.tga.gov.au/prescribing-medicines-pregnancy-database" TargetMode="External"/><Relationship Id="rId55" Type="http://schemas.openxmlformats.org/officeDocument/2006/relationships/hyperlink" Target="https://www.who.int/publications/i/item/WHOMVPEMPIAU2019.06" TargetMode="External"/><Relationship Id="rId63" Type="http://schemas.openxmlformats.org/officeDocument/2006/relationships/hyperlink" Target="https://www.nhmrc.gov.au/about-us/publications/evidence-effects-lead-human-health" TargetMode="External"/><Relationship Id="rId68" Type="http://schemas.openxmlformats.org/officeDocument/2006/relationships/hyperlink" Target="https://www.tga.gov.au/prescribing-medicines-pregnancy-database" TargetMode="External"/><Relationship Id="rId76" Type="http://schemas.openxmlformats.org/officeDocument/2006/relationships/hyperlink" Target="https://www.medsafe.govt.nz/profs/class/classintro.asp" TargetMode="External"/><Relationship Id="rId84" Type="http://schemas.openxmlformats.org/officeDocument/2006/relationships/hyperlink" Target="https://www.tga.gov.au/scheduling-delegates-interim-decisions-invitations-further-comment"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ortal.apvma.gov.au/pubcris" TargetMode="External"/><Relationship Id="rId2" Type="http://schemas.openxmlformats.org/officeDocument/2006/relationships/numbering" Target="numbering.xml"/><Relationship Id="rId16" Type="http://schemas.openxmlformats.org/officeDocument/2006/relationships/hyperlink" Target="mailto:medicines.scheduling@health.gov.au" TargetMode="External"/><Relationship Id="rId29" Type="http://schemas.openxmlformats.org/officeDocument/2006/relationships/hyperlink" Target="https://www.epa.govt.nz/database-search/new-zealand-inventory-of-chemicals-nzioc/DatabaseSearchForm/?SiteDatabaseSearchFilters=36&amp;Keyword=acequinocyl&amp;DatabaseType=NZIOC" TargetMode="External"/><Relationship Id="rId11" Type="http://schemas.openxmlformats.org/officeDocument/2006/relationships/footer" Target="footer2.xml"/><Relationship Id="rId24" Type="http://schemas.openxmlformats.org/officeDocument/2006/relationships/hyperlink" Target="https://www.accessdata.fda.gov/scripts/cder/daf/" TargetMode="External"/><Relationship Id="rId32" Type="http://schemas.openxmlformats.org/officeDocument/2006/relationships/hyperlink" Target="https://www.chemicalbook.com/Search_EN.aspx?keyword=HC%20Blue%207" TargetMode="External"/><Relationship Id="rId37" Type="http://schemas.openxmlformats.org/officeDocument/2006/relationships/hyperlink" Target="https://portal.apvma.gov.au/pubcris" TargetMode="External"/><Relationship Id="rId40" Type="http://schemas.openxmlformats.org/officeDocument/2006/relationships/hyperlink" Target="https://www.accessdata.fda.gov/scripts/cder/daf/" TargetMode="External"/><Relationship Id="rId45" Type="http://schemas.openxmlformats.org/officeDocument/2006/relationships/hyperlink" Target="https://www.epa.govt.nz/database-search/new-zealand-inventory-of-chemicals-nzioc/DatabaseSearchForm/?SiteDatabaseSearchFilters=36&amp;Keyword=acequinocyl&amp;DatabaseType=NZIOC" TargetMode="External"/><Relationship Id="rId53" Type="http://schemas.openxmlformats.org/officeDocument/2006/relationships/hyperlink" Target="https://portal.apvma.gov.au/pubcris" TargetMode="External"/><Relationship Id="rId58" Type="http://schemas.openxmlformats.org/officeDocument/2006/relationships/hyperlink" Target="https://health-products.canada.ca/dpd-bdpp/index-eng.jsp" TargetMode="External"/><Relationship Id="rId66" Type="http://schemas.openxmlformats.org/officeDocument/2006/relationships/hyperlink" Target="https://www.tga.gov.au/artg" TargetMode="External"/><Relationship Id="rId74" Type="http://schemas.openxmlformats.org/officeDocument/2006/relationships/hyperlink" Target="https://ec.europa.eu/growth/tools-databases/cosing/index.cfm?fuseaction=search.details_v2&amp;id=80813" TargetMode="External"/><Relationship Id="rId79" Type="http://schemas.openxmlformats.org/officeDocument/2006/relationships/hyperlink" Target="https://www.hsa.ie/eng/Topics/Business_Licensing_and_Notification_Requirements/Chemicals/" TargetMode="External"/><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medsafe.govt.nz/profs/class/classintro.asp" TargetMode="External"/><Relationship Id="rId82" Type="http://schemas.openxmlformats.org/officeDocument/2006/relationships/hyperlink" Target="https://www.tga.gov.au/committee/advisory-committee-chemicals-scheduling-accs" TargetMode="External"/><Relationship Id="rId19" Type="http://schemas.openxmlformats.org/officeDocument/2006/relationships/hyperlink" Target="https://www.legislation.gov.au/Search/Therapeutic%20Goods%20$LB$Permissible%20Ingredients$RB$%20Determin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committee/advisory-committee-medicines-scheduling-acms" TargetMode="External"/><Relationship Id="rId22" Type="http://schemas.openxmlformats.org/officeDocument/2006/relationships/hyperlink" Target="https://apvma.gov.au/node/10946" TargetMode="External"/><Relationship Id="rId27" Type="http://schemas.openxmlformats.org/officeDocument/2006/relationships/hyperlink" Target="https://health-products.canada.ca/dpd-bdpp/index-eng.jsp" TargetMode="External"/><Relationship Id="rId30" Type="http://schemas.openxmlformats.org/officeDocument/2006/relationships/hyperlink" Target="https://www.medsafe.govt.nz/profs/class/classintro.asp" TargetMode="External"/><Relationship Id="rId35" Type="http://schemas.openxmlformats.org/officeDocument/2006/relationships/hyperlink" Target="https://www.legislation.gov.au/Search/Therapeutic%20Goods%20$LB$Permissible%20Ingredients$RB$%20Determination" TargetMode="External"/><Relationship Id="rId43" Type="http://schemas.openxmlformats.org/officeDocument/2006/relationships/hyperlink" Target="https://health-products.canada.ca/dpd-bdpp/index-eng.jsp" TargetMode="External"/><Relationship Id="rId48" Type="http://schemas.openxmlformats.org/officeDocument/2006/relationships/hyperlink" Target="https://www.tga.gov.au/artg" TargetMode="External"/><Relationship Id="rId56" Type="http://schemas.openxmlformats.org/officeDocument/2006/relationships/hyperlink" Target="https://www.accessdata.fda.gov/scripts/cder/daf/" TargetMode="External"/><Relationship Id="rId64" Type="http://schemas.openxmlformats.org/officeDocument/2006/relationships/hyperlink" Target="https://www.fda.gov/food/cfsan-constituent-updates/fda-repeal-color-additive-approval-use-lead-acetate-hair-dyes" TargetMode="External"/><Relationship Id="rId69" Type="http://schemas.openxmlformats.org/officeDocument/2006/relationships/hyperlink" Target="https://www.legislation.gov.au/Details/F2019L00213" TargetMode="External"/><Relationship Id="rId77" Type="http://schemas.openxmlformats.org/officeDocument/2006/relationships/hyperlink" Target="https://www.epa.govt.nz/database-search/new-zealand-inventory-of-chemicals-nzioc/" TargetMode="External"/><Relationship Id="rId8" Type="http://schemas.openxmlformats.org/officeDocument/2006/relationships/header" Target="header1.xml"/><Relationship Id="rId51" Type="http://schemas.openxmlformats.org/officeDocument/2006/relationships/hyperlink" Target="https://www.legislation.gov.au/Details/F2019L00213" TargetMode="External"/><Relationship Id="rId72" Type="http://schemas.openxmlformats.org/officeDocument/2006/relationships/hyperlink" Target="https://apvma.gov.au/node/10946" TargetMode="External"/><Relationship Id="rId80" Type="http://schemas.openxmlformats.org/officeDocument/2006/relationships/hyperlink" Target="https://echa.europa.eu/home" TargetMode="External"/><Relationship Id="rId85" Type="http://schemas.openxmlformats.org/officeDocument/2006/relationships/hyperlink" Target="mailto:medicines.scheduling@health.gov.au" TargetMode="Externa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hyperlink" Target="https://www.ebs.tga.gov.au/" TargetMode="External"/><Relationship Id="rId25" Type="http://schemas.openxmlformats.org/officeDocument/2006/relationships/hyperlink" Target="https://ec.europa.eu/growth/tools-databases/cosing/" TargetMode="External"/><Relationship Id="rId33" Type="http://schemas.openxmlformats.org/officeDocument/2006/relationships/hyperlink" Target="https://www.ebs.tga.gov.au/" TargetMode="External"/><Relationship Id="rId38" Type="http://schemas.openxmlformats.org/officeDocument/2006/relationships/hyperlink" Target="https://apvma.gov.au/node/10946" TargetMode="External"/><Relationship Id="rId46" Type="http://schemas.openxmlformats.org/officeDocument/2006/relationships/hyperlink" Target="https://www.medsafe.govt.nz/profs/class/classintro.asp" TargetMode="External"/><Relationship Id="rId59" Type="http://schemas.openxmlformats.org/officeDocument/2006/relationships/hyperlink" Target="https://www.hpra.ie/homepage/medicines/medicines-information/find-a-medicine/results?query=Metoclopramide+hydrochloride&amp;field=ACTIVESUBSTANCES" TargetMode="External"/><Relationship Id="rId67" Type="http://schemas.openxmlformats.org/officeDocument/2006/relationships/hyperlink" Target="https://www.legislation.gov.au/Search/Therapeutic%20Goods%20$LB$Permissible%20Ingredients$RB$%20Determination" TargetMode="External"/><Relationship Id="rId20" Type="http://schemas.openxmlformats.org/officeDocument/2006/relationships/hyperlink" Target="https://www.legislation.gov.au/Details/F2019L00213" TargetMode="External"/><Relationship Id="rId41" Type="http://schemas.openxmlformats.org/officeDocument/2006/relationships/hyperlink" Target="https://ec.europa.eu/growth/tools-databases/cosing/" TargetMode="External"/><Relationship Id="rId54" Type="http://schemas.openxmlformats.org/officeDocument/2006/relationships/hyperlink" Target="https://apvma.gov.au/node/10946" TargetMode="External"/><Relationship Id="rId62" Type="http://schemas.openxmlformats.org/officeDocument/2006/relationships/hyperlink" Target="https://www.tga.gov.au/consultation-invitation/consultation-proposed-amendments-poisons-standard-acms-accs-and-joint-acmsaccs-meetings-march-2021" TargetMode="External"/><Relationship Id="rId70" Type="http://schemas.openxmlformats.org/officeDocument/2006/relationships/hyperlink" Target="https://apps.tga.gov.au/Prod/daen/daen-entry.aspx" TargetMode="External"/><Relationship Id="rId75" Type="http://schemas.openxmlformats.org/officeDocument/2006/relationships/hyperlink" Target="https://www.medsafe.govt.nz/profs/class/classintro.asp" TargetMode="External"/><Relationship Id="rId83" Type="http://schemas.openxmlformats.org/officeDocument/2006/relationships/hyperlink" Target="https://www.tga.gov.au/public-submissions-scheduling-matter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committee/advisory-committee-chemicals-scheduling-accs" TargetMode="External"/><Relationship Id="rId23" Type="http://schemas.openxmlformats.org/officeDocument/2006/relationships/hyperlink" Target="https://www.who.int/publications/i/item/WHOMVPEMPIAU2019.06" TargetMode="External"/><Relationship Id="rId28" Type="http://schemas.openxmlformats.org/officeDocument/2006/relationships/hyperlink" Target="https://www.hpra.ie/homepage/medicines/medicines-information/find-a-medicine/results?query=Metoclopramide+hydrochloride&amp;field=ACTIVESUBSTANCES" TargetMode="External"/><Relationship Id="rId36" Type="http://schemas.openxmlformats.org/officeDocument/2006/relationships/hyperlink" Target="https://www.legislation.gov.au/Details/F2019L00213" TargetMode="External"/><Relationship Id="rId49" Type="http://schemas.openxmlformats.org/officeDocument/2006/relationships/hyperlink" Target="https://www.legislation.gov.au/Search/Therapeutic%20Goods%20$LB$Permissible%20Ingredients$RB$%20Determination" TargetMode="External"/><Relationship Id="rId57" Type="http://schemas.openxmlformats.org/officeDocument/2006/relationships/hyperlink" Target="https://ec.europa.eu/growth/tools-databases/cosing/" TargetMode="External"/><Relationship Id="rId10" Type="http://schemas.openxmlformats.org/officeDocument/2006/relationships/header" Target="header2.xml"/><Relationship Id="rId31" Type="http://schemas.openxmlformats.org/officeDocument/2006/relationships/hyperlink" Target="https://www.chemicalbook.com/Search_EN.aspx?keyword=3-AMINO-2-METHYLAMINO-6-METHOXYPYRIDINE%20DIHYDROCHLORIDE" TargetMode="External"/><Relationship Id="rId44" Type="http://schemas.openxmlformats.org/officeDocument/2006/relationships/hyperlink" Target="https://www.hpra.ie/homepage/medicines/medicines-information/find-a-medicine/results?query=Metoclopramide+hydrochloride&amp;field=ACTIVESUBSTANCES" TargetMode="External"/><Relationship Id="rId52" Type="http://schemas.openxmlformats.org/officeDocument/2006/relationships/hyperlink" Target="https://apps.tga.gov.au/Prod/daen/daen-entry.aspx" TargetMode="External"/><Relationship Id="rId60" Type="http://schemas.openxmlformats.org/officeDocument/2006/relationships/hyperlink" Target="https://www.epa.govt.nz/database-search/new-zealand-inventory-of-chemicals-nzioc/DatabaseSearchForm/?SiteDatabaseSearchFilters=36&amp;Keyword=acequinocyl&amp;DatabaseType=NZIOC" TargetMode="External"/><Relationship Id="rId65" Type="http://schemas.openxmlformats.org/officeDocument/2006/relationships/hyperlink" Target="https://www.ebs.tga.gov.au/" TargetMode="External"/><Relationship Id="rId73" Type="http://schemas.openxmlformats.org/officeDocument/2006/relationships/hyperlink" Target="https://www.accessdata.fda.gov/scripts/cder/daf/" TargetMode="External"/><Relationship Id="rId78" Type="http://schemas.openxmlformats.org/officeDocument/2006/relationships/hyperlink" Target="https://health-products.canada.ca/dpd-bdpp/index-eng.jsp" TargetMode="External"/><Relationship Id="rId81" Type="http://schemas.openxmlformats.org/officeDocument/2006/relationships/hyperlink" Target="https://consultations.health.gov.au/tga/june_2021_accs" TargetMode="External"/><Relationship Id="rId86"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portal.apvma.gov.au/pubcris" TargetMode="External"/><Relationship Id="rId13" Type="http://schemas.openxmlformats.org/officeDocument/2006/relationships/hyperlink" Target="https://www.legislation.gov.au/Details/F2019L00213" TargetMode="External"/><Relationship Id="rId18" Type="http://schemas.openxmlformats.org/officeDocument/2006/relationships/hyperlink" Target="https://ec.europa.eu/growth/tools-databases/cosing/index.cfm?fuseaction=search.details_v2&amp;id=80813" TargetMode="External"/><Relationship Id="rId3" Type="http://schemas.openxmlformats.org/officeDocument/2006/relationships/hyperlink" Target="https://www.tga.gov.au/artg" TargetMode="External"/><Relationship Id="rId21" Type="http://schemas.openxmlformats.org/officeDocument/2006/relationships/hyperlink" Target="www.epa.govt.nz/database-search/new-zealand-inventory-of-chemicals-nzioc/" TargetMode="External"/><Relationship Id="rId7" Type="http://schemas.openxmlformats.org/officeDocument/2006/relationships/hyperlink" Target="https://apps.tga.gov.au/Prod/daen/daen-entry.aspx" TargetMode="External"/><Relationship Id="rId12" Type="http://schemas.openxmlformats.org/officeDocument/2006/relationships/hyperlink" Target="https://www.tga.gov.au/prescribing-medicines-pregnancy-database" TargetMode="External"/><Relationship Id="rId17" Type="http://schemas.openxmlformats.org/officeDocument/2006/relationships/hyperlink" Target="www.accessdata.fda.gov/scripts/cder/daf/" TargetMode="External"/><Relationship Id="rId2" Type="http://schemas.openxmlformats.org/officeDocument/2006/relationships/hyperlink" Target="https://www.ebs.tga.gov.au/" TargetMode="External"/><Relationship Id="rId16" Type="http://schemas.openxmlformats.org/officeDocument/2006/relationships/hyperlink" Target="https://apvma.gov.au/node/10946" TargetMode="External"/><Relationship Id="rId20" Type="http://schemas.openxmlformats.org/officeDocument/2006/relationships/hyperlink" Target="www.medsafe.govt.nz/profs/class/classintro.asp" TargetMode="External"/><Relationship Id="rId1" Type="http://schemas.openxmlformats.org/officeDocument/2006/relationships/hyperlink" Target="https://www.ebs.tga.gov.au/" TargetMode="External"/><Relationship Id="rId6" Type="http://schemas.openxmlformats.org/officeDocument/2006/relationships/hyperlink" Target="https://www.legislation.gov.au/Details/F2019L00213" TargetMode="External"/><Relationship Id="rId11" Type="http://schemas.openxmlformats.org/officeDocument/2006/relationships/hyperlink" Target="https://www.legislation.gov.au/Search/Therapeutic%20Goods%20$LB$Permissible%20Ingredients$RB$%20Determination" TargetMode="External"/><Relationship Id="rId5" Type="http://schemas.openxmlformats.org/officeDocument/2006/relationships/hyperlink" Target="https://www.tga.gov.au/prescribing-medicines-pregnancy-database" TargetMode="External"/><Relationship Id="rId15" Type="http://schemas.openxmlformats.org/officeDocument/2006/relationships/hyperlink" Target="https://portal.apvma.gov.au/pubcris" TargetMode="External"/><Relationship Id="rId23" Type="http://schemas.openxmlformats.org/officeDocument/2006/relationships/hyperlink" Target="https://www.hsa.ie/eng/Topics/Business_Licensing_and_Notification_Requirements/Chemicals/" TargetMode="External"/><Relationship Id="rId10" Type="http://schemas.openxmlformats.org/officeDocument/2006/relationships/hyperlink" Target="https://www.industrialchemicals.gov.au/sites/default/files/Lead%20acetates_%20Human%20health%20tier%20III%20assessment.pdf" TargetMode="External"/><Relationship Id="rId19" Type="http://schemas.openxmlformats.org/officeDocument/2006/relationships/hyperlink" Target="https://www.medsafe.govt.nz/profs/class/classintro.asp" TargetMode="External"/><Relationship Id="rId4" Type="http://schemas.openxmlformats.org/officeDocument/2006/relationships/hyperlink" Target="https://www.legislation.gov.au/Search/Therapeutic%20Goods%20$LB$Permissible%20Ingredients$RB$%20Determination" TargetMode="External"/><Relationship Id="rId9" Type="http://schemas.openxmlformats.org/officeDocument/2006/relationships/hyperlink" Target="https://apvma.gov.au/node/10946" TargetMode="External"/><Relationship Id="rId14" Type="http://schemas.openxmlformats.org/officeDocument/2006/relationships/hyperlink" Target="https://apps.tga.gov.au/Prod/daen/daen-entry.aspx" TargetMode="External"/><Relationship Id="rId22" Type="http://schemas.openxmlformats.org/officeDocument/2006/relationships/hyperlink" Target="www.canada.ca/en/health-canada/services/drugs-health-products/drug-products/drug-product-database.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Consultation%20paper.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E544-3BEB-40BB-8CD8-00008F25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paper.dotx</Template>
  <TotalTime>6725</TotalTime>
  <Pages>24</Pages>
  <Words>7310</Words>
  <Characters>38964</Characters>
  <Application>Microsoft Office Word</Application>
  <DocSecurity>0</DocSecurity>
  <Lines>829</Lines>
  <Paragraphs>436</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45838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Proposed amendments to the Poisons Standard - ACCS #31, June 2021</dc:title>
  <dc:subject>scheduling</dc:subject>
  <dc:creator>Therapeutic Goods Administration</dc:creator>
  <cp:lastModifiedBy>SHEPPARD, Fran</cp:lastModifiedBy>
  <cp:revision>60</cp:revision>
  <cp:lastPrinted>2010-12-20T22:59:00Z</cp:lastPrinted>
  <dcterms:created xsi:type="dcterms:W3CDTF">2021-04-13T07:30:00Z</dcterms:created>
  <dcterms:modified xsi:type="dcterms:W3CDTF">2021-05-05T23:16:00Z</dcterms:modified>
</cp:coreProperties>
</file>