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14:paraId="6EA59E4B" w14:textId="77777777" w:rsidTr="00ED0C8B">
        <w:tc>
          <w:tcPr>
            <w:tcW w:w="8720" w:type="dxa"/>
          </w:tcPr>
          <w:p w14:paraId="3084B878" w14:textId="6C65BC08" w:rsidR="001D480A" w:rsidRPr="009401F6" w:rsidRDefault="00207FDD" w:rsidP="005026FE">
            <w:pPr>
              <w:pStyle w:val="Title"/>
            </w:pPr>
            <w:r>
              <w:t>Consultation: Proposed amendmen</w:t>
            </w:r>
            <w:r w:rsidR="00F730CE">
              <w:t>ts to the Poisons Standard – ACMS, June 2021</w:t>
            </w:r>
          </w:p>
        </w:tc>
      </w:tr>
      <w:tr w:rsidR="00ED0C8B" w:rsidRPr="009401F6" w14:paraId="14361E1D" w14:textId="77777777" w:rsidTr="00ED0C8B">
        <w:trPr>
          <w:trHeight w:val="1387"/>
        </w:trPr>
        <w:tc>
          <w:tcPr>
            <w:tcW w:w="8720" w:type="dxa"/>
          </w:tcPr>
          <w:p w14:paraId="62B6A71E" w14:textId="432F0D22" w:rsidR="001D480A" w:rsidRPr="009401F6" w:rsidRDefault="00F46F0C" w:rsidP="003778F6">
            <w:pPr>
              <w:pStyle w:val="Subtitle"/>
              <w:ind w:left="0"/>
              <w:rPr>
                <w:lang w:eastAsia="en-AU"/>
              </w:rPr>
            </w:pPr>
            <w:r>
              <w:rPr>
                <w:lang w:eastAsia="en-AU"/>
              </w:rPr>
              <w:t>2</w:t>
            </w:r>
            <w:r w:rsidR="003778F6">
              <w:rPr>
                <w:lang w:eastAsia="en-AU"/>
              </w:rPr>
              <w:t>7</w:t>
            </w:r>
            <w:r w:rsidR="00F730CE">
              <w:rPr>
                <w:lang w:eastAsia="en-AU"/>
              </w:rPr>
              <w:t xml:space="preserve"> April 2021</w:t>
            </w:r>
          </w:p>
        </w:tc>
      </w:tr>
      <w:tr w:rsidR="00ED0C8B" w:rsidRPr="009401F6" w14:paraId="30D49EC8" w14:textId="77777777" w:rsidTr="00ED0C8B">
        <w:tc>
          <w:tcPr>
            <w:tcW w:w="8720" w:type="dxa"/>
          </w:tcPr>
          <w:p w14:paraId="7B2E0DCE" w14:textId="44B235A3" w:rsidR="00ED0C8B" w:rsidRPr="009401F6" w:rsidRDefault="00ED0C8B" w:rsidP="00EB182C">
            <w:pPr>
              <w:pStyle w:val="Date"/>
              <w:rPr>
                <w:lang w:eastAsia="en-AU"/>
              </w:rPr>
            </w:pPr>
          </w:p>
        </w:tc>
      </w:tr>
    </w:tbl>
    <w:p w14:paraId="67DC3DBD" w14:textId="77777777" w:rsidR="00BA6FF1" w:rsidRPr="009401F6" w:rsidRDefault="00BA6FF1" w:rsidP="007C7B5B">
      <w:pPr>
        <w:rPr>
          <w:lang w:eastAsia="en-AU"/>
        </w:rPr>
      </w:pPr>
    </w:p>
    <w:p w14:paraId="073968C2" w14:textId="77777777"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14:paraId="40749FEF" w14:textId="77777777" w:rsidR="00BA6FF1" w:rsidRPr="005D4EA1" w:rsidRDefault="00BA6FF1" w:rsidP="00FE1941">
      <w:pPr>
        <w:pStyle w:val="LegalSubheading"/>
        <w:pageBreakBefore/>
      </w:pPr>
      <w:r w:rsidRPr="00691723">
        <w:lastRenderedPageBreak/>
        <w:t>Copyright</w:t>
      </w:r>
    </w:p>
    <w:p w14:paraId="55287C46" w14:textId="77777777" w:rsidR="00611B57" w:rsidRDefault="00EA453A" w:rsidP="00FE1941">
      <w:pPr>
        <w:pStyle w:val="LegalCopy"/>
        <w:spacing w:after="0"/>
      </w:pPr>
      <w:r w:rsidRPr="009401F6">
        <w:t>© Commonwealth of Australia 20</w:t>
      </w:r>
      <w:r w:rsidR="00D433BD">
        <w:t>21</w:t>
      </w:r>
      <w:r w:rsidRPr="009401F6">
        <w:br/>
      </w:r>
      <w:proofErr w:type="gramStart"/>
      <w:r w:rsidRPr="009401F6">
        <w:t>This</w:t>
      </w:r>
      <w:proofErr w:type="gramEnd"/>
      <w:r w:rsidRPr="009401F6">
        <w:t xml:space="preserve"> work is copyright. </w:t>
      </w:r>
      <w:proofErr w:type="gramStart"/>
      <w:r w:rsidRPr="009401F6">
        <w:t>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w:t>
      </w:r>
      <w:proofErr w:type="gramEnd"/>
      <w:r w:rsidRPr="009401F6">
        <w:t xml:space="preserve">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w:t>
      </w:r>
      <w:proofErr w:type="gramStart"/>
      <w:r w:rsidRPr="009401F6">
        <w:t>sent</w:t>
      </w:r>
      <w:proofErr w:type="gramEnd"/>
      <w:r w:rsidRPr="009401F6">
        <w:t xml:space="preserve">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p>
    <w:p w14:paraId="0D346B37" w14:textId="77777777" w:rsidR="008D2B09" w:rsidRPr="009401F6" w:rsidRDefault="008D2B09" w:rsidP="00611B57">
      <w:pPr>
        <w:pStyle w:val="LegalSubheading"/>
      </w:pPr>
      <w:r w:rsidRPr="009401F6">
        <w:t>Confidentiality</w:t>
      </w:r>
    </w:p>
    <w:p w14:paraId="2F01D208" w14:textId="77777777" w:rsidR="00F8365F" w:rsidRPr="00EB182C" w:rsidRDefault="008D2B09" w:rsidP="003204DD">
      <w:pPr>
        <w:pStyle w:val="LegalCopy"/>
      </w:pPr>
      <w:r w:rsidRPr="00EB182C">
        <w:rPr>
          <w:lang w:eastAsia="en-AU"/>
        </w:rPr>
        <w:t xml:space="preserve">All submissions received </w:t>
      </w:r>
      <w:proofErr w:type="gramStart"/>
      <w:r w:rsidRPr="00EB182C">
        <w:rPr>
          <w:lang w:eastAsia="en-AU"/>
        </w:rPr>
        <w:t>will be placed</w:t>
      </w:r>
      <w:proofErr w:type="gramEnd"/>
      <w:r w:rsidRPr="00EB182C">
        <w:rPr>
          <w:lang w:eastAsia="en-AU"/>
        </w:rPr>
        <w:t xml:space="preserve"> on the TGA’s Internet site, unless marked confidential. Any confidential</w:t>
      </w:r>
      <w:r w:rsidR="00907ACE" w:rsidRPr="00EB182C">
        <w:rPr>
          <w:lang w:eastAsia="en-AU"/>
        </w:rPr>
        <w:t xml:space="preserve"> </w:t>
      </w:r>
      <w:r w:rsidRPr="00EB182C">
        <w:rPr>
          <w:lang w:eastAsia="en-AU"/>
        </w:rPr>
        <w:t xml:space="preserve">material contained within your submission </w:t>
      </w:r>
      <w:proofErr w:type="gramStart"/>
      <w:r w:rsidRPr="00EB182C">
        <w:rPr>
          <w:lang w:eastAsia="en-AU"/>
        </w:rPr>
        <w:t>should be provided</w:t>
      </w:r>
      <w:proofErr w:type="gramEnd"/>
      <w:r w:rsidRPr="00EB182C">
        <w:rPr>
          <w:lang w:eastAsia="en-AU"/>
        </w:rPr>
        <w:t xml:space="preserve">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 xml:space="preserve">For submission made by individuals, all personal details, other than your name, </w:t>
      </w:r>
      <w:proofErr w:type="gramStart"/>
      <w:r w:rsidRPr="00EB182C">
        <w:rPr>
          <w:lang w:eastAsia="en-AU"/>
        </w:rPr>
        <w:t>will be removed</w:t>
      </w:r>
      <w:proofErr w:type="gramEnd"/>
      <w:r w:rsidRPr="00EB182C">
        <w:rPr>
          <w:lang w:eastAsia="en-AU"/>
        </w:rPr>
        <w:t xml:space="preserve">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 xml:space="preserve">In addition, a list of parties making submissions </w:t>
      </w:r>
      <w:proofErr w:type="gramStart"/>
      <w:r w:rsidRPr="00EB182C">
        <w:rPr>
          <w:lang w:eastAsia="en-AU"/>
        </w:rPr>
        <w:t>will be published</w:t>
      </w:r>
      <w:proofErr w:type="gramEnd"/>
      <w:r w:rsidRPr="00EB182C">
        <w:rPr>
          <w:lang w:eastAsia="en-AU"/>
        </w:rPr>
        <w:t>. If you do not wish to be identified with your</w:t>
      </w:r>
      <w:r w:rsidR="00611B57" w:rsidRPr="00EB182C">
        <w:rPr>
          <w:lang w:eastAsia="en-AU"/>
        </w:rPr>
        <w:t xml:space="preserve"> </w:t>
      </w:r>
      <w:proofErr w:type="gramStart"/>
      <w:r w:rsidRPr="00EB182C">
        <w:rPr>
          <w:lang w:eastAsia="en-AU"/>
        </w:rPr>
        <w:t>submission</w:t>
      </w:r>
      <w:proofErr w:type="gramEnd"/>
      <w:r w:rsidRPr="00EB182C">
        <w:rPr>
          <w:lang w:eastAsia="en-AU"/>
        </w:rPr>
        <w:t xml:space="preserve"> you must specifically request this in the space provided on the submission </w:t>
      </w:r>
      <w:r w:rsidR="003C7461" w:rsidRPr="00EB182C">
        <w:rPr>
          <w:lang w:eastAsia="en-AU"/>
        </w:rPr>
        <w:t>form.</w:t>
      </w:r>
      <w:bookmarkStart w:id="0" w:name="_Toc323738670"/>
    </w:p>
    <w:sdt>
      <w:sdtPr>
        <w:rPr>
          <w:rFonts w:ascii="Cambria" w:hAnsi="Cambria"/>
          <w:b w:val="0"/>
          <w:sz w:val="22"/>
        </w:rPr>
        <w:id w:val="3701955"/>
        <w:docPartObj>
          <w:docPartGallery w:val="Table of Contents"/>
          <w:docPartUnique/>
        </w:docPartObj>
      </w:sdtPr>
      <w:sdtEndPr/>
      <w:sdtContent>
        <w:p w14:paraId="73E34775" w14:textId="77777777" w:rsidR="00B92C72" w:rsidRPr="009401F6" w:rsidRDefault="00B92C72" w:rsidP="00B92C72">
          <w:pPr>
            <w:pStyle w:val="NonTOCheading2"/>
          </w:pPr>
          <w:r w:rsidRPr="009401F6">
            <w:t>Contents</w:t>
          </w:r>
        </w:p>
        <w:p w14:paraId="6580EE47" w14:textId="6DF11721" w:rsidR="009936E1" w:rsidRDefault="006C626D">
          <w:pPr>
            <w:pStyle w:val="TOC1"/>
            <w:tabs>
              <w:tab w:val="left" w:pos="425"/>
            </w:tabs>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70495018" w:history="1">
            <w:r w:rsidR="009936E1" w:rsidRPr="00CF3F03">
              <w:rPr>
                <w:rStyle w:val="Hyperlink"/>
                <w:noProof/>
              </w:rPr>
              <w:t>1</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Proposed amendments referred for scheduling advice to ACMS #34</w:t>
            </w:r>
            <w:r w:rsidR="009936E1">
              <w:rPr>
                <w:noProof/>
                <w:webHidden/>
              </w:rPr>
              <w:tab/>
            </w:r>
            <w:r w:rsidR="009936E1">
              <w:rPr>
                <w:noProof/>
                <w:webHidden/>
              </w:rPr>
              <w:fldChar w:fldCharType="begin"/>
            </w:r>
            <w:r w:rsidR="009936E1">
              <w:rPr>
                <w:noProof/>
                <w:webHidden/>
              </w:rPr>
              <w:instrText xml:space="preserve"> PAGEREF _Toc70495018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1E4218B9" w14:textId="03334E85" w:rsidR="009936E1" w:rsidRDefault="000D4FA3">
          <w:pPr>
            <w:pStyle w:val="TOC2"/>
            <w:tabs>
              <w:tab w:val="left" w:pos="1276"/>
            </w:tabs>
            <w:rPr>
              <w:rFonts w:asciiTheme="minorHAnsi" w:eastAsiaTheme="minorEastAsia" w:hAnsiTheme="minorHAnsi" w:cstheme="minorBidi"/>
              <w:b w:val="0"/>
              <w:noProof/>
              <w:sz w:val="22"/>
              <w:szCs w:val="22"/>
              <w:lang w:eastAsia="en-AU"/>
            </w:rPr>
          </w:pPr>
          <w:hyperlink w:anchor="_Toc70495019" w:history="1">
            <w:r w:rsidR="009936E1" w:rsidRPr="00CF3F03">
              <w:rPr>
                <w:rStyle w:val="Hyperlink"/>
                <w:noProof/>
              </w:rPr>
              <w:t>1.1</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Amygdalin and hydrocyanic acid</w:t>
            </w:r>
            <w:r w:rsidR="009936E1">
              <w:rPr>
                <w:noProof/>
                <w:webHidden/>
              </w:rPr>
              <w:tab/>
            </w:r>
            <w:r w:rsidR="009936E1">
              <w:rPr>
                <w:noProof/>
                <w:webHidden/>
              </w:rPr>
              <w:fldChar w:fldCharType="begin"/>
            </w:r>
            <w:r w:rsidR="009936E1">
              <w:rPr>
                <w:noProof/>
                <w:webHidden/>
              </w:rPr>
              <w:instrText xml:space="preserve"> PAGEREF _Toc70495019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68BB3F81" w14:textId="1C5F1C7B" w:rsidR="009936E1" w:rsidRDefault="000D4FA3">
          <w:pPr>
            <w:pStyle w:val="TOC3"/>
            <w:rPr>
              <w:rFonts w:asciiTheme="minorHAnsi" w:eastAsiaTheme="minorEastAsia" w:hAnsiTheme="minorHAnsi" w:cstheme="minorBidi"/>
              <w:b w:val="0"/>
              <w:noProof/>
              <w:szCs w:val="22"/>
              <w:lang w:eastAsia="en-AU"/>
            </w:rPr>
          </w:pPr>
          <w:hyperlink w:anchor="_Toc70495020" w:history="1">
            <w:r w:rsidR="009936E1" w:rsidRPr="00CF3F03">
              <w:rPr>
                <w:rStyle w:val="Hyperlink"/>
                <w:noProof/>
              </w:rPr>
              <w:t>Proposal</w:t>
            </w:r>
            <w:r w:rsidR="009936E1">
              <w:rPr>
                <w:noProof/>
                <w:webHidden/>
              </w:rPr>
              <w:tab/>
            </w:r>
            <w:r w:rsidR="009936E1">
              <w:rPr>
                <w:noProof/>
                <w:webHidden/>
              </w:rPr>
              <w:fldChar w:fldCharType="begin"/>
            </w:r>
            <w:r w:rsidR="009936E1">
              <w:rPr>
                <w:noProof/>
                <w:webHidden/>
              </w:rPr>
              <w:instrText xml:space="preserve"> PAGEREF _Toc70495020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728030F2" w14:textId="19EE387D" w:rsidR="009936E1" w:rsidRDefault="000D4FA3">
          <w:pPr>
            <w:pStyle w:val="TOC3"/>
            <w:rPr>
              <w:rFonts w:asciiTheme="minorHAnsi" w:eastAsiaTheme="minorEastAsia" w:hAnsiTheme="minorHAnsi" w:cstheme="minorBidi"/>
              <w:b w:val="0"/>
              <w:noProof/>
              <w:szCs w:val="22"/>
              <w:lang w:eastAsia="en-AU"/>
            </w:rPr>
          </w:pPr>
          <w:hyperlink w:anchor="_Toc70495021" w:history="1">
            <w:r w:rsidR="009936E1" w:rsidRPr="00CF3F03">
              <w:rPr>
                <w:rStyle w:val="Hyperlink"/>
                <w:noProof/>
              </w:rPr>
              <w:t>CAS number:</w:t>
            </w:r>
            <w:r w:rsidR="009936E1">
              <w:rPr>
                <w:noProof/>
                <w:webHidden/>
              </w:rPr>
              <w:tab/>
            </w:r>
            <w:r w:rsidR="009936E1">
              <w:rPr>
                <w:noProof/>
                <w:webHidden/>
              </w:rPr>
              <w:fldChar w:fldCharType="begin"/>
            </w:r>
            <w:r w:rsidR="009936E1">
              <w:rPr>
                <w:noProof/>
                <w:webHidden/>
              </w:rPr>
              <w:instrText xml:space="preserve"> PAGEREF _Toc70495021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3AE2A222" w14:textId="78174D4A" w:rsidR="009936E1" w:rsidRDefault="000D4FA3">
          <w:pPr>
            <w:pStyle w:val="TOC3"/>
            <w:rPr>
              <w:rFonts w:asciiTheme="minorHAnsi" w:eastAsiaTheme="minorEastAsia" w:hAnsiTheme="minorHAnsi" w:cstheme="minorBidi"/>
              <w:b w:val="0"/>
              <w:noProof/>
              <w:szCs w:val="22"/>
              <w:lang w:eastAsia="en-AU"/>
            </w:rPr>
          </w:pPr>
          <w:hyperlink w:anchor="_Toc70495022" w:history="1">
            <w:r w:rsidR="009936E1" w:rsidRPr="00CF3F03">
              <w:rPr>
                <w:rStyle w:val="Hyperlink"/>
                <w:noProof/>
              </w:rPr>
              <w:t>Alternative names</w:t>
            </w:r>
            <w:r w:rsidR="009936E1">
              <w:rPr>
                <w:noProof/>
                <w:webHidden/>
              </w:rPr>
              <w:tab/>
            </w:r>
            <w:r w:rsidR="009936E1">
              <w:rPr>
                <w:noProof/>
                <w:webHidden/>
              </w:rPr>
              <w:fldChar w:fldCharType="begin"/>
            </w:r>
            <w:r w:rsidR="009936E1">
              <w:rPr>
                <w:noProof/>
                <w:webHidden/>
              </w:rPr>
              <w:instrText xml:space="preserve"> PAGEREF _Toc70495022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2372D3AF" w14:textId="6F10A294" w:rsidR="009936E1" w:rsidRDefault="000D4FA3">
          <w:pPr>
            <w:pStyle w:val="TOC3"/>
            <w:rPr>
              <w:rFonts w:asciiTheme="minorHAnsi" w:eastAsiaTheme="minorEastAsia" w:hAnsiTheme="minorHAnsi" w:cstheme="minorBidi"/>
              <w:b w:val="0"/>
              <w:noProof/>
              <w:szCs w:val="22"/>
              <w:lang w:eastAsia="en-AU"/>
            </w:rPr>
          </w:pPr>
          <w:hyperlink w:anchor="_Toc70495023" w:history="1">
            <w:r w:rsidR="009936E1" w:rsidRPr="00CF3F03">
              <w:rPr>
                <w:rStyle w:val="Hyperlink"/>
                <w:noProof/>
              </w:rPr>
              <w:t>Applicant</w:t>
            </w:r>
            <w:r w:rsidR="009936E1">
              <w:rPr>
                <w:noProof/>
                <w:webHidden/>
              </w:rPr>
              <w:tab/>
            </w:r>
            <w:r w:rsidR="009936E1">
              <w:rPr>
                <w:noProof/>
                <w:webHidden/>
              </w:rPr>
              <w:fldChar w:fldCharType="begin"/>
            </w:r>
            <w:r w:rsidR="009936E1">
              <w:rPr>
                <w:noProof/>
                <w:webHidden/>
              </w:rPr>
              <w:instrText xml:space="preserve"> PAGEREF _Toc70495023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072FB88B" w14:textId="1AAD4D89" w:rsidR="009936E1" w:rsidRDefault="000D4FA3">
          <w:pPr>
            <w:pStyle w:val="TOC3"/>
            <w:rPr>
              <w:rFonts w:asciiTheme="minorHAnsi" w:eastAsiaTheme="minorEastAsia" w:hAnsiTheme="minorHAnsi" w:cstheme="minorBidi"/>
              <w:b w:val="0"/>
              <w:noProof/>
              <w:szCs w:val="22"/>
              <w:lang w:eastAsia="en-AU"/>
            </w:rPr>
          </w:pPr>
          <w:hyperlink w:anchor="_Toc70495024" w:history="1">
            <w:r w:rsidR="009936E1" w:rsidRPr="00CF3F03">
              <w:rPr>
                <w:rStyle w:val="Hyperlink"/>
                <w:noProof/>
              </w:rPr>
              <w:t>Current scheduling</w:t>
            </w:r>
            <w:r w:rsidR="009936E1">
              <w:rPr>
                <w:noProof/>
                <w:webHidden/>
              </w:rPr>
              <w:tab/>
            </w:r>
            <w:r w:rsidR="009936E1">
              <w:rPr>
                <w:noProof/>
                <w:webHidden/>
              </w:rPr>
              <w:fldChar w:fldCharType="begin"/>
            </w:r>
            <w:r w:rsidR="009936E1">
              <w:rPr>
                <w:noProof/>
                <w:webHidden/>
              </w:rPr>
              <w:instrText xml:space="preserve"> PAGEREF _Toc70495024 \h </w:instrText>
            </w:r>
            <w:r w:rsidR="009936E1">
              <w:rPr>
                <w:noProof/>
                <w:webHidden/>
              </w:rPr>
            </w:r>
            <w:r w:rsidR="009936E1">
              <w:rPr>
                <w:noProof/>
                <w:webHidden/>
              </w:rPr>
              <w:fldChar w:fldCharType="separate"/>
            </w:r>
            <w:r w:rsidR="009936E1">
              <w:rPr>
                <w:noProof/>
                <w:webHidden/>
              </w:rPr>
              <w:t>5</w:t>
            </w:r>
            <w:r w:rsidR="009936E1">
              <w:rPr>
                <w:noProof/>
                <w:webHidden/>
              </w:rPr>
              <w:fldChar w:fldCharType="end"/>
            </w:r>
          </w:hyperlink>
        </w:p>
        <w:p w14:paraId="4CC7696A" w14:textId="184E42AC" w:rsidR="009936E1" w:rsidRDefault="000D4FA3">
          <w:pPr>
            <w:pStyle w:val="TOC3"/>
            <w:rPr>
              <w:rFonts w:asciiTheme="minorHAnsi" w:eastAsiaTheme="minorEastAsia" w:hAnsiTheme="minorHAnsi" w:cstheme="minorBidi"/>
              <w:b w:val="0"/>
              <w:noProof/>
              <w:szCs w:val="22"/>
              <w:lang w:eastAsia="en-AU"/>
            </w:rPr>
          </w:pPr>
          <w:hyperlink w:anchor="_Toc70495025" w:history="1">
            <w:r w:rsidR="009936E1" w:rsidRPr="00CF3F03">
              <w:rPr>
                <w:rStyle w:val="Hyperlink"/>
                <w:noProof/>
              </w:rPr>
              <w:t>Proposed scheduling</w:t>
            </w:r>
            <w:r w:rsidR="009936E1">
              <w:rPr>
                <w:noProof/>
                <w:webHidden/>
              </w:rPr>
              <w:tab/>
            </w:r>
            <w:r w:rsidR="009936E1">
              <w:rPr>
                <w:noProof/>
                <w:webHidden/>
              </w:rPr>
              <w:fldChar w:fldCharType="begin"/>
            </w:r>
            <w:r w:rsidR="009936E1">
              <w:rPr>
                <w:noProof/>
                <w:webHidden/>
              </w:rPr>
              <w:instrText xml:space="preserve"> PAGEREF _Toc70495025 \h </w:instrText>
            </w:r>
            <w:r w:rsidR="009936E1">
              <w:rPr>
                <w:noProof/>
                <w:webHidden/>
              </w:rPr>
            </w:r>
            <w:r w:rsidR="009936E1">
              <w:rPr>
                <w:noProof/>
                <w:webHidden/>
              </w:rPr>
              <w:fldChar w:fldCharType="separate"/>
            </w:r>
            <w:r w:rsidR="009936E1">
              <w:rPr>
                <w:noProof/>
                <w:webHidden/>
              </w:rPr>
              <w:t>7</w:t>
            </w:r>
            <w:r w:rsidR="009936E1">
              <w:rPr>
                <w:noProof/>
                <w:webHidden/>
              </w:rPr>
              <w:fldChar w:fldCharType="end"/>
            </w:r>
          </w:hyperlink>
        </w:p>
        <w:p w14:paraId="1923D4D6" w14:textId="296822A3" w:rsidR="009936E1" w:rsidRDefault="000D4FA3">
          <w:pPr>
            <w:pStyle w:val="TOC3"/>
            <w:rPr>
              <w:rFonts w:asciiTheme="minorHAnsi" w:eastAsiaTheme="minorEastAsia" w:hAnsiTheme="minorHAnsi" w:cstheme="minorBidi"/>
              <w:b w:val="0"/>
              <w:noProof/>
              <w:szCs w:val="22"/>
              <w:lang w:eastAsia="en-AU"/>
            </w:rPr>
          </w:pPr>
          <w:hyperlink w:anchor="_Toc70495026" w:history="1">
            <w:r w:rsidR="009936E1" w:rsidRPr="00CF3F03">
              <w:rPr>
                <w:rStyle w:val="Hyperlink"/>
                <w:noProof/>
              </w:rPr>
              <w:t>Key uses / expected use</w:t>
            </w:r>
            <w:r w:rsidR="009936E1">
              <w:rPr>
                <w:noProof/>
                <w:webHidden/>
              </w:rPr>
              <w:tab/>
            </w:r>
            <w:r w:rsidR="009936E1">
              <w:rPr>
                <w:noProof/>
                <w:webHidden/>
              </w:rPr>
              <w:fldChar w:fldCharType="begin"/>
            </w:r>
            <w:r w:rsidR="009936E1">
              <w:rPr>
                <w:noProof/>
                <w:webHidden/>
              </w:rPr>
              <w:instrText xml:space="preserve"> PAGEREF _Toc70495026 \h </w:instrText>
            </w:r>
            <w:r w:rsidR="009936E1">
              <w:rPr>
                <w:noProof/>
                <w:webHidden/>
              </w:rPr>
            </w:r>
            <w:r w:rsidR="009936E1">
              <w:rPr>
                <w:noProof/>
                <w:webHidden/>
              </w:rPr>
              <w:fldChar w:fldCharType="separate"/>
            </w:r>
            <w:r w:rsidR="009936E1">
              <w:rPr>
                <w:noProof/>
                <w:webHidden/>
              </w:rPr>
              <w:t>7</w:t>
            </w:r>
            <w:r w:rsidR="009936E1">
              <w:rPr>
                <w:noProof/>
                <w:webHidden/>
              </w:rPr>
              <w:fldChar w:fldCharType="end"/>
            </w:r>
          </w:hyperlink>
        </w:p>
        <w:p w14:paraId="0EA8DA9B" w14:textId="5A82F5FD" w:rsidR="009936E1" w:rsidRDefault="000D4FA3">
          <w:pPr>
            <w:pStyle w:val="TOC3"/>
            <w:rPr>
              <w:rFonts w:asciiTheme="minorHAnsi" w:eastAsiaTheme="minorEastAsia" w:hAnsiTheme="minorHAnsi" w:cstheme="minorBidi"/>
              <w:b w:val="0"/>
              <w:noProof/>
              <w:szCs w:val="22"/>
              <w:lang w:eastAsia="en-AU"/>
            </w:rPr>
          </w:pPr>
          <w:hyperlink w:anchor="_Toc70495027" w:history="1">
            <w:r w:rsidR="009936E1" w:rsidRPr="00CF3F03">
              <w:rPr>
                <w:rStyle w:val="Hyperlink"/>
                <w:noProof/>
              </w:rPr>
              <w:t>Summary of applicant’s reasons for proposal</w:t>
            </w:r>
            <w:r w:rsidR="009936E1">
              <w:rPr>
                <w:noProof/>
                <w:webHidden/>
              </w:rPr>
              <w:tab/>
            </w:r>
            <w:r w:rsidR="009936E1">
              <w:rPr>
                <w:noProof/>
                <w:webHidden/>
              </w:rPr>
              <w:fldChar w:fldCharType="begin"/>
            </w:r>
            <w:r w:rsidR="009936E1">
              <w:rPr>
                <w:noProof/>
                <w:webHidden/>
              </w:rPr>
              <w:instrText xml:space="preserve"> PAGEREF _Toc70495027 \h </w:instrText>
            </w:r>
            <w:r w:rsidR="009936E1">
              <w:rPr>
                <w:noProof/>
                <w:webHidden/>
              </w:rPr>
            </w:r>
            <w:r w:rsidR="009936E1">
              <w:rPr>
                <w:noProof/>
                <w:webHidden/>
              </w:rPr>
              <w:fldChar w:fldCharType="separate"/>
            </w:r>
            <w:r w:rsidR="009936E1">
              <w:rPr>
                <w:noProof/>
                <w:webHidden/>
              </w:rPr>
              <w:t>7</w:t>
            </w:r>
            <w:r w:rsidR="009936E1">
              <w:rPr>
                <w:noProof/>
                <w:webHidden/>
              </w:rPr>
              <w:fldChar w:fldCharType="end"/>
            </w:r>
          </w:hyperlink>
        </w:p>
        <w:p w14:paraId="7ED71D02" w14:textId="0AF3BAF0" w:rsidR="009936E1" w:rsidRDefault="000D4FA3">
          <w:pPr>
            <w:pStyle w:val="TOC3"/>
            <w:rPr>
              <w:rFonts w:asciiTheme="minorHAnsi" w:eastAsiaTheme="minorEastAsia" w:hAnsiTheme="minorHAnsi" w:cstheme="minorBidi"/>
              <w:b w:val="0"/>
              <w:noProof/>
              <w:szCs w:val="22"/>
              <w:lang w:eastAsia="en-AU"/>
            </w:rPr>
          </w:pPr>
          <w:hyperlink w:anchor="_Toc70495028" w:history="1">
            <w:r w:rsidR="009936E1" w:rsidRPr="00CF3F03">
              <w:rPr>
                <w:rStyle w:val="Hyperlink"/>
                <w:noProof/>
              </w:rPr>
              <w:t>Australian regulations</w:t>
            </w:r>
            <w:r w:rsidR="009936E1">
              <w:rPr>
                <w:noProof/>
                <w:webHidden/>
              </w:rPr>
              <w:tab/>
            </w:r>
            <w:r w:rsidR="009936E1">
              <w:rPr>
                <w:noProof/>
                <w:webHidden/>
              </w:rPr>
              <w:fldChar w:fldCharType="begin"/>
            </w:r>
            <w:r w:rsidR="009936E1">
              <w:rPr>
                <w:noProof/>
                <w:webHidden/>
              </w:rPr>
              <w:instrText xml:space="preserve"> PAGEREF _Toc70495028 \h </w:instrText>
            </w:r>
            <w:r w:rsidR="009936E1">
              <w:rPr>
                <w:noProof/>
                <w:webHidden/>
              </w:rPr>
            </w:r>
            <w:r w:rsidR="009936E1">
              <w:rPr>
                <w:noProof/>
                <w:webHidden/>
              </w:rPr>
              <w:fldChar w:fldCharType="separate"/>
            </w:r>
            <w:r w:rsidR="009936E1">
              <w:rPr>
                <w:noProof/>
                <w:webHidden/>
              </w:rPr>
              <w:t>8</w:t>
            </w:r>
            <w:r w:rsidR="009936E1">
              <w:rPr>
                <w:noProof/>
                <w:webHidden/>
              </w:rPr>
              <w:fldChar w:fldCharType="end"/>
            </w:r>
          </w:hyperlink>
        </w:p>
        <w:p w14:paraId="1D80D87B" w14:textId="513B5DF7" w:rsidR="009936E1" w:rsidRDefault="000D4FA3">
          <w:pPr>
            <w:pStyle w:val="TOC3"/>
            <w:rPr>
              <w:rFonts w:asciiTheme="minorHAnsi" w:eastAsiaTheme="minorEastAsia" w:hAnsiTheme="minorHAnsi" w:cstheme="minorBidi"/>
              <w:b w:val="0"/>
              <w:noProof/>
              <w:szCs w:val="22"/>
              <w:lang w:eastAsia="en-AU"/>
            </w:rPr>
          </w:pPr>
          <w:hyperlink w:anchor="_Toc70495029" w:history="1">
            <w:r w:rsidR="009936E1" w:rsidRPr="00CF3F03">
              <w:rPr>
                <w:rStyle w:val="Hyperlink"/>
                <w:noProof/>
              </w:rPr>
              <w:t>International regulations</w:t>
            </w:r>
            <w:r w:rsidR="009936E1">
              <w:rPr>
                <w:noProof/>
                <w:webHidden/>
              </w:rPr>
              <w:tab/>
            </w:r>
            <w:r w:rsidR="009936E1">
              <w:rPr>
                <w:noProof/>
                <w:webHidden/>
              </w:rPr>
              <w:fldChar w:fldCharType="begin"/>
            </w:r>
            <w:r w:rsidR="009936E1">
              <w:rPr>
                <w:noProof/>
                <w:webHidden/>
              </w:rPr>
              <w:instrText xml:space="preserve"> PAGEREF _Toc70495029 \h </w:instrText>
            </w:r>
            <w:r w:rsidR="009936E1">
              <w:rPr>
                <w:noProof/>
                <w:webHidden/>
              </w:rPr>
            </w:r>
            <w:r w:rsidR="009936E1">
              <w:rPr>
                <w:noProof/>
                <w:webHidden/>
              </w:rPr>
              <w:fldChar w:fldCharType="separate"/>
            </w:r>
            <w:r w:rsidR="009936E1">
              <w:rPr>
                <w:noProof/>
                <w:webHidden/>
              </w:rPr>
              <w:t>9</w:t>
            </w:r>
            <w:r w:rsidR="009936E1">
              <w:rPr>
                <w:noProof/>
                <w:webHidden/>
              </w:rPr>
              <w:fldChar w:fldCharType="end"/>
            </w:r>
          </w:hyperlink>
        </w:p>
        <w:p w14:paraId="72FD98CF" w14:textId="643AA01C" w:rsidR="009936E1" w:rsidRDefault="000D4FA3">
          <w:pPr>
            <w:pStyle w:val="TOC2"/>
            <w:tabs>
              <w:tab w:val="left" w:pos="1276"/>
            </w:tabs>
            <w:rPr>
              <w:rFonts w:asciiTheme="minorHAnsi" w:eastAsiaTheme="minorEastAsia" w:hAnsiTheme="minorHAnsi" w:cstheme="minorBidi"/>
              <w:b w:val="0"/>
              <w:noProof/>
              <w:sz w:val="22"/>
              <w:szCs w:val="22"/>
              <w:lang w:eastAsia="en-AU"/>
            </w:rPr>
          </w:pPr>
          <w:hyperlink w:anchor="_Toc70495030" w:history="1">
            <w:r w:rsidR="009936E1" w:rsidRPr="00CF3F03">
              <w:rPr>
                <w:rStyle w:val="Hyperlink"/>
                <w:noProof/>
              </w:rPr>
              <w:t>1.1</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Bufexamac</w:t>
            </w:r>
            <w:r w:rsidR="009936E1">
              <w:rPr>
                <w:noProof/>
                <w:webHidden/>
              </w:rPr>
              <w:tab/>
            </w:r>
            <w:r w:rsidR="009936E1">
              <w:rPr>
                <w:noProof/>
                <w:webHidden/>
              </w:rPr>
              <w:fldChar w:fldCharType="begin"/>
            </w:r>
            <w:r w:rsidR="009936E1">
              <w:rPr>
                <w:noProof/>
                <w:webHidden/>
              </w:rPr>
              <w:instrText xml:space="preserve"> PAGEREF _Toc70495030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05DC2AE6" w14:textId="649B19B8" w:rsidR="009936E1" w:rsidRDefault="000D4FA3">
          <w:pPr>
            <w:pStyle w:val="TOC3"/>
            <w:rPr>
              <w:rFonts w:asciiTheme="minorHAnsi" w:eastAsiaTheme="minorEastAsia" w:hAnsiTheme="minorHAnsi" w:cstheme="minorBidi"/>
              <w:b w:val="0"/>
              <w:noProof/>
              <w:szCs w:val="22"/>
              <w:lang w:eastAsia="en-AU"/>
            </w:rPr>
          </w:pPr>
          <w:hyperlink w:anchor="_Toc70495031" w:history="1">
            <w:r w:rsidR="009936E1" w:rsidRPr="00CF3F03">
              <w:rPr>
                <w:rStyle w:val="Hyperlink"/>
                <w:noProof/>
              </w:rPr>
              <w:t>Proposal</w:t>
            </w:r>
            <w:r w:rsidR="009936E1">
              <w:rPr>
                <w:noProof/>
                <w:webHidden/>
              </w:rPr>
              <w:tab/>
            </w:r>
            <w:r w:rsidR="009936E1">
              <w:rPr>
                <w:noProof/>
                <w:webHidden/>
              </w:rPr>
              <w:fldChar w:fldCharType="begin"/>
            </w:r>
            <w:r w:rsidR="009936E1">
              <w:rPr>
                <w:noProof/>
                <w:webHidden/>
              </w:rPr>
              <w:instrText xml:space="preserve"> PAGEREF _Toc70495031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6A666A08" w14:textId="53E3C5EA" w:rsidR="009936E1" w:rsidRDefault="000D4FA3">
          <w:pPr>
            <w:pStyle w:val="TOC3"/>
            <w:rPr>
              <w:rFonts w:asciiTheme="minorHAnsi" w:eastAsiaTheme="minorEastAsia" w:hAnsiTheme="minorHAnsi" w:cstheme="minorBidi"/>
              <w:b w:val="0"/>
              <w:noProof/>
              <w:szCs w:val="22"/>
              <w:lang w:eastAsia="en-AU"/>
            </w:rPr>
          </w:pPr>
          <w:hyperlink w:anchor="_Toc70495032" w:history="1">
            <w:r w:rsidR="009936E1" w:rsidRPr="00CF3F03">
              <w:rPr>
                <w:rStyle w:val="Hyperlink"/>
                <w:noProof/>
              </w:rPr>
              <w:t>CAS number:</w:t>
            </w:r>
            <w:r w:rsidR="009936E1">
              <w:rPr>
                <w:noProof/>
                <w:webHidden/>
              </w:rPr>
              <w:tab/>
            </w:r>
            <w:r w:rsidR="009936E1">
              <w:rPr>
                <w:noProof/>
                <w:webHidden/>
              </w:rPr>
              <w:fldChar w:fldCharType="begin"/>
            </w:r>
            <w:r w:rsidR="009936E1">
              <w:rPr>
                <w:noProof/>
                <w:webHidden/>
              </w:rPr>
              <w:instrText xml:space="preserve"> PAGEREF _Toc70495032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75FEA2C0" w14:textId="63F7D345" w:rsidR="009936E1" w:rsidRDefault="000D4FA3">
          <w:pPr>
            <w:pStyle w:val="TOC3"/>
            <w:rPr>
              <w:rFonts w:asciiTheme="minorHAnsi" w:eastAsiaTheme="minorEastAsia" w:hAnsiTheme="minorHAnsi" w:cstheme="minorBidi"/>
              <w:b w:val="0"/>
              <w:noProof/>
              <w:szCs w:val="22"/>
              <w:lang w:eastAsia="en-AU"/>
            </w:rPr>
          </w:pPr>
          <w:hyperlink w:anchor="_Toc70495033" w:history="1">
            <w:r w:rsidR="009936E1" w:rsidRPr="00CF3F03">
              <w:rPr>
                <w:rStyle w:val="Hyperlink"/>
                <w:noProof/>
              </w:rPr>
              <w:t>Alternative names</w:t>
            </w:r>
            <w:r w:rsidR="009936E1">
              <w:rPr>
                <w:noProof/>
                <w:webHidden/>
              </w:rPr>
              <w:tab/>
            </w:r>
            <w:r w:rsidR="009936E1">
              <w:rPr>
                <w:noProof/>
                <w:webHidden/>
              </w:rPr>
              <w:fldChar w:fldCharType="begin"/>
            </w:r>
            <w:r w:rsidR="009936E1">
              <w:rPr>
                <w:noProof/>
                <w:webHidden/>
              </w:rPr>
              <w:instrText xml:space="preserve"> PAGEREF _Toc70495033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44B68487" w14:textId="021D8325" w:rsidR="009936E1" w:rsidRDefault="000D4FA3">
          <w:pPr>
            <w:pStyle w:val="TOC3"/>
            <w:rPr>
              <w:rFonts w:asciiTheme="minorHAnsi" w:eastAsiaTheme="minorEastAsia" w:hAnsiTheme="minorHAnsi" w:cstheme="minorBidi"/>
              <w:b w:val="0"/>
              <w:noProof/>
              <w:szCs w:val="22"/>
              <w:lang w:eastAsia="en-AU"/>
            </w:rPr>
          </w:pPr>
          <w:hyperlink w:anchor="_Toc70495034" w:history="1">
            <w:r w:rsidR="009936E1" w:rsidRPr="00CF3F03">
              <w:rPr>
                <w:rStyle w:val="Hyperlink"/>
                <w:noProof/>
              </w:rPr>
              <w:t>Applicant</w:t>
            </w:r>
            <w:r w:rsidR="009936E1">
              <w:rPr>
                <w:noProof/>
                <w:webHidden/>
              </w:rPr>
              <w:tab/>
            </w:r>
            <w:r w:rsidR="009936E1">
              <w:rPr>
                <w:noProof/>
                <w:webHidden/>
              </w:rPr>
              <w:fldChar w:fldCharType="begin"/>
            </w:r>
            <w:r w:rsidR="009936E1">
              <w:rPr>
                <w:noProof/>
                <w:webHidden/>
              </w:rPr>
              <w:instrText xml:space="preserve"> PAGEREF _Toc70495034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290714B9" w14:textId="4E216D08" w:rsidR="009936E1" w:rsidRDefault="000D4FA3">
          <w:pPr>
            <w:pStyle w:val="TOC3"/>
            <w:rPr>
              <w:rFonts w:asciiTheme="minorHAnsi" w:eastAsiaTheme="minorEastAsia" w:hAnsiTheme="minorHAnsi" w:cstheme="minorBidi"/>
              <w:b w:val="0"/>
              <w:noProof/>
              <w:szCs w:val="22"/>
              <w:lang w:eastAsia="en-AU"/>
            </w:rPr>
          </w:pPr>
          <w:hyperlink w:anchor="_Toc70495035" w:history="1">
            <w:r w:rsidR="009936E1" w:rsidRPr="00CF3F03">
              <w:rPr>
                <w:rStyle w:val="Hyperlink"/>
                <w:noProof/>
              </w:rPr>
              <w:t>Current scheduling</w:t>
            </w:r>
            <w:r w:rsidR="009936E1">
              <w:rPr>
                <w:noProof/>
                <w:webHidden/>
              </w:rPr>
              <w:tab/>
            </w:r>
            <w:r w:rsidR="009936E1">
              <w:rPr>
                <w:noProof/>
                <w:webHidden/>
              </w:rPr>
              <w:fldChar w:fldCharType="begin"/>
            </w:r>
            <w:r w:rsidR="009936E1">
              <w:rPr>
                <w:noProof/>
                <w:webHidden/>
              </w:rPr>
              <w:instrText xml:space="preserve"> PAGEREF _Toc70495035 \h </w:instrText>
            </w:r>
            <w:r w:rsidR="009936E1">
              <w:rPr>
                <w:noProof/>
                <w:webHidden/>
              </w:rPr>
            </w:r>
            <w:r w:rsidR="009936E1">
              <w:rPr>
                <w:noProof/>
                <w:webHidden/>
              </w:rPr>
              <w:fldChar w:fldCharType="separate"/>
            </w:r>
            <w:r w:rsidR="009936E1">
              <w:rPr>
                <w:noProof/>
                <w:webHidden/>
              </w:rPr>
              <w:t>10</w:t>
            </w:r>
            <w:r w:rsidR="009936E1">
              <w:rPr>
                <w:noProof/>
                <w:webHidden/>
              </w:rPr>
              <w:fldChar w:fldCharType="end"/>
            </w:r>
          </w:hyperlink>
        </w:p>
        <w:p w14:paraId="0FB2C358" w14:textId="2F0AE677" w:rsidR="009936E1" w:rsidRDefault="000D4FA3">
          <w:pPr>
            <w:pStyle w:val="TOC3"/>
            <w:rPr>
              <w:rFonts w:asciiTheme="minorHAnsi" w:eastAsiaTheme="minorEastAsia" w:hAnsiTheme="minorHAnsi" w:cstheme="minorBidi"/>
              <w:b w:val="0"/>
              <w:noProof/>
              <w:szCs w:val="22"/>
              <w:lang w:eastAsia="en-AU"/>
            </w:rPr>
          </w:pPr>
          <w:hyperlink w:anchor="_Toc70495036" w:history="1">
            <w:r w:rsidR="009936E1" w:rsidRPr="00CF3F03">
              <w:rPr>
                <w:rStyle w:val="Hyperlink"/>
                <w:noProof/>
              </w:rPr>
              <w:t>Proposed scheduling</w:t>
            </w:r>
            <w:r w:rsidR="009936E1">
              <w:rPr>
                <w:noProof/>
                <w:webHidden/>
              </w:rPr>
              <w:tab/>
            </w:r>
            <w:r w:rsidR="009936E1">
              <w:rPr>
                <w:noProof/>
                <w:webHidden/>
              </w:rPr>
              <w:fldChar w:fldCharType="begin"/>
            </w:r>
            <w:r w:rsidR="009936E1">
              <w:rPr>
                <w:noProof/>
                <w:webHidden/>
              </w:rPr>
              <w:instrText xml:space="preserve"> PAGEREF _Toc70495036 \h </w:instrText>
            </w:r>
            <w:r w:rsidR="009936E1">
              <w:rPr>
                <w:noProof/>
                <w:webHidden/>
              </w:rPr>
            </w:r>
            <w:r w:rsidR="009936E1">
              <w:rPr>
                <w:noProof/>
                <w:webHidden/>
              </w:rPr>
              <w:fldChar w:fldCharType="separate"/>
            </w:r>
            <w:r w:rsidR="009936E1">
              <w:rPr>
                <w:noProof/>
                <w:webHidden/>
              </w:rPr>
              <w:t>11</w:t>
            </w:r>
            <w:r w:rsidR="009936E1">
              <w:rPr>
                <w:noProof/>
                <w:webHidden/>
              </w:rPr>
              <w:fldChar w:fldCharType="end"/>
            </w:r>
          </w:hyperlink>
        </w:p>
        <w:p w14:paraId="57FCBB0B" w14:textId="15F0606B" w:rsidR="009936E1" w:rsidRDefault="000D4FA3">
          <w:pPr>
            <w:pStyle w:val="TOC3"/>
            <w:rPr>
              <w:rFonts w:asciiTheme="minorHAnsi" w:eastAsiaTheme="minorEastAsia" w:hAnsiTheme="minorHAnsi" w:cstheme="minorBidi"/>
              <w:b w:val="0"/>
              <w:noProof/>
              <w:szCs w:val="22"/>
              <w:lang w:eastAsia="en-AU"/>
            </w:rPr>
          </w:pPr>
          <w:hyperlink w:anchor="_Toc70495037" w:history="1">
            <w:r w:rsidR="009936E1" w:rsidRPr="00CF3F03">
              <w:rPr>
                <w:rStyle w:val="Hyperlink"/>
                <w:noProof/>
              </w:rPr>
              <w:t>Key uses / expected use</w:t>
            </w:r>
            <w:r w:rsidR="009936E1">
              <w:rPr>
                <w:noProof/>
                <w:webHidden/>
              </w:rPr>
              <w:tab/>
            </w:r>
            <w:r w:rsidR="009936E1">
              <w:rPr>
                <w:noProof/>
                <w:webHidden/>
              </w:rPr>
              <w:fldChar w:fldCharType="begin"/>
            </w:r>
            <w:r w:rsidR="009936E1">
              <w:rPr>
                <w:noProof/>
                <w:webHidden/>
              </w:rPr>
              <w:instrText xml:space="preserve"> PAGEREF _Toc70495037 \h </w:instrText>
            </w:r>
            <w:r w:rsidR="009936E1">
              <w:rPr>
                <w:noProof/>
                <w:webHidden/>
              </w:rPr>
            </w:r>
            <w:r w:rsidR="009936E1">
              <w:rPr>
                <w:noProof/>
                <w:webHidden/>
              </w:rPr>
              <w:fldChar w:fldCharType="separate"/>
            </w:r>
            <w:r w:rsidR="009936E1">
              <w:rPr>
                <w:noProof/>
                <w:webHidden/>
              </w:rPr>
              <w:t>11</w:t>
            </w:r>
            <w:r w:rsidR="009936E1">
              <w:rPr>
                <w:noProof/>
                <w:webHidden/>
              </w:rPr>
              <w:fldChar w:fldCharType="end"/>
            </w:r>
          </w:hyperlink>
        </w:p>
        <w:p w14:paraId="15A0780E" w14:textId="74415EC7" w:rsidR="009936E1" w:rsidRDefault="000D4FA3">
          <w:pPr>
            <w:pStyle w:val="TOC3"/>
            <w:rPr>
              <w:rFonts w:asciiTheme="minorHAnsi" w:eastAsiaTheme="minorEastAsia" w:hAnsiTheme="minorHAnsi" w:cstheme="minorBidi"/>
              <w:b w:val="0"/>
              <w:noProof/>
              <w:szCs w:val="22"/>
              <w:lang w:eastAsia="en-AU"/>
            </w:rPr>
          </w:pPr>
          <w:hyperlink w:anchor="_Toc70495038" w:history="1">
            <w:r w:rsidR="009936E1" w:rsidRPr="00CF3F03">
              <w:rPr>
                <w:rStyle w:val="Hyperlink"/>
                <w:noProof/>
              </w:rPr>
              <w:t>Summary of applicant’s reasons for proposal</w:t>
            </w:r>
            <w:r w:rsidR="009936E1">
              <w:rPr>
                <w:noProof/>
                <w:webHidden/>
              </w:rPr>
              <w:tab/>
            </w:r>
            <w:r w:rsidR="009936E1">
              <w:rPr>
                <w:noProof/>
                <w:webHidden/>
              </w:rPr>
              <w:fldChar w:fldCharType="begin"/>
            </w:r>
            <w:r w:rsidR="009936E1">
              <w:rPr>
                <w:noProof/>
                <w:webHidden/>
              </w:rPr>
              <w:instrText xml:space="preserve"> PAGEREF _Toc70495038 \h </w:instrText>
            </w:r>
            <w:r w:rsidR="009936E1">
              <w:rPr>
                <w:noProof/>
                <w:webHidden/>
              </w:rPr>
            </w:r>
            <w:r w:rsidR="009936E1">
              <w:rPr>
                <w:noProof/>
                <w:webHidden/>
              </w:rPr>
              <w:fldChar w:fldCharType="separate"/>
            </w:r>
            <w:r w:rsidR="009936E1">
              <w:rPr>
                <w:noProof/>
                <w:webHidden/>
              </w:rPr>
              <w:t>11</w:t>
            </w:r>
            <w:r w:rsidR="009936E1">
              <w:rPr>
                <w:noProof/>
                <w:webHidden/>
              </w:rPr>
              <w:fldChar w:fldCharType="end"/>
            </w:r>
          </w:hyperlink>
        </w:p>
        <w:p w14:paraId="482A6982" w14:textId="72BFEBD5" w:rsidR="009936E1" w:rsidRDefault="000D4FA3">
          <w:pPr>
            <w:pStyle w:val="TOC3"/>
            <w:rPr>
              <w:rFonts w:asciiTheme="minorHAnsi" w:eastAsiaTheme="minorEastAsia" w:hAnsiTheme="minorHAnsi" w:cstheme="minorBidi"/>
              <w:b w:val="0"/>
              <w:noProof/>
              <w:szCs w:val="22"/>
              <w:lang w:eastAsia="en-AU"/>
            </w:rPr>
          </w:pPr>
          <w:hyperlink w:anchor="_Toc70495039" w:history="1">
            <w:r w:rsidR="009936E1" w:rsidRPr="00CF3F03">
              <w:rPr>
                <w:rStyle w:val="Hyperlink"/>
                <w:noProof/>
              </w:rPr>
              <w:t>Australian regulations</w:t>
            </w:r>
            <w:r w:rsidR="009936E1">
              <w:rPr>
                <w:noProof/>
                <w:webHidden/>
              </w:rPr>
              <w:tab/>
            </w:r>
            <w:r w:rsidR="009936E1">
              <w:rPr>
                <w:noProof/>
                <w:webHidden/>
              </w:rPr>
              <w:fldChar w:fldCharType="begin"/>
            </w:r>
            <w:r w:rsidR="009936E1">
              <w:rPr>
                <w:noProof/>
                <w:webHidden/>
              </w:rPr>
              <w:instrText xml:space="preserve"> PAGEREF _Toc70495039 \h </w:instrText>
            </w:r>
            <w:r w:rsidR="009936E1">
              <w:rPr>
                <w:noProof/>
                <w:webHidden/>
              </w:rPr>
            </w:r>
            <w:r w:rsidR="009936E1">
              <w:rPr>
                <w:noProof/>
                <w:webHidden/>
              </w:rPr>
              <w:fldChar w:fldCharType="separate"/>
            </w:r>
            <w:r w:rsidR="009936E1">
              <w:rPr>
                <w:noProof/>
                <w:webHidden/>
              </w:rPr>
              <w:t>11</w:t>
            </w:r>
            <w:r w:rsidR="009936E1">
              <w:rPr>
                <w:noProof/>
                <w:webHidden/>
              </w:rPr>
              <w:fldChar w:fldCharType="end"/>
            </w:r>
          </w:hyperlink>
        </w:p>
        <w:p w14:paraId="1E1E7174" w14:textId="2DCC5524" w:rsidR="009936E1" w:rsidRDefault="000D4FA3">
          <w:pPr>
            <w:pStyle w:val="TOC3"/>
            <w:rPr>
              <w:rFonts w:asciiTheme="minorHAnsi" w:eastAsiaTheme="minorEastAsia" w:hAnsiTheme="minorHAnsi" w:cstheme="minorBidi"/>
              <w:b w:val="0"/>
              <w:noProof/>
              <w:szCs w:val="22"/>
              <w:lang w:eastAsia="en-AU"/>
            </w:rPr>
          </w:pPr>
          <w:hyperlink w:anchor="_Toc70495040" w:history="1">
            <w:r w:rsidR="009936E1" w:rsidRPr="00CF3F03">
              <w:rPr>
                <w:rStyle w:val="Hyperlink"/>
                <w:noProof/>
              </w:rPr>
              <w:t>International regulations</w:t>
            </w:r>
            <w:r w:rsidR="009936E1">
              <w:rPr>
                <w:noProof/>
                <w:webHidden/>
              </w:rPr>
              <w:tab/>
            </w:r>
            <w:r w:rsidR="009936E1">
              <w:rPr>
                <w:noProof/>
                <w:webHidden/>
              </w:rPr>
              <w:fldChar w:fldCharType="begin"/>
            </w:r>
            <w:r w:rsidR="009936E1">
              <w:rPr>
                <w:noProof/>
                <w:webHidden/>
              </w:rPr>
              <w:instrText xml:space="preserve"> PAGEREF _Toc70495040 \h </w:instrText>
            </w:r>
            <w:r w:rsidR="009936E1">
              <w:rPr>
                <w:noProof/>
                <w:webHidden/>
              </w:rPr>
            </w:r>
            <w:r w:rsidR="009936E1">
              <w:rPr>
                <w:noProof/>
                <w:webHidden/>
              </w:rPr>
              <w:fldChar w:fldCharType="separate"/>
            </w:r>
            <w:r w:rsidR="009936E1">
              <w:rPr>
                <w:noProof/>
                <w:webHidden/>
              </w:rPr>
              <w:t>12</w:t>
            </w:r>
            <w:r w:rsidR="009936E1">
              <w:rPr>
                <w:noProof/>
                <w:webHidden/>
              </w:rPr>
              <w:fldChar w:fldCharType="end"/>
            </w:r>
          </w:hyperlink>
        </w:p>
        <w:p w14:paraId="10F31EB9" w14:textId="1C8CE1BE" w:rsidR="009936E1" w:rsidRDefault="000D4FA3">
          <w:pPr>
            <w:pStyle w:val="TOC2"/>
            <w:tabs>
              <w:tab w:val="left" w:pos="1276"/>
            </w:tabs>
            <w:rPr>
              <w:rFonts w:asciiTheme="minorHAnsi" w:eastAsiaTheme="minorEastAsia" w:hAnsiTheme="minorHAnsi" w:cstheme="minorBidi"/>
              <w:b w:val="0"/>
              <w:noProof/>
              <w:sz w:val="22"/>
              <w:szCs w:val="22"/>
              <w:lang w:eastAsia="en-AU"/>
            </w:rPr>
          </w:pPr>
          <w:hyperlink w:anchor="_Toc70495041" w:history="1">
            <w:r w:rsidR="009936E1" w:rsidRPr="00CF3F03">
              <w:rPr>
                <w:rStyle w:val="Hyperlink"/>
                <w:noProof/>
              </w:rPr>
              <w:t>1.2</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Ibuprofen</w:t>
            </w:r>
            <w:r w:rsidR="009936E1">
              <w:rPr>
                <w:noProof/>
                <w:webHidden/>
              </w:rPr>
              <w:tab/>
            </w:r>
            <w:r w:rsidR="009936E1">
              <w:rPr>
                <w:noProof/>
                <w:webHidden/>
              </w:rPr>
              <w:fldChar w:fldCharType="begin"/>
            </w:r>
            <w:r w:rsidR="009936E1">
              <w:rPr>
                <w:noProof/>
                <w:webHidden/>
              </w:rPr>
              <w:instrText xml:space="preserve"> PAGEREF _Toc70495041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59EE5FCB" w14:textId="45E9E1DE" w:rsidR="009936E1" w:rsidRDefault="000D4FA3">
          <w:pPr>
            <w:pStyle w:val="TOC3"/>
            <w:rPr>
              <w:rFonts w:asciiTheme="minorHAnsi" w:eastAsiaTheme="minorEastAsia" w:hAnsiTheme="minorHAnsi" w:cstheme="minorBidi"/>
              <w:b w:val="0"/>
              <w:noProof/>
              <w:szCs w:val="22"/>
              <w:lang w:eastAsia="en-AU"/>
            </w:rPr>
          </w:pPr>
          <w:hyperlink w:anchor="_Toc70495042" w:history="1">
            <w:r w:rsidR="009936E1" w:rsidRPr="00CF3F03">
              <w:rPr>
                <w:rStyle w:val="Hyperlink"/>
                <w:noProof/>
              </w:rPr>
              <w:t>Proposal</w:t>
            </w:r>
            <w:r w:rsidR="009936E1">
              <w:rPr>
                <w:noProof/>
                <w:webHidden/>
              </w:rPr>
              <w:tab/>
            </w:r>
            <w:r w:rsidR="009936E1">
              <w:rPr>
                <w:noProof/>
                <w:webHidden/>
              </w:rPr>
              <w:fldChar w:fldCharType="begin"/>
            </w:r>
            <w:r w:rsidR="009936E1">
              <w:rPr>
                <w:noProof/>
                <w:webHidden/>
              </w:rPr>
              <w:instrText xml:space="preserve"> PAGEREF _Toc70495042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28DDDE9E" w14:textId="4F16D23C" w:rsidR="009936E1" w:rsidRDefault="000D4FA3">
          <w:pPr>
            <w:pStyle w:val="TOC3"/>
            <w:rPr>
              <w:rFonts w:asciiTheme="minorHAnsi" w:eastAsiaTheme="minorEastAsia" w:hAnsiTheme="minorHAnsi" w:cstheme="minorBidi"/>
              <w:b w:val="0"/>
              <w:noProof/>
              <w:szCs w:val="22"/>
              <w:lang w:eastAsia="en-AU"/>
            </w:rPr>
          </w:pPr>
          <w:hyperlink w:anchor="_Toc70495043" w:history="1">
            <w:r w:rsidR="009936E1" w:rsidRPr="00CF3F03">
              <w:rPr>
                <w:rStyle w:val="Hyperlink"/>
                <w:noProof/>
              </w:rPr>
              <w:t>CAS number:</w:t>
            </w:r>
            <w:r w:rsidR="009936E1">
              <w:rPr>
                <w:noProof/>
                <w:webHidden/>
              </w:rPr>
              <w:tab/>
            </w:r>
            <w:r w:rsidR="009936E1">
              <w:rPr>
                <w:noProof/>
                <w:webHidden/>
              </w:rPr>
              <w:fldChar w:fldCharType="begin"/>
            </w:r>
            <w:r w:rsidR="009936E1">
              <w:rPr>
                <w:noProof/>
                <w:webHidden/>
              </w:rPr>
              <w:instrText xml:space="preserve"> PAGEREF _Toc70495043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62B20E24" w14:textId="248DBABF" w:rsidR="009936E1" w:rsidRDefault="000D4FA3">
          <w:pPr>
            <w:pStyle w:val="TOC3"/>
            <w:rPr>
              <w:rFonts w:asciiTheme="minorHAnsi" w:eastAsiaTheme="minorEastAsia" w:hAnsiTheme="minorHAnsi" w:cstheme="minorBidi"/>
              <w:b w:val="0"/>
              <w:noProof/>
              <w:szCs w:val="22"/>
              <w:lang w:eastAsia="en-AU"/>
            </w:rPr>
          </w:pPr>
          <w:hyperlink w:anchor="_Toc70495044" w:history="1">
            <w:r w:rsidR="009936E1" w:rsidRPr="00CF3F03">
              <w:rPr>
                <w:rStyle w:val="Hyperlink"/>
                <w:noProof/>
              </w:rPr>
              <w:t>Alternative names</w:t>
            </w:r>
            <w:r w:rsidR="009936E1">
              <w:rPr>
                <w:noProof/>
                <w:webHidden/>
              </w:rPr>
              <w:tab/>
            </w:r>
            <w:r w:rsidR="009936E1">
              <w:rPr>
                <w:noProof/>
                <w:webHidden/>
              </w:rPr>
              <w:fldChar w:fldCharType="begin"/>
            </w:r>
            <w:r w:rsidR="009936E1">
              <w:rPr>
                <w:noProof/>
                <w:webHidden/>
              </w:rPr>
              <w:instrText xml:space="preserve"> PAGEREF _Toc70495044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63D56480" w14:textId="1C836CC1" w:rsidR="009936E1" w:rsidRDefault="000D4FA3">
          <w:pPr>
            <w:pStyle w:val="TOC3"/>
            <w:rPr>
              <w:rFonts w:asciiTheme="minorHAnsi" w:eastAsiaTheme="minorEastAsia" w:hAnsiTheme="minorHAnsi" w:cstheme="minorBidi"/>
              <w:b w:val="0"/>
              <w:noProof/>
              <w:szCs w:val="22"/>
              <w:lang w:eastAsia="en-AU"/>
            </w:rPr>
          </w:pPr>
          <w:hyperlink w:anchor="_Toc70495045" w:history="1">
            <w:r w:rsidR="009936E1" w:rsidRPr="00CF3F03">
              <w:rPr>
                <w:rStyle w:val="Hyperlink"/>
                <w:noProof/>
              </w:rPr>
              <w:t>Applicant</w:t>
            </w:r>
            <w:r w:rsidR="009936E1">
              <w:rPr>
                <w:noProof/>
                <w:webHidden/>
              </w:rPr>
              <w:tab/>
            </w:r>
            <w:r w:rsidR="009936E1">
              <w:rPr>
                <w:noProof/>
                <w:webHidden/>
              </w:rPr>
              <w:fldChar w:fldCharType="begin"/>
            </w:r>
            <w:r w:rsidR="009936E1">
              <w:rPr>
                <w:noProof/>
                <w:webHidden/>
              </w:rPr>
              <w:instrText xml:space="preserve"> PAGEREF _Toc70495045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0C7D7226" w14:textId="43AC6B9A" w:rsidR="009936E1" w:rsidRDefault="000D4FA3">
          <w:pPr>
            <w:pStyle w:val="TOC3"/>
            <w:rPr>
              <w:rFonts w:asciiTheme="minorHAnsi" w:eastAsiaTheme="minorEastAsia" w:hAnsiTheme="minorHAnsi" w:cstheme="minorBidi"/>
              <w:b w:val="0"/>
              <w:noProof/>
              <w:szCs w:val="22"/>
              <w:lang w:eastAsia="en-AU"/>
            </w:rPr>
          </w:pPr>
          <w:hyperlink w:anchor="_Toc70495046" w:history="1">
            <w:r w:rsidR="009936E1" w:rsidRPr="00CF3F03">
              <w:rPr>
                <w:rStyle w:val="Hyperlink"/>
                <w:noProof/>
              </w:rPr>
              <w:t>Current scheduling</w:t>
            </w:r>
            <w:r w:rsidR="009936E1">
              <w:rPr>
                <w:noProof/>
                <w:webHidden/>
              </w:rPr>
              <w:tab/>
            </w:r>
            <w:r w:rsidR="009936E1">
              <w:rPr>
                <w:noProof/>
                <w:webHidden/>
              </w:rPr>
              <w:fldChar w:fldCharType="begin"/>
            </w:r>
            <w:r w:rsidR="009936E1">
              <w:rPr>
                <w:noProof/>
                <w:webHidden/>
              </w:rPr>
              <w:instrText xml:space="preserve"> PAGEREF _Toc70495046 \h </w:instrText>
            </w:r>
            <w:r w:rsidR="009936E1">
              <w:rPr>
                <w:noProof/>
                <w:webHidden/>
              </w:rPr>
            </w:r>
            <w:r w:rsidR="009936E1">
              <w:rPr>
                <w:noProof/>
                <w:webHidden/>
              </w:rPr>
              <w:fldChar w:fldCharType="separate"/>
            </w:r>
            <w:r w:rsidR="009936E1">
              <w:rPr>
                <w:noProof/>
                <w:webHidden/>
              </w:rPr>
              <w:t>13</w:t>
            </w:r>
            <w:r w:rsidR="009936E1">
              <w:rPr>
                <w:noProof/>
                <w:webHidden/>
              </w:rPr>
              <w:fldChar w:fldCharType="end"/>
            </w:r>
          </w:hyperlink>
        </w:p>
        <w:p w14:paraId="4390C1A5" w14:textId="6DCFF01D" w:rsidR="009936E1" w:rsidRDefault="000D4FA3">
          <w:pPr>
            <w:pStyle w:val="TOC3"/>
            <w:rPr>
              <w:rFonts w:asciiTheme="minorHAnsi" w:eastAsiaTheme="minorEastAsia" w:hAnsiTheme="minorHAnsi" w:cstheme="minorBidi"/>
              <w:b w:val="0"/>
              <w:noProof/>
              <w:szCs w:val="22"/>
              <w:lang w:eastAsia="en-AU"/>
            </w:rPr>
          </w:pPr>
          <w:hyperlink w:anchor="_Toc70495047" w:history="1">
            <w:r w:rsidR="009936E1" w:rsidRPr="00CF3F03">
              <w:rPr>
                <w:rStyle w:val="Hyperlink"/>
                <w:noProof/>
              </w:rPr>
              <w:t>Proposed scheduling</w:t>
            </w:r>
            <w:r w:rsidR="009936E1">
              <w:rPr>
                <w:noProof/>
                <w:webHidden/>
              </w:rPr>
              <w:tab/>
            </w:r>
            <w:r w:rsidR="009936E1">
              <w:rPr>
                <w:noProof/>
                <w:webHidden/>
              </w:rPr>
              <w:fldChar w:fldCharType="begin"/>
            </w:r>
            <w:r w:rsidR="009936E1">
              <w:rPr>
                <w:noProof/>
                <w:webHidden/>
              </w:rPr>
              <w:instrText xml:space="preserve"> PAGEREF _Toc70495047 \h </w:instrText>
            </w:r>
            <w:r w:rsidR="009936E1">
              <w:rPr>
                <w:noProof/>
                <w:webHidden/>
              </w:rPr>
            </w:r>
            <w:r w:rsidR="009936E1">
              <w:rPr>
                <w:noProof/>
                <w:webHidden/>
              </w:rPr>
              <w:fldChar w:fldCharType="separate"/>
            </w:r>
            <w:r w:rsidR="009936E1">
              <w:rPr>
                <w:noProof/>
                <w:webHidden/>
              </w:rPr>
              <w:t>15</w:t>
            </w:r>
            <w:r w:rsidR="009936E1">
              <w:rPr>
                <w:noProof/>
                <w:webHidden/>
              </w:rPr>
              <w:fldChar w:fldCharType="end"/>
            </w:r>
          </w:hyperlink>
        </w:p>
        <w:p w14:paraId="2361A65E" w14:textId="4C8B2B4D" w:rsidR="009936E1" w:rsidRDefault="000D4FA3">
          <w:pPr>
            <w:pStyle w:val="TOC3"/>
            <w:rPr>
              <w:rFonts w:asciiTheme="minorHAnsi" w:eastAsiaTheme="minorEastAsia" w:hAnsiTheme="minorHAnsi" w:cstheme="minorBidi"/>
              <w:b w:val="0"/>
              <w:noProof/>
              <w:szCs w:val="22"/>
              <w:lang w:eastAsia="en-AU"/>
            </w:rPr>
          </w:pPr>
          <w:hyperlink w:anchor="_Toc70495048" w:history="1">
            <w:r w:rsidR="009936E1" w:rsidRPr="00CF3F03">
              <w:rPr>
                <w:rStyle w:val="Hyperlink"/>
                <w:noProof/>
              </w:rPr>
              <w:t>Key uses / expected use</w:t>
            </w:r>
            <w:r w:rsidR="009936E1">
              <w:rPr>
                <w:noProof/>
                <w:webHidden/>
              </w:rPr>
              <w:tab/>
            </w:r>
            <w:r w:rsidR="009936E1">
              <w:rPr>
                <w:noProof/>
                <w:webHidden/>
              </w:rPr>
              <w:fldChar w:fldCharType="begin"/>
            </w:r>
            <w:r w:rsidR="009936E1">
              <w:rPr>
                <w:noProof/>
                <w:webHidden/>
              </w:rPr>
              <w:instrText xml:space="preserve"> PAGEREF _Toc70495048 \h </w:instrText>
            </w:r>
            <w:r w:rsidR="009936E1">
              <w:rPr>
                <w:noProof/>
                <w:webHidden/>
              </w:rPr>
            </w:r>
            <w:r w:rsidR="009936E1">
              <w:rPr>
                <w:noProof/>
                <w:webHidden/>
              </w:rPr>
              <w:fldChar w:fldCharType="separate"/>
            </w:r>
            <w:r w:rsidR="009936E1">
              <w:rPr>
                <w:noProof/>
                <w:webHidden/>
              </w:rPr>
              <w:t>15</w:t>
            </w:r>
            <w:r w:rsidR="009936E1">
              <w:rPr>
                <w:noProof/>
                <w:webHidden/>
              </w:rPr>
              <w:fldChar w:fldCharType="end"/>
            </w:r>
          </w:hyperlink>
        </w:p>
        <w:p w14:paraId="74382C4D" w14:textId="26C0659B" w:rsidR="009936E1" w:rsidRDefault="000D4FA3">
          <w:pPr>
            <w:pStyle w:val="TOC3"/>
            <w:rPr>
              <w:rFonts w:asciiTheme="minorHAnsi" w:eastAsiaTheme="minorEastAsia" w:hAnsiTheme="minorHAnsi" w:cstheme="minorBidi"/>
              <w:b w:val="0"/>
              <w:noProof/>
              <w:szCs w:val="22"/>
              <w:lang w:eastAsia="en-AU"/>
            </w:rPr>
          </w:pPr>
          <w:hyperlink w:anchor="_Toc70495049" w:history="1">
            <w:r w:rsidR="009936E1" w:rsidRPr="00CF3F03">
              <w:rPr>
                <w:rStyle w:val="Hyperlink"/>
                <w:noProof/>
              </w:rPr>
              <w:t>Summary of applicant’s reasons for proposal</w:t>
            </w:r>
            <w:r w:rsidR="009936E1">
              <w:rPr>
                <w:noProof/>
                <w:webHidden/>
              </w:rPr>
              <w:tab/>
            </w:r>
            <w:r w:rsidR="009936E1">
              <w:rPr>
                <w:noProof/>
                <w:webHidden/>
              </w:rPr>
              <w:fldChar w:fldCharType="begin"/>
            </w:r>
            <w:r w:rsidR="009936E1">
              <w:rPr>
                <w:noProof/>
                <w:webHidden/>
              </w:rPr>
              <w:instrText xml:space="preserve"> PAGEREF _Toc70495049 \h </w:instrText>
            </w:r>
            <w:r w:rsidR="009936E1">
              <w:rPr>
                <w:noProof/>
                <w:webHidden/>
              </w:rPr>
            </w:r>
            <w:r w:rsidR="009936E1">
              <w:rPr>
                <w:noProof/>
                <w:webHidden/>
              </w:rPr>
              <w:fldChar w:fldCharType="separate"/>
            </w:r>
            <w:r w:rsidR="009936E1">
              <w:rPr>
                <w:noProof/>
                <w:webHidden/>
              </w:rPr>
              <w:t>15</w:t>
            </w:r>
            <w:r w:rsidR="009936E1">
              <w:rPr>
                <w:noProof/>
                <w:webHidden/>
              </w:rPr>
              <w:fldChar w:fldCharType="end"/>
            </w:r>
          </w:hyperlink>
        </w:p>
        <w:p w14:paraId="2A08831B" w14:textId="31C8A866" w:rsidR="009936E1" w:rsidRDefault="000D4FA3">
          <w:pPr>
            <w:pStyle w:val="TOC3"/>
            <w:rPr>
              <w:rFonts w:asciiTheme="minorHAnsi" w:eastAsiaTheme="minorEastAsia" w:hAnsiTheme="minorHAnsi" w:cstheme="minorBidi"/>
              <w:b w:val="0"/>
              <w:noProof/>
              <w:szCs w:val="22"/>
              <w:lang w:eastAsia="en-AU"/>
            </w:rPr>
          </w:pPr>
          <w:hyperlink w:anchor="_Toc70495050" w:history="1">
            <w:r w:rsidR="009936E1" w:rsidRPr="00CF3F03">
              <w:rPr>
                <w:rStyle w:val="Hyperlink"/>
                <w:noProof/>
              </w:rPr>
              <w:t>Australian regulations</w:t>
            </w:r>
            <w:r w:rsidR="009936E1">
              <w:rPr>
                <w:noProof/>
                <w:webHidden/>
              </w:rPr>
              <w:tab/>
            </w:r>
            <w:r w:rsidR="009936E1">
              <w:rPr>
                <w:noProof/>
                <w:webHidden/>
              </w:rPr>
              <w:fldChar w:fldCharType="begin"/>
            </w:r>
            <w:r w:rsidR="009936E1">
              <w:rPr>
                <w:noProof/>
                <w:webHidden/>
              </w:rPr>
              <w:instrText xml:space="preserve"> PAGEREF _Toc70495050 \h </w:instrText>
            </w:r>
            <w:r w:rsidR="009936E1">
              <w:rPr>
                <w:noProof/>
                <w:webHidden/>
              </w:rPr>
            </w:r>
            <w:r w:rsidR="009936E1">
              <w:rPr>
                <w:noProof/>
                <w:webHidden/>
              </w:rPr>
              <w:fldChar w:fldCharType="separate"/>
            </w:r>
            <w:r w:rsidR="009936E1">
              <w:rPr>
                <w:noProof/>
                <w:webHidden/>
              </w:rPr>
              <w:t>16</w:t>
            </w:r>
            <w:r w:rsidR="009936E1">
              <w:rPr>
                <w:noProof/>
                <w:webHidden/>
              </w:rPr>
              <w:fldChar w:fldCharType="end"/>
            </w:r>
          </w:hyperlink>
        </w:p>
        <w:p w14:paraId="239A6379" w14:textId="419B04F1" w:rsidR="009936E1" w:rsidRDefault="000D4FA3">
          <w:pPr>
            <w:pStyle w:val="TOC3"/>
            <w:rPr>
              <w:rFonts w:asciiTheme="minorHAnsi" w:eastAsiaTheme="minorEastAsia" w:hAnsiTheme="minorHAnsi" w:cstheme="minorBidi"/>
              <w:b w:val="0"/>
              <w:noProof/>
              <w:szCs w:val="22"/>
              <w:lang w:eastAsia="en-AU"/>
            </w:rPr>
          </w:pPr>
          <w:hyperlink w:anchor="_Toc70495051" w:history="1">
            <w:r w:rsidR="009936E1" w:rsidRPr="00CF3F03">
              <w:rPr>
                <w:rStyle w:val="Hyperlink"/>
                <w:noProof/>
              </w:rPr>
              <w:t>International regulations</w:t>
            </w:r>
            <w:r w:rsidR="009936E1">
              <w:rPr>
                <w:noProof/>
                <w:webHidden/>
              </w:rPr>
              <w:tab/>
            </w:r>
            <w:r w:rsidR="009936E1">
              <w:rPr>
                <w:noProof/>
                <w:webHidden/>
              </w:rPr>
              <w:fldChar w:fldCharType="begin"/>
            </w:r>
            <w:r w:rsidR="009936E1">
              <w:rPr>
                <w:noProof/>
                <w:webHidden/>
              </w:rPr>
              <w:instrText xml:space="preserve"> PAGEREF _Toc70495051 \h </w:instrText>
            </w:r>
            <w:r w:rsidR="009936E1">
              <w:rPr>
                <w:noProof/>
                <w:webHidden/>
              </w:rPr>
            </w:r>
            <w:r w:rsidR="009936E1">
              <w:rPr>
                <w:noProof/>
                <w:webHidden/>
              </w:rPr>
              <w:fldChar w:fldCharType="separate"/>
            </w:r>
            <w:r w:rsidR="009936E1">
              <w:rPr>
                <w:noProof/>
                <w:webHidden/>
              </w:rPr>
              <w:t>20</w:t>
            </w:r>
            <w:r w:rsidR="009936E1">
              <w:rPr>
                <w:noProof/>
                <w:webHidden/>
              </w:rPr>
              <w:fldChar w:fldCharType="end"/>
            </w:r>
          </w:hyperlink>
        </w:p>
        <w:p w14:paraId="74E6E96D" w14:textId="56A263E9" w:rsidR="009936E1" w:rsidRDefault="000D4FA3">
          <w:pPr>
            <w:pStyle w:val="TOC1"/>
            <w:tabs>
              <w:tab w:val="left" w:pos="425"/>
            </w:tabs>
            <w:rPr>
              <w:rFonts w:asciiTheme="minorHAnsi" w:eastAsiaTheme="minorEastAsia" w:hAnsiTheme="minorHAnsi" w:cstheme="minorBidi"/>
              <w:b w:val="0"/>
              <w:noProof/>
              <w:sz w:val="22"/>
              <w:szCs w:val="22"/>
              <w:lang w:eastAsia="en-AU"/>
            </w:rPr>
          </w:pPr>
          <w:hyperlink w:anchor="_Toc70495052" w:history="1">
            <w:r w:rsidR="009936E1" w:rsidRPr="00CF3F03">
              <w:rPr>
                <w:rStyle w:val="Hyperlink"/>
                <w:noProof/>
              </w:rPr>
              <w:t>2</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How to respond</w:t>
            </w:r>
            <w:r w:rsidR="009936E1">
              <w:rPr>
                <w:noProof/>
                <w:webHidden/>
              </w:rPr>
              <w:tab/>
            </w:r>
            <w:r w:rsidR="009936E1">
              <w:rPr>
                <w:noProof/>
                <w:webHidden/>
              </w:rPr>
              <w:fldChar w:fldCharType="begin"/>
            </w:r>
            <w:r w:rsidR="009936E1">
              <w:rPr>
                <w:noProof/>
                <w:webHidden/>
              </w:rPr>
              <w:instrText xml:space="preserve"> PAGEREF _Toc70495052 \h </w:instrText>
            </w:r>
            <w:r w:rsidR="009936E1">
              <w:rPr>
                <w:noProof/>
                <w:webHidden/>
              </w:rPr>
            </w:r>
            <w:r w:rsidR="009936E1">
              <w:rPr>
                <w:noProof/>
                <w:webHidden/>
              </w:rPr>
              <w:fldChar w:fldCharType="separate"/>
            </w:r>
            <w:r w:rsidR="009936E1">
              <w:rPr>
                <w:noProof/>
                <w:webHidden/>
              </w:rPr>
              <w:t>21</w:t>
            </w:r>
            <w:r w:rsidR="009936E1">
              <w:rPr>
                <w:noProof/>
                <w:webHidden/>
              </w:rPr>
              <w:fldChar w:fldCharType="end"/>
            </w:r>
          </w:hyperlink>
        </w:p>
        <w:p w14:paraId="5995FDF2" w14:textId="306E6096" w:rsidR="009936E1" w:rsidRDefault="000D4FA3">
          <w:pPr>
            <w:pStyle w:val="TOC1"/>
            <w:tabs>
              <w:tab w:val="left" w:pos="425"/>
            </w:tabs>
            <w:rPr>
              <w:rFonts w:asciiTheme="minorHAnsi" w:eastAsiaTheme="minorEastAsia" w:hAnsiTheme="minorHAnsi" w:cstheme="minorBidi"/>
              <w:b w:val="0"/>
              <w:noProof/>
              <w:sz w:val="22"/>
              <w:szCs w:val="22"/>
              <w:lang w:eastAsia="en-AU"/>
            </w:rPr>
          </w:pPr>
          <w:hyperlink w:anchor="_Toc70495053" w:history="1">
            <w:r w:rsidR="009936E1" w:rsidRPr="00CF3F03">
              <w:rPr>
                <w:rStyle w:val="Hyperlink"/>
                <w:noProof/>
              </w:rPr>
              <w:t>3</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What will happen</w:t>
            </w:r>
            <w:r w:rsidR="009936E1">
              <w:rPr>
                <w:noProof/>
                <w:webHidden/>
              </w:rPr>
              <w:tab/>
            </w:r>
            <w:r w:rsidR="009936E1">
              <w:rPr>
                <w:noProof/>
                <w:webHidden/>
              </w:rPr>
              <w:fldChar w:fldCharType="begin"/>
            </w:r>
            <w:r w:rsidR="009936E1">
              <w:rPr>
                <w:noProof/>
                <w:webHidden/>
              </w:rPr>
              <w:instrText xml:space="preserve"> PAGEREF _Toc70495053 \h </w:instrText>
            </w:r>
            <w:r w:rsidR="009936E1">
              <w:rPr>
                <w:noProof/>
                <w:webHidden/>
              </w:rPr>
            </w:r>
            <w:r w:rsidR="009936E1">
              <w:rPr>
                <w:noProof/>
                <w:webHidden/>
              </w:rPr>
              <w:fldChar w:fldCharType="separate"/>
            </w:r>
            <w:r w:rsidR="009936E1">
              <w:rPr>
                <w:noProof/>
                <w:webHidden/>
              </w:rPr>
              <w:t>22</w:t>
            </w:r>
            <w:r w:rsidR="009936E1">
              <w:rPr>
                <w:noProof/>
                <w:webHidden/>
              </w:rPr>
              <w:fldChar w:fldCharType="end"/>
            </w:r>
          </w:hyperlink>
        </w:p>
        <w:p w14:paraId="6A3C16C9" w14:textId="547482A6" w:rsidR="009936E1" w:rsidRDefault="000D4FA3">
          <w:pPr>
            <w:pStyle w:val="TOC1"/>
            <w:tabs>
              <w:tab w:val="left" w:pos="425"/>
            </w:tabs>
            <w:rPr>
              <w:rFonts w:asciiTheme="minorHAnsi" w:eastAsiaTheme="minorEastAsia" w:hAnsiTheme="minorHAnsi" w:cstheme="minorBidi"/>
              <w:b w:val="0"/>
              <w:noProof/>
              <w:sz w:val="22"/>
              <w:szCs w:val="22"/>
              <w:lang w:eastAsia="en-AU"/>
            </w:rPr>
          </w:pPr>
          <w:hyperlink w:anchor="_Toc70495054" w:history="1">
            <w:r w:rsidR="009936E1" w:rsidRPr="00CF3F03">
              <w:rPr>
                <w:rStyle w:val="Hyperlink"/>
                <w:noProof/>
              </w:rPr>
              <w:t>4</w:t>
            </w:r>
            <w:r w:rsidR="009936E1">
              <w:rPr>
                <w:rFonts w:asciiTheme="minorHAnsi" w:eastAsiaTheme="minorEastAsia" w:hAnsiTheme="minorHAnsi" w:cstheme="minorBidi"/>
                <w:b w:val="0"/>
                <w:noProof/>
                <w:sz w:val="22"/>
                <w:szCs w:val="22"/>
                <w:lang w:eastAsia="en-AU"/>
              </w:rPr>
              <w:tab/>
            </w:r>
            <w:r w:rsidR="009936E1" w:rsidRPr="00CF3F03">
              <w:rPr>
                <w:rStyle w:val="Hyperlink"/>
                <w:noProof/>
              </w:rPr>
              <w:t>Enquiries</w:t>
            </w:r>
            <w:r w:rsidR="009936E1">
              <w:rPr>
                <w:noProof/>
                <w:webHidden/>
              </w:rPr>
              <w:tab/>
            </w:r>
            <w:r w:rsidR="009936E1">
              <w:rPr>
                <w:noProof/>
                <w:webHidden/>
              </w:rPr>
              <w:fldChar w:fldCharType="begin"/>
            </w:r>
            <w:r w:rsidR="009936E1">
              <w:rPr>
                <w:noProof/>
                <w:webHidden/>
              </w:rPr>
              <w:instrText xml:space="preserve"> PAGEREF _Toc70495054 \h </w:instrText>
            </w:r>
            <w:r w:rsidR="009936E1">
              <w:rPr>
                <w:noProof/>
                <w:webHidden/>
              </w:rPr>
            </w:r>
            <w:r w:rsidR="009936E1">
              <w:rPr>
                <w:noProof/>
                <w:webHidden/>
              </w:rPr>
              <w:fldChar w:fldCharType="separate"/>
            </w:r>
            <w:r w:rsidR="009936E1">
              <w:rPr>
                <w:noProof/>
                <w:webHidden/>
              </w:rPr>
              <w:t>22</w:t>
            </w:r>
            <w:r w:rsidR="009936E1">
              <w:rPr>
                <w:noProof/>
                <w:webHidden/>
              </w:rPr>
              <w:fldChar w:fldCharType="end"/>
            </w:r>
          </w:hyperlink>
        </w:p>
        <w:p w14:paraId="7CBED58D" w14:textId="3420B307" w:rsidR="00B92C72" w:rsidRPr="009401F6" w:rsidRDefault="006C626D" w:rsidP="0023397F">
          <w:r w:rsidRPr="009401F6">
            <w:fldChar w:fldCharType="end"/>
          </w:r>
        </w:p>
      </w:sdtContent>
    </w:sdt>
    <w:p w14:paraId="45D314B0" w14:textId="773D0160" w:rsidR="002C1070" w:rsidRPr="00BC2009" w:rsidRDefault="002C1070" w:rsidP="002C1070">
      <w:pPr>
        <w:pStyle w:val="Heading2"/>
      </w:pPr>
      <w:bookmarkStart w:id="1" w:name="_Toc46751744"/>
      <w:bookmarkStart w:id="2" w:name="_Toc70495018"/>
      <w:bookmarkStart w:id="3" w:name="_Toc323738671"/>
      <w:bookmarkStart w:id="4" w:name="_Toc356305157"/>
      <w:bookmarkEnd w:id="0"/>
      <w:r>
        <w:lastRenderedPageBreak/>
        <w:t>Proposed amendments referred for scheduling advice to ACMS #</w:t>
      </w:r>
      <w:bookmarkEnd w:id="1"/>
      <w:r w:rsidR="00F730CE">
        <w:t>34</w:t>
      </w:r>
      <w:bookmarkEnd w:id="2"/>
    </w:p>
    <w:p w14:paraId="37F510CA" w14:textId="77777777" w:rsidR="007A0404" w:rsidRDefault="007A0404" w:rsidP="007A0404">
      <w:pPr>
        <w:pStyle w:val="Heading3"/>
        <w:numPr>
          <w:ilvl w:val="0"/>
          <w:numId w:val="7"/>
        </w:numPr>
      </w:pPr>
      <w:bookmarkStart w:id="5" w:name="_Toc70495019"/>
      <w:bookmarkStart w:id="6" w:name="_Toc63261288"/>
      <w:bookmarkEnd w:id="3"/>
      <w:bookmarkEnd w:id="4"/>
      <w:r>
        <w:t>Amygdalin and hydrocyanic acid</w:t>
      </w:r>
      <w:bookmarkEnd w:id="5"/>
      <w:r>
        <w:t xml:space="preserve"> </w:t>
      </w:r>
    </w:p>
    <w:p w14:paraId="4F91E2DC" w14:textId="77777777" w:rsidR="007A0404" w:rsidRDefault="007A0404" w:rsidP="007A0404">
      <w:pPr>
        <w:pStyle w:val="Heading4"/>
      </w:pPr>
      <w:bookmarkStart w:id="7" w:name="_Toc70495020"/>
      <w:r>
        <w:t>Proposal</w:t>
      </w:r>
      <w:bookmarkEnd w:id="7"/>
    </w:p>
    <w:p w14:paraId="122B35AC" w14:textId="230998EB" w:rsidR="007A0404" w:rsidRDefault="006C6A4A" w:rsidP="002825FB">
      <w:pPr>
        <w:autoSpaceDE w:val="0"/>
        <w:autoSpaceDN w:val="0"/>
        <w:adjustRightInd w:val="0"/>
        <w:spacing w:line="240" w:lineRule="auto"/>
        <w:rPr>
          <w:lang w:eastAsia="en-AU"/>
        </w:rPr>
      </w:pPr>
      <w:r>
        <w:rPr>
          <w:lang w:eastAsia="en-AU"/>
        </w:rPr>
        <w:t>The applicant proposes to amend</w:t>
      </w:r>
      <w:r w:rsidR="007A0404" w:rsidRPr="00F12125">
        <w:rPr>
          <w:lang w:eastAsia="en-AU"/>
        </w:rPr>
        <w:t xml:space="preserve"> the Schedule 10 entry for amygdalin to allow </w:t>
      </w:r>
      <w:proofErr w:type="gramStart"/>
      <w:r w:rsidR="007A0404" w:rsidRPr="00F12125">
        <w:rPr>
          <w:lang w:eastAsia="en-AU"/>
        </w:rPr>
        <w:t xml:space="preserve">for unscheduled </w:t>
      </w:r>
      <w:r>
        <w:rPr>
          <w:lang w:eastAsia="en-AU"/>
        </w:rPr>
        <w:t xml:space="preserve">oral </w:t>
      </w:r>
      <w:r w:rsidR="007A0404" w:rsidRPr="00F12125">
        <w:rPr>
          <w:lang w:eastAsia="en-AU"/>
        </w:rPr>
        <w:t>use as a natural component in traditional Chinese medicines in adults</w:t>
      </w:r>
      <w:r>
        <w:rPr>
          <w:lang w:eastAsia="en-AU"/>
        </w:rPr>
        <w:t>,</w:t>
      </w:r>
      <w:proofErr w:type="gramEnd"/>
      <w:r w:rsidR="007A0404" w:rsidRPr="00F12125">
        <w:rPr>
          <w:lang w:eastAsia="en-AU"/>
        </w:rPr>
        <w:t xml:space="preserve"> with a maximum daily dose not exceeding 5 mg of amygdalin.</w:t>
      </w:r>
    </w:p>
    <w:p w14:paraId="6CB66D07" w14:textId="4CB6F17C" w:rsidR="0091227A" w:rsidRPr="0091227A" w:rsidRDefault="007A0404" w:rsidP="002825FB">
      <w:pPr>
        <w:autoSpaceDE w:val="0"/>
        <w:autoSpaceDN w:val="0"/>
        <w:adjustRightInd w:val="0"/>
        <w:spacing w:line="240" w:lineRule="auto"/>
        <w:rPr>
          <w:lang w:eastAsia="en-AU"/>
        </w:rPr>
      </w:pPr>
      <w:r>
        <w:rPr>
          <w:lang w:eastAsia="en-AU"/>
        </w:rPr>
        <w:t xml:space="preserve">A change to the Schedule 4 entry for hydrocyanic acid </w:t>
      </w:r>
      <w:r w:rsidR="0091227A">
        <w:rPr>
          <w:lang w:eastAsia="en-AU"/>
        </w:rPr>
        <w:t xml:space="preserve">to allow for unscheduled </w:t>
      </w:r>
      <w:r w:rsidR="006C6A4A">
        <w:rPr>
          <w:lang w:eastAsia="en-AU"/>
        </w:rPr>
        <w:t xml:space="preserve">oral </w:t>
      </w:r>
      <w:r w:rsidR="0091227A">
        <w:rPr>
          <w:lang w:eastAsia="en-AU"/>
        </w:rPr>
        <w:t xml:space="preserve">use </w:t>
      </w:r>
      <w:r w:rsidRPr="0091227A">
        <w:rPr>
          <w:lang w:eastAsia="en-AU"/>
        </w:rPr>
        <w:t>when present as a natural component in traditional Chinese medicines</w:t>
      </w:r>
      <w:r w:rsidR="006C6A4A">
        <w:rPr>
          <w:lang w:eastAsia="en-AU"/>
        </w:rPr>
        <w:t>,</w:t>
      </w:r>
      <w:r w:rsidRPr="0091227A">
        <w:rPr>
          <w:lang w:eastAsia="en-AU"/>
        </w:rPr>
        <w:t xml:space="preserve"> in adults</w:t>
      </w:r>
      <w:r w:rsidR="002825FB">
        <w:rPr>
          <w:lang w:eastAsia="en-AU"/>
        </w:rPr>
        <w:t xml:space="preserve"> </w:t>
      </w:r>
      <w:r w:rsidRPr="0091227A">
        <w:rPr>
          <w:lang w:eastAsia="en-AU"/>
        </w:rPr>
        <w:t xml:space="preserve">with a maximum daily dose not exceeding 0.3 mg of hydrocyanic acid. </w:t>
      </w:r>
    </w:p>
    <w:p w14:paraId="4765E51E" w14:textId="07E6BC23" w:rsidR="0091227A" w:rsidRPr="0091227A" w:rsidRDefault="002825FB" w:rsidP="002825FB">
      <w:pPr>
        <w:autoSpaceDE w:val="0"/>
        <w:autoSpaceDN w:val="0"/>
        <w:adjustRightInd w:val="0"/>
        <w:spacing w:line="240" w:lineRule="auto"/>
        <w:rPr>
          <w:lang w:eastAsia="en-AU"/>
        </w:rPr>
      </w:pPr>
      <w:r>
        <w:rPr>
          <w:lang w:eastAsia="en-AU"/>
        </w:rPr>
        <w:t xml:space="preserve">A </w:t>
      </w:r>
      <w:hyperlink r:id="rId13" w:history="1">
        <w:r w:rsidRPr="002825FB">
          <w:rPr>
            <w:rStyle w:val="Hyperlink"/>
            <w:lang w:eastAsia="en-AU"/>
          </w:rPr>
          <w:t>final decision</w:t>
        </w:r>
      </w:hyperlink>
      <w:r>
        <w:rPr>
          <w:lang w:eastAsia="en-AU"/>
        </w:rPr>
        <w:t xml:space="preserve"> </w:t>
      </w:r>
      <w:proofErr w:type="gramStart"/>
      <w:r>
        <w:rPr>
          <w:lang w:eastAsia="en-AU"/>
        </w:rPr>
        <w:t>was published</w:t>
      </w:r>
      <w:proofErr w:type="gramEnd"/>
      <w:r>
        <w:rPr>
          <w:lang w:eastAsia="en-AU"/>
        </w:rPr>
        <w:t xml:space="preserve"> on 22 April in relation to a previous proposal to amend the Poisons Standard entries for amygdalin and hydrocyanic acid</w:t>
      </w:r>
    </w:p>
    <w:p w14:paraId="6636482F" w14:textId="77777777" w:rsidR="007A0404" w:rsidRDefault="007A0404" w:rsidP="007A0404">
      <w:pPr>
        <w:pStyle w:val="Heading4"/>
      </w:pPr>
      <w:bookmarkStart w:id="8" w:name="_Toc70495021"/>
      <w:r>
        <w:t>CAS number:</w:t>
      </w:r>
      <w:bookmarkEnd w:id="8"/>
    </w:p>
    <w:p w14:paraId="4B7C1D79" w14:textId="77777777" w:rsidR="007A0404" w:rsidRPr="004B4FF4" w:rsidRDefault="007A0404" w:rsidP="007A0404">
      <w:r w:rsidRPr="004B4FF4">
        <w:t>Amygdalin:</w:t>
      </w:r>
      <w:r w:rsidRPr="004B4FF4">
        <w:rPr>
          <w:rFonts w:ascii="Arial" w:hAnsi="Arial" w:cs="Arial"/>
          <w:sz w:val="21"/>
          <w:szCs w:val="21"/>
          <w:shd w:val="clear" w:color="auto" w:fill="FFFFFF"/>
        </w:rPr>
        <w:t xml:space="preserve"> </w:t>
      </w:r>
      <w:r w:rsidRPr="004B4FF4">
        <w:t>29883-15-6</w:t>
      </w:r>
    </w:p>
    <w:p w14:paraId="73838219" w14:textId="77777777" w:rsidR="007A0404" w:rsidRPr="004B4FF4" w:rsidRDefault="007A0404" w:rsidP="007A0404">
      <w:r w:rsidRPr="004B4FF4">
        <w:t>Hydrocyanic acid: 74-90-8</w:t>
      </w:r>
    </w:p>
    <w:p w14:paraId="1722DC71" w14:textId="77777777" w:rsidR="007A0404" w:rsidRDefault="007A0404" w:rsidP="007A0404">
      <w:pPr>
        <w:pStyle w:val="Heading4"/>
      </w:pPr>
      <w:bookmarkStart w:id="9" w:name="_Toc70495022"/>
      <w:r>
        <w:t>Alternative names</w:t>
      </w:r>
      <w:bookmarkEnd w:id="9"/>
    </w:p>
    <w:p w14:paraId="2F6F8922" w14:textId="77777777" w:rsidR="007A0404" w:rsidRPr="004B4FF4" w:rsidRDefault="007A0404" w:rsidP="007A0404">
      <w:r w:rsidRPr="004B4FF4">
        <w:t>Amygdalin: D-</w:t>
      </w:r>
      <w:proofErr w:type="spellStart"/>
      <w:r w:rsidRPr="004B4FF4">
        <w:t>mandelonitrile</w:t>
      </w:r>
      <w:proofErr w:type="spellEnd"/>
      <w:r w:rsidRPr="004B4FF4">
        <w:t xml:space="preserve">-β-D-glucoside-6-β-glucoside; </w:t>
      </w:r>
      <w:proofErr w:type="spellStart"/>
      <w:r w:rsidRPr="004B4FF4">
        <w:t>mandelonitrile</w:t>
      </w:r>
      <w:proofErr w:type="spellEnd"/>
      <w:r w:rsidRPr="004B4FF4">
        <w:t>-β-</w:t>
      </w:r>
      <w:proofErr w:type="spellStart"/>
      <w:r w:rsidRPr="004B4FF4">
        <w:t>gentiobioside</w:t>
      </w:r>
      <w:proofErr w:type="spellEnd"/>
      <w:r w:rsidRPr="004B4FF4">
        <w:t>; Vitamin B17</w:t>
      </w:r>
    </w:p>
    <w:p w14:paraId="64ECAC06" w14:textId="77777777" w:rsidR="007A0404" w:rsidRPr="004B4FF4" w:rsidRDefault="007A0404" w:rsidP="007A0404">
      <w:r w:rsidRPr="004B4FF4">
        <w:t xml:space="preserve">Hydrocyanic acid: Hydrogen cyanide; </w:t>
      </w:r>
      <w:proofErr w:type="spellStart"/>
      <w:r w:rsidRPr="004B4FF4">
        <w:t>formonitrile</w:t>
      </w:r>
      <w:proofErr w:type="spellEnd"/>
      <w:r w:rsidRPr="004B4FF4">
        <w:t>; prussic acid</w:t>
      </w:r>
    </w:p>
    <w:p w14:paraId="669057BD" w14:textId="77777777" w:rsidR="007A0404" w:rsidRPr="002C1070" w:rsidRDefault="007A0404" w:rsidP="007A0404">
      <w:pPr>
        <w:pStyle w:val="Heading4"/>
      </w:pPr>
      <w:bookmarkStart w:id="10" w:name="_Toc70495023"/>
      <w:r>
        <w:t>Applicant</w:t>
      </w:r>
      <w:bookmarkEnd w:id="10"/>
    </w:p>
    <w:p w14:paraId="4A82EDA3" w14:textId="77777777" w:rsidR="007A0404" w:rsidRPr="003639D9" w:rsidRDefault="007A0404" w:rsidP="007A0404">
      <w:r>
        <w:t>Private applicant</w:t>
      </w:r>
    </w:p>
    <w:p w14:paraId="1BE36959" w14:textId="77777777" w:rsidR="007A0404" w:rsidRDefault="007A0404" w:rsidP="007A0404">
      <w:pPr>
        <w:pStyle w:val="Heading4"/>
      </w:pPr>
      <w:bookmarkStart w:id="11" w:name="_Toc70495024"/>
      <w:r>
        <w:t>Current scheduling</w:t>
      </w:r>
      <w:bookmarkEnd w:id="11"/>
    </w:p>
    <w:p w14:paraId="7E4D3AB8" w14:textId="77777777" w:rsidR="007A0404" w:rsidRPr="00E91AFC" w:rsidRDefault="007A0404" w:rsidP="00C55683">
      <w:r w:rsidRPr="00C55683">
        <w:rPr>
          <w:b/>
        </w:rPr>
        <w:t>Amygdalin</w:t>
      </w:r>
    </w:p>
    <w:p w14:paraId="73D2984E" w14:textId="77777777" w:rsidR="007A0404" w:rsidRPr="006D5C84" w:rsidRDefault="007A0404" w:rsidP="007A0404">
      <w:pPr>
        <w:ind w:left="426"/>
        <w:rPr>
          <w:b/>
        </w:rPr>
      </w:pPr>
      <w:r w:rsidRPr="00E91AFC">
        <w:rPr>
          <w:b/>
        </w:rPr>
        <w:t>Schedule 10</w:t>
      </w:r>
    </w:p>
    <w:p w14:paraId="7129E517" w14:textId="77777777" w:rsidR="007A0404" w:rsidRPr="00E91AFC" w:rsidRDefault="007A0404" w:rsidP="007A0404">
      <w:pPr>
        <w:ind w:left="426"/>
        <w:rPr>
          <w:rFonts w:asciiTheme="minorHAnsi" w:hAnsiTheme="minorHAnsi" w:cstheme="minorHAnsi"/>
        </w:rPr>
      </w:pPr>
      <w:r w:rsidRPr="00E91AFC">
        <w:rPr>
          <w:rFonts w:asciiTheme="minorHAnsi" w:hAnsiTheme="minorHAnsi" w:cstheme="minorHAnsi"/>
        </w:rPr>
        <w:t>AMYGDALIN for therapeutic use.</w:t>
      </w:r>
    </w:p>
    <w:p w14:paraId="6F468DD3" w14:textId="77777777" w:rsidR="007A0404" w:rsidRPr="005133F7" w:rsidRDefault="007A0404" w:rsidP="007A0404">
      <w:pPr>
        <w:ind w:left="426"/>
        <w:rPr>
          <w:b/>
        </w:rPr>
      </w:pPr>
      <w:r>
        <w:rPr>
          <w:b/>
        </w:rPr>
        <w:t>Index</w:t>
      </w:r>
    </w:p>
    <w:p w14:paraId="00BBDC34" w14:textId="77777777" w:rsidR="007A0404" w:rsidRPr="00C918C4" w:rsidRDefault="007A0404" w:rsidP="007A0404">
      <w:pPr>
        <w:ind w:left="426"/>
      </w:pPr>
      <w:r w:rsidRPr="00C918C4">
        <w:t>AMYGDALIN</w:t>
      </w:r>
    </w:p>
    <w:p w14:paraId="41FB76CE" w14:textId="77777777" w:rsidR="007A0404" w:rsidRDefault="007A0404" w:rsidP="007A0404">
      <w:pPr>
        <w:ind w:left="426"/>
      </w:pPr>
      <w:r w:rsidRPr="001E2829">
        <w:t>Schedule 10</w:t>
      </w:r>
    </w:p>
    <w:p w14:paraId="6709945A" w14:textId="77777777" w:rsidR="007A0404" w:rsidRDefault="007A0404" w:rsidP="00B4448F">
      <w:pPr>
        <w:keepNext/>
        <w:keepLines/>
      </w:pPr>
      <w:r w:rsidRPr="00C55683">
        <w:rPr>
          <w:b/>
        </w:rPr>
        <w:lastRenderedPageBreak/>
        <w:t>Hydrocyanic</w:t>
      </w:r>
      <w:r w:rsidRPr="00A450EE">
        <w:t xml:space="preserve"> </w:t>
      </w:r>
      <w:r w:rsidRPr="00C55683">
        <w:rPr>
          <w:b/>
        </w:rPr>
        <w:t>acid</w:t>
      </w:r>
    </w:p>
    <w:p w14:paraId="758D2BFD" w14:textId="77777777" w:rsidR="007A0404" w:rsidRPr="00A450EE" w:rsidRDefault="007A0404" w:rsidP="00B4448F">
      <w:pPr>
        <w:keepNext/>
        <w:keepLines/>
        <w:ind w:left="426"/>
        <w:rPr>
          <w:b/>
        </w:rPr>
      </w:pPr>
      <w:r>
        <w:rPr>
          <w:b/>
        </w:rPr>
        <w:t>Schedule 7</w:t>
      </w:r>
    </w:p>
    <w:p w14:paraId="43DD8D4F" w14:textId="77777777" w:rsidR="007A0404" w:rsidRPr="001E2829" w:rsidRDefault="007A0404" w:rsidP="00B4448F">
      <w:pPr>
        <w:keepNext/>
        <w:keepLines/>
        <w:ind w:left="426"/>
      </w:pPr>
      <w:r w:rsidRPr="001E2829">
        <w:t xml:space="preserve">HYDROCYANIC ACID </w:t>
      </w:r>
      <w:r w:rsidRPr="001E2829">
        <w:rPr>
          <w:b/>
        </w:rPr>
        <w:t>except</w:t>
      </w:r>
      <w:r w:rsidRPr="001E2829">
        <w:t>:</w:t>
      </w:r>
    </w:p>
    <w:p w14:paraId="2582E80B" w14:textId="77777777" w:rsidR="007A0404" w:rsidRPr="001E2829" w:rsidRDefault="007A0404" w:rsidP="007A0404">
      <w:pPr>
        <w:pStyle w:val="Numberbullet2"/>
        <w:numPr>
          <w:ilvl w:val="0"/>
          <w:numId w:val="19"/>
        </w:numPr>
        <w:ind w:left="927"/>
      </w:pPr>
      <w:r>
        <w:t>when included in Schedule 4; or</w:t>
      </w:r>
    </w:p>
    <w:p w14:paraId="2A0CA765" w14:textId="77777777" w:rsidR="007A0404" w:rsidRDefault="007A0404" w:rsidP="007A0404">
      <w:pPr>
        <w:pStyle w:val="Numberbullet2"/>
        <w:numPr>
          <w:ilvl w:val="0"/>
          <w:numId w:val="20"/>
        </w:numPr>
        <w:ind w:left="927"/>
      </w:pPr>
      <w:proofErr w:type="gramStart"/>
      <w:r w:rsidRPr="001E2829">
        <w:t>its</w:t>
      </w:r>
      <w:proofErr w:type="gramEnd"/>
      <w:r w:rsidRPr="001E2829">
        <w:t xml:space="preserve"> salts and derivatives other than cyanides separately specified in this Schedule.</w:t>
      </w:r>
    </w:p>
    <w:p w14:paraId="427E866A" w14:textId="77777777" w:rsidR="007A0404" w:rsidRPr="00A450EE" w:rsidRDefault="007A0404" w:rsidP="007A0404">
      <w:pPr>
        <w:ind w:left="426"/>
        <w:rPr>
          <w:b/>
        </w:rPr>
      </w:pPr>
      <w:r w:rsidRPr="00A450EE">
        <w:rPr>
          <w:b/>
        </w:rPr>
        <w:t>Schedule 4</w:t>
      </w:r>
    </w:p>
    <w:p w14:paraId="0AF7573E" w14:textId="77777777" w:rsidR="007A0404" w:rsidRDefault="007A0404" w:rsidP="007A0404">
      <w:pPr>
        <w:ind w:left="426"/>
      </w:pPr>
      <w:r w:rsidRPr="001E2829">
        <w:t>HYDROCYANIC ACID for therapeutic use.</w:t>
      </w:r>
    </w:p>
    <w:p w14:paraId="4DDAAAFB" w14:textId="77777777" w:rsidR="007A0404" w:rsidRPr="00FB490F" w:rsidRDefault="007A0404" w:rsidP="007A0404">
      <w:pPr>
        <w:pStyle w:val="Tabletitle"/>
        <w:ind w:left="426"/>
      </w:pPr>
      <w:r w:rsidRPr="00FB490F">
        <w:t>Appendix F</w:t>
      </w:r>
      <w:r>
        <w:t>, Part 3</w:t>
      </w:r>
    </w:p>
    <w:tbl>
      <w:tblPr>
        <w:tblStyle w:val="TableTGAblue"/>
        <w:tblW w:w="8601" w:type="dxa"/>
        <w:tblInd w:w="416" w:type="dxa"/>
        <w:tblLook w:val="04A0" w:firstRow="1" w:lastRow="0" w:firstColumn="1" w:lastColumn="0" w:noHBand="0" w:noVBand="1"/>
      </w:tblPr>
      <w:tblGrid>
        <w:gridCol w:w="4677"/>
        <w:gridCol w:w="1985"/>
        <w:gridCol w:w="1939"/>
      </w:tblGrid>
      <w:tr w:rsidR="007A0404" w:rsidRPr="001E2829" w14:paraId="7A242041"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tcPr>
          <w:p w14:paraId="58DE47A2" w14:textId="77777777" w:rsidR="007A0404" w:rsidRPr="00702170" w:rsidRDefault="007A0404" w:rsidP="0091227A">
            <w:pPr>
              <w:rPr>
                <w:sz w:val="20"/>
                <w:szCs w:val="20"/>
              </w:rPr>
            </w:pPr>
            <w:r w:rsidRPr="00702170">
              <w:rPr>
                <w:sz w:val="20"/>
              </w:rPr>
              <w:t>POISON</w:t>
            </w:r>
          </w:p>
        </w:tc>
        <w:tc>
          <w:tcPr>
            <w:tcW w:w="1985" w:type="dxa"/>
          </w:tcPr>
          <w:p w14:paraId="626EF3A2" w14:textId="77777777" w:rsidR="007A0404" w:rsidRPr="00702170" w:rsidRDefault="007A0404" w:rsidP="0091227A">
            <w:pPr>
              <w:cnfStyle w:val="100000000000" w:firstRow="1" w:lastRow="0" w:firstColumn="0" w:lastColumn="0" w:oddVBand="0" w:evenVBand="0" w:oddHBand="0" w:evenHBand="0" w:firstRowFirstColumn="0" w:firstRowLastColumn="0" w:lastRowFirstColumn="0" w:lastRowLastColumn="0"/>
              <w:rPr>
                <w:sz w:val="20"/>
                <w:szCs w:val="20"/>
              </w:rPr>
            </w:pPr>
            <w:r w:rsidRPr="00702170">
              <w:rPr>
                <w:sz w:val="20"/>
              </w:rPr>
              <w:t>WARNING STATEMENTS</w:t>
            </w:r>
          </w:p>
        </w:tc>
        <w:tc>
          <w:tcPr>
            <w:tcW w:w="1939" w:type="dxa"/>
          </w:tcPr>
          <w:p w14:paraId="55856943" w14:textId="77777777" w:rsidR="007A0404" w:rsidRPr="00702170" w:rsidRDefault="007A0404" w:rsidP="0091227A">
            <w:pPr>
              <w:cnfStyle w:val="100000000000" w:firstRow="1" w:lastRow="0" w:firstColumn="0" w:lastColumn="0" w:oddVBand="0" w:evenVBand="0" w:oddHBand="0" w:evenHBand="0" w:firstRowFirstColumn="0" w:firstRowLastColumn="0" w:lastRowFirstColumn="0" w:lastRowLastColumn="0"/>
              <w:rPr>
                <w:sz w:val="20"/>
                <w:szCs w:val="20"/>
              </w:rPr>
            </w:pPr>
            <w:r w:rsidRPr="00702170">
              <w:rPr>
                <w:sz w:val="20"/>
              </w:rPr>
              <w:t>SAFETY DIRECTION</w:t>
            </w:r>
          </w:p>
        </w:tc>
      </w:tr>
      <w:tr w:rsidR="007A0404" w:rsidRPr="001E2829" w14:paraId="3A4140AF" w14:textId="77777777" w:rsidTr="0091227A">
        <w:tc>
          <w:tcPr>
            <w:cnfStyle w:val="001000000000" w:firstRow="0" w:lastRow="0" w:firstColumn="1" w:lastColumn="0" w:oddVBand="0" w:evenVBand="0" w:oddHBand="0" w:evenHBand="0" w:firstRowFirstColumn="0" w:firstRowLastColumn="0" w:lastRowFirstColumn="0" w:lastRowLastColumn="0"/>
            <w:tcW w:w="4677" w:type="dxa"/>
          </w:tcPr>
          <w:p w14:paraId="56F6538D" w14:textId="77777777" w:rsidR="007A0404" w:rsidRPr="00702170" w:rsidRDefault="007A0404" w:rsidP="0091227A">
            <w:pPr>
              <w:rPr>
                <w:sz w:val="20"/>
                <w:szCs w:val="20"/>
              </w:rPr>
            </w:pPr>
            <w:r w:rsidRPr="00702170">
              <w:rPr>
                <w:sz w:val="20"/>
              </w:rPr>
              <w:t>HYDROCYANIC ACID when included in Schedule 7.</w:t>
            </w:r>
          </w:p>
        </w:tc>
        <w:tc>
          <w:tcPr>
            <w:tcW w:w="1985" w:type="dxa"/>
          </w:tcPr>
          <w:p w14:paraId="42F01E77" w14:textId="77777777" w:rsidR="007A0404" w:rsidRPr="00702170" w:rsidRDefault="007A0404" w:rsidP="0091227A">
            <w:pPr>
              <w:cnfStyle w:val="000000000000" w:firstRow="0" w:lastRow="0" w:firstColumn="0" w:lastColumn="0" w:oddVBand="0" w:evenVBand="0" w:oddHBand="0" w:evenHBand="0" w:firstRowFirstColumn="0" w:firstRowLastColumn="0" w:lastRowFirstColumn="0" w:lastRowLastColumn="0"/>
              <w:rPr>
                <w:sz w:val="20"/>
                <w:szCs w:val="20"/>
              </w:rPr>
            </w:pPr>
            <w:r w:rsidRPr="00D52A8B">
              <w:rPr>
                <w:b/>
                <w:sz w:val="20"/>
              </w:rPr>
              <w:t>13</w:t>
            </w:r>
            <w:r w:rsidRPr="00702170">
              <w:rPr>
                <w:sz w:val="20"/>
              </w:rPr>
              <w:t xml:space="preserve"> (May be fatal if inhaled, swallowed or absorbed through skin)</w:t>
            </w:r>
          </w:p>
        </w:tc>
        <w:tc>
          <w:tcPr>
            <w:tcW w:w="1939" w:type="dxa"/>
          </w:tcPr>
          <w:p w14:paraId="4964A3E8" w14:textId="77777777" w:rsidR="00F74E92" w:rsidRDefault="007A0404" w:rsidP="0091227A">
            <w:pPr>
              <w:cnfStyle w:val="000000000000" w:firstRow="0" w:lastRow="0" w:firstColumn="0" w:lastColumn="0" w:oddVBand="0" w:evenVBand="0" w:oddHBand="0" w:evenHBand="0" w:firstRowFirstColumn="0" w:firstRowLastColumn="0" w:lastRowFirstColumn="0" w:lastRowLastColumn="0"/>
              <w:rPr>
                <w:sz w:val="20"/>
              </w:rPr>
            </w:pPr>
            <w:r w:rsidRPr="00D52A8B">
              <w:rPr>
                <w:b/>
                <w:sz w:val="20"/>
              </w:rPr>
              <w:t>4</w:t>
            </w:r>
            <w:r w:rsidRPr="00702170">
              <w:rPr>
                <w:sz w:val="20"/>
              </w:rPr>
              <w:t xml:space="preserve"> (Avoid contact with skin), </w:t>
            </w:r>
          </w:p>
          <w:p w14:paraId="10CD97B2" w14:textId="001F3C9B" w:rsidR="007A0404" w:rsidRPr="00702170" w:rsidRDefault="007A0404" w:rsidP="0091227A">
            <w:pPr>
              <w:cnfStyle w:val="000000000000" w:firstRow="0" w:lastRow="0" w:firstColumn="0" w:lastColumn="0" w:oddVBand="0" w:evenVBand="0" w:oddHBand="0" w:evenHBand="0" w:firstRowFirstColumn="0" w:firstRowLastColumn="0" w:lastRowFirstColumn="0" w:lastRowLastColumn="0"/>
              <w:rPr>
                <w:sz w:val="20"/>
                <w:szCs w:val="20"/>
              </w:rPr>
            </w:pPr>
            <w:r w:rsidRPr="00F74E92">
              <w:rPr>
                <w:b/>
                <w:sz w:val="20"/>
              </w:rPr>
              <w:t>8</w:t>
            </w:r>
            <w:r w:rsidRPr="00702170">
              <w:rPr>
                <w:sz w:val="20"/>
              </w:rPr>
              <w:t xml:space="preserve"> (Avoid breathing dust (or) vapour (or) spray mist)</w:t>
            </w:r>
          </w:p>
        </w:tc>
      </w:tr>
    </w:tbl>
    <w:p w14:paraId="745B5C2D" w14:textId="77777777" w:rsidR="007A0404" w:rsidRDefault="007A0404" w:rsidP="007A0404">
      <w:pPr>
        <w:pStyle w:val="Tabletitle"/>
        <w:ind w:left="426"/>
      </w:pPr>
      <w:r>
        <w:t>Appendix G</w:t>
      </w:r>
    </w:p>
    <w:tbl>
      <w:tblPr>
        <w:tblStyle w:val="TableTGAblue"/>
        <w:tblW w:w="8646" w:type="dxa"/>
        <w:tblInd w:w="416" w:type="dxa"/>
        <w:tblLook w:val="04A0" w:firstRow="1" w:lastRow="0" w:firstColumn="1" w:lastColumn="0" w:noHBand="0" w:noVBand="1"/>
      </w:tblPr>
      <w:tblGrid>
        <w:gridCol w:w="3685"/>
        <w:gridCol w:w="4961"/>
      </w:tblGrid>
      <w:tr w:rsidR="007A0404" w:rsidRPr="001E2829" w14:paraId="2F623457"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FEC2C0C" w14:textId="77777777" w:rsidR="007A0404" w:rsidRPr="00702170" w:rsidRDefault="007A0404" w:rsidP="0091227A">
            <w:pPr>
              <w:rPr>
                <w:sz w:val="20"/>
                <w:szCs w:val="20"/>
              </w:rPr>
            </w:pPr>
            <w:r w:rsidRPr="00702170">
              <w:rPr>
                <w:sz w:val="20"/>
              </w:rPr>
              <w:t>POISON</w:t>
            </w:r>
          </w:p>
        </w:tc>
        <w:tc>
          <w:tcPr>
            <w:tcW w:w="4961" w:type="dxa"/>
          </w:tcPr>
          <w:p w14:paraId="5262B262" w14:textId="77777777" w:rsidR="007A0404" w:rsidRPr="00702170" w:rsidRDefault="007A0404" w:rsidP="0091227A">
            <w:pPr>
              <w:cnfStyle w:val="100000000000" w:firstRow="1" w:lastRow="0" w:firstColumn="0" w:lastColumn="0" w:oddVBand="0" w:evenVBand="0" w:oddHBand="0" w:evenHBand="0" w:firstRowFirstColumn="0" w:firstRowLastColumn="0" w:lastRowFirstColumn="0" w:lastRowLastColumn="0"/>
              <w:rPr>
                <w:sz w:val="20"/>
                <w:szCs w:val="20"/>
              </w:rPr>
            </w:pPr>
            <w:r w:rsidRPr="00702170">
              <w:rPr>
                <w:sz w:val="20"/>
              </w:rPr>
              <w:t>CONCENTRATION (quantity per litre or kilogram)</w:t>
            </w:r>
          </w:p>
        </w:tc>
      </w:tr>
      <w:tr w:rsidR="007A0404" w:rsidRPr="001E2829" w14:paraId="54FF473D" w14:textId="77777777" w:rsidTr="0091227A">
        <w:tc>
          <w:tcPr>
            <w:cnfStyle w:val="001000000000" w:firstRow="0" w:lastRow="0" w:firstColumn="1" w:lastColumn="0" w:oddVBand="0" w:evenVBand="0" w:oddHBand="0" w:evenHBand="0" w:firstRowFirstColumn="0" w:firstRowLastColumn="0" w:lastRowFirstColumn="0" w:lastRowLastColumn="0"/>
            <w:tcW w:w="3685" w:type="dxa"/>
          </w:tcPr>
          <w:p w14:paraId="657EC62B" w14:textId="77777777" w:rsidR="007A0404" w:rsidRPr="00702170" w:rsidRDefault="007A0404" w:rsidP="0091227A">
            <w:pPr>
              <w:rPr>
                <w:sz w:val="20"/>
                <w:szCs w:val="20"/>
              </w:rPr>
            </w:pPr>
            <w:r w:rsidRPr="00702170">
              <w:rPr>
                <w:sz w:val="20"/>
              </w:rPr>
              <w:t>HYDROCYANIC ACID</w:t>
            </w:r>
          </w:p>
        </w:tc>
        <w:tc>
          <w:tcPr>
            <w:tcW w:w="4961" w:type="dxa"/>
          </w:tcPr>
          <w:p w14:paraId="4B855449" w14:textId="77777777" w:rsidR="007A0404" w:rsidRPr="00702170" w:rsidRDefault="007A0404" w:rsidP="0091227A">
            <w:pPr>
              <w:cnfStyle w:val="000000000000" w:firstRow="0" w:lastRow="0" w:firstColumn="0" w:lastColumn="0" w:oddVBand="0" w:evenVBand="0" w:oddHBand="0" w:evenHBand="0" w:firstRowFirstColumn="0" w:firstRowLastColumn="0" w:lastRowFirstColumn="0" w:lastRowLastColumn="0"/>
              <w:rPr>
                <w:sz w:val="20"/>
                <w:szCs w:val="20"/>
              </w:rPr>
            </w:pPr>
            <w:r w:rsidRPr="00702170">
              <w:rPr>
                <w:sz w:val="20"/>
              </w:rPr>
              <w:t>1 microgram</w:t>
            </w:r>
          </w:p>
        </w:tc>
      </w:tr>
    </w:tbl>
    <w:p w14:paraId="605CDD61" w14:textId="77777777" w:rsidR="007A0404" w:rsidRPr="001C6B09" w:rsidRDefault="007A0404" w:rsidP="007A0404">
      <w:pPr>
        <w:pStyle w:val="Tabletitle"/>
        <w:ind w:left="426"/>
      </w:pPr>
      <w:r w:rsidRPr="001C6B09">
        <w:t>Appendix J, Part 2</w:t>
      </w:r>
    </w:p>
    <w:tbl>
      <w:tblPr>
        <w:tblStyle w:val="TableTGAblue"/>
        <w:tblW w:w="8646" w:type="dxa"/>
        <w:tblInd w:w="416" w:type="dxa"/>
        <w:tblLayout w:type="fixed"/>
        <w:tblLook w:val="04A0" w:firstRow="1" w:lastRow="0" w:firstColumn="1" w:lastColumn="0" w:noHBand="0" w:noVBand="1"/>
      </w:tblPr>
      <w:tblGrid>
        <w:gridCol w:w="3685"/>
        <w:gridCol w:w="4961"/>
      </w:tblGrid>
      <w:tr w:rsidR="007A0404" w:rsidRPr="001E2829" w14:paraId="611A5FC0"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5A5B37E" w14:textId="77777777" w:rsidR="007A0404" w:rsidRPr="00702170" w:rsidRDefault="007A0404" w:rsidP="0091227A">
            <w:pPr>
              <w:rPr>
                <w:sz w:val="20"/>
                <w:szCs w:val="20"/>
              </w:rPr>
            </w:pPr>
            <w:r w:rsidRPr="00702170">
              <w:rPr>
                <w:sz w:val="20"/>
              </w:rPr>
              <w:t>POISONS</w:t>
            </w:r>
          </w:p>
        </w:tc>
        <w:tc>
          <w:tcPr>
            <w:tcW w:w="4961" w:type="dxa"/>
          </w:tcPr>
          <w:p w14:paraId="20E3E023" w14:textId="77777777" w:rsidR="007A0404" w:rsidRPr="00702170" w:rsidRDefault="007A0404" w:rsidP="0091227A">
            <w:pPr>
              <w:jc w:val="center"/>
              <w:cnfStyle w:val="100000000000" w:firstRow="1" w:lastRow="0" w:firstColumn="0" w:lastColumn="0" w:oddVBand="0" w:evenVBand="0" w:oddHBand="0" w:evenHBand="0" w:firstRowFirstColumn="0" w:firstRowLastColumn="0" w:lastRowFirstColumn="0" w:lastRowLastColumn="0"/>
              <w:rPr>
                <w:sz w:val="20"/>
                <w:szCs w:val="20"/>
              </w:rPr>
            </w:pPr>
            <w:r w:rsidRPr="00702170">
              <w:rPr>
                <w:sz w:val="20"/>
              </w:rPr>
              <w:t xml:space="preserve">Authorisation Considerations </w:t>
            </w:r>
          </w:p>
        </w:tc>
      </w:tr>
      <w:tr w:rsidR="007A0404" w:rsidRPr="001E2829" w14:paraId="2B3ED342" w14:textId="77777777" w:rsidTr="0091227A">
        <w:tc>
          <w:tcPr>
            <w:cnfStyle w:val="001000000000" w:firstRow="0" w:lastRow="0" w:firstColumn="1" w:lastColumn="0" w:oddVBand="0" w:evenVBand="0" w:oddHBand="0" w:evenHBand="0" w:firstRowFirstColumn="0" w:firstRowLastColumn="0" w:lastRowFirstColumn="0" w:lastRowLastColumn="0"/>
            <w:tcW w:w="3685" w:type="dxa"/>
          </w:tcPr>
          <w:p w14:paraId="4BD83C10" w14:textId="77777777" w:rsidR="007A0404" w:rsidRPr="00702170" w:rsidRDefault="007A0404" w:rsidP="0091227A">
            <w:pPr>
              <w:rPr>
                <w:sz w:val="20"/>
                <w:szCs w:val="20"/>
              </w:rPr>
            </w:pPr>
            <w:r w:rsidRPr="00702170">
              <w:rPr>
                <w:sz w:val="20"/>
              </w:rPr>
              <w:t>HYDROCYANIC ACID AND CYANIDES</w:t>
            </w:r>
          </w:p>
        </w:tc>
        <w:tc>
          <w:tcPr>
            <w:tcW w:w="4961" w:type="dxa"/>
          </w:tcPr>
          <w:p w14:paraId="4185208F" w14:textId="77777777" w:rsidR="007A0404" w:rsidRPr="00702170" w:rsidRDefault="007A0404" w:rsidP="0091227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02170">
              <w:rPr>
                <w:sz w:val="20"/>
              </w:rPr>
              <w:t>P (additional restrictions on possession)</w:t>
            </w:r>
          </w:p>
        </w:tc>
      </w:tr>
    </w:tbl>
    <w:p w14:paraId="243B657E" w14:textId="77777777" w:rsidR="007A0404" w:rsidRPr="00A450EE" w:rsidRDefault="007A0404" w:rsidP="007A0404">
      <w:pPr>
        <w:ind w:firstLine="426"/>
        <w:rPr>
          <w:b/>
        </w:rPr>
      </w:pPr>
      <w:r w:rsidRPr="00A450EE">
        <w:rPr>
          <w:b/>
        </w:rPr>
        <w:t>Index</w:t>
      </w:r>
    </w:p>
    <w:p w14:paraId="15B15670" w14:textId="77777777" w:rsidR="007A0404" w:rsidRPr="001E2829" w:rsidRDefault="007A0404" w:rsidP="007A0404">
      <w:pPr>
        <w:ind w:left="426"/>
        <w:rPr>
          <w:b/>
        </w:rPr>
      </w:pPr>
      <w:r w:rsidRPr="001D58AF">
        <w:t>HYDROCYANIC ACID</w:t>
      </w:r>
      <w:r w:rsidRPr="001E2829">
        <w:rPr>
          <w:b/>
        </w:rPr>
        <w:br/>
      </w:r>
      <w:r w:rsidRPr="001E2829">
        <w:t>cross reference: CYANIDES</w:t>
      </w:r>
    </w:p>
    <w:p w14:paraId="4F4DBAFD" w14:textId="77777777" w:rsidR="007A0404" w:rsidRPr="001C6B09" w:rsidRDefault="007A0404" w:rsidP="007A0404">
      <w:pPr>
        <w:ind w:left="426"/>
        <w:rPr>
          <w:b/>
        </w:rPr>
      </w:pPr>
      <w:r w:rsidRPr="001E2829">
        <w:t>Schedule 7</w:t>
      </w:r>
      <w:r w:rsidRPr="001E2829">
        <w:br/>
        <w:t>Schedule 4</w:t>
      </w:r>
      <w:r w:rsidRPr="001E2829">
        <w:br/>
        <w:t>Appendix F, Part 3</w:t>
      </w:r>
      <w:r w:rsidRPr="001E2829">
        <w:br/>
        <w:t>Appendix J, Part 2</w:t>
      </w:r>
    </w:p>
    <w:p w14:paraId="740B4D81" w14:textId="77777777" w:rsidR="007A0404" w:rsidRDefault="007A0404" w:rsidP="00B4448F">
      <w:pPr>
        <w:pStyle w:val="Heading4"/>
      </w:pPr>
      <w:bookmarkStart w:id="12" w:name="_Toc70495025"/>
      <w:r>
        <w:lastRenderedPageBreak/>
        <w:t>Proposed scheduling</w:t>
      </w:r>
      <w:bookmarkEnd w:id="12"/>
    </w:p>
    <w:p w14:paraId="70A946A5" w14:textId="77777777" w:rsidR="007A0404" w:rsidRPr="00364CB2" w:rsidRDefault="007A0404" w:rsidP="00B4448F">
      <w:pPr>
        <w:keepNext/>
        <w:keepLines/>
      </w:pPr>
      <w:r w:rsidRPr="00C55683">
        <w:rPr>
          <w:b/>
        </w:rPr>
        <w:t>Amygdalin</w:t>
      </w:r>
    </w:p>
    <w:p w14:paraId="290820A7" w14:textId="77777777" w:rsidR="007A0404" w:rsidRPr="00CD40FB" w:rsidRDefault="007A0404" w:rsidP="00B4448F">
      <w:pPr>
        <w:keepNext/>
        <w:keepLines/>
        <w:ind w:left="426"/>
        <w:rPr>
          <w:b/>
        </w:rPr>
      </w:pPr>
      <w:r>
        <w:rPr>
          <w:b/>
        </w:rPr>
        <w:t xml:space="preserve">Schedule </w:t>
      </w:r>
      <w:r w:rsidRPr="00A450EE">
        <w:rPr>
          <w:b/>
        </w:rPr>
        <w:t>10 – Amend Entry</w:t>
      </w:r>
    </w:p>
    <w:p w14:paraId="7BB36B98" w14:textId="3AFB624F" w:rsidR="00F74E92" w:rsidRPr="00F74E92" w:rsidRDefault="00F74E92" w:rsidP="00F74E92">
      <w:pPr>
        <w:ind w:left="426"/>
        <w:rPr>
          <w:color w:val="FF0000"/>
        </w:rPr>
      </w:pPr>
      <w:r w:rsidRPr="00F74E92">
        <w:t xml:space="preserve">AMYGDALIN </w:t>
      </w:r>
      <w:proofErr w:type="gramStart"/>
      <w:r w:rsidRPr="00F74E92">
        <w:t xml:space="preserve">for therapeutic use </w:t>
      </w:r>
      <w:r w:rsidRPr="00531DA4">
        <w:rPr>
          <w:b/>
          <w:color w:val="00B050"/>
        </w:rPr>
        <w:t>except</w:t>
      </w:r>
      <w:r w:rsidRPr="00531DA4">
        <w:rPr>
          <w:color w:val="00B050"/>
        </w:rPr>
        <w:t xml:space="preserve"> as a natural component in traditional Chinese medicines for oral use in adults with a maximum daily dose not exceeding 5 mg of amygdalin</w:t>
      </w:r>
      <w:proofErr w:type="gramEnd"/>
      <w:r w:rsidRPr="00531DA4">
        <w:rPr>
          <w:color w:val="00B050"/>
        </w:rPr>
        <w:t>.</w:t>
      </w:r>
    </w:p>
    <w:p w14:paraId="64741749" w14:textId="77777777" w:rsidR="007A0404" w:rsidRPr="00C55683" w:rsidRDefault="007A0404" w:rsidP="00AC34FB">
      <w:pPr>
        <w:keepNext/>
        <w:rPr>
          <w:b/>
        </w:rPr>
      </w:pPr>
      <w:r w:rsidRPr="00C55683">
        <w:rPr>
          <w:b/>
        </w:rPr>
        <w:t>Hydrocyanic acid</w:t>
      </w:r>
    </w:p>
    <w:p w14:paraId="54AE24D5" w14:textId="77777777" w:rsidR="007A0404" w:rsidRPr="00A450EE" w:rsidRDefault="007A0404" w:rsidP="00AC34FB">
      <w:pPr>
        <w:keepNext/>
        <w:ind w:left="426"/>
        <w:rPr>
          <w:b/>
        </w:rPr>
      </w:pPr>
      <w:r w:rsidRPr="00A450EE">
        <w:rPr>
          <w:b/>
        </w:rPr>
        <w:t xml:space="preserve">Schedule </w:t>
      </w:r>
      <w:proofErr w:type="gramStart"/>
      <w:r w:rsidRPr="00A450EE">
        <w:rPr>
          <w:b/>
        </w:rPr>
        <w:t>4</w:t>
      </w:r>
      <w:proofErr w:type="gramEnd"/>
      <w:r>
        <w:rPr>
          <w:b/>
        </w:rPr>
        <w:t xml:space="preserve"> – Amend Entry</w:t>
      </w:r>
    </w:p>
    <w:p w14:paraId="6BC046D4" w14:textId="050D6991" w:rsidR="007A0404" w:rsidRPr="001C6B09" w:rsidRDefault="007A0404" w:rsidP="00C55683">
      <w:pPr>
        <w:ind w:left="426"/>
      </w:pPr>
      <w:r w:rsidRPr="001E2829">
        <w:t>HYDRO</w:t>
      </w:r>
      <w:r>
        <w:t xml:space="preserve">CYANIC ACID for therapeutic </w:t>
      </w:r>
      <w:r w:rsidRPr="005D75BB">
        <w:t>use</w:t>
      </w:r>
      <w:r w:rsidRPr="00FB490F">
        <w:rPr>
          <w:color w:val="FF0000"/>
        </w:rPr>
        <w:t xml:space="preserve"> </w:t>
      </w:r>
      <w:r w:rsidRPr="00531DA4">
        <w:rPr>
          <w:b/>
          <w:color w:val="00B050"/>
        </w:rPr>
        <w:t xml:space="preserve">except </w:t>
      </w:r>
      <w:r w:rsidRPr="00531DA4">
        <w:rPr>
          <w:color w:val="00B050"/>
        </w:rPr>
        <w:t>when present as a natural component of amygdalin in traditional Chinese medicines for oral use in adults</w:t>
      </w:r>
      <w:r w:rsidR="00C55683" w:rsidRPr="00531DA4">
        <w:rPr>
          <w:color w:val="00B050"/>
        </w:rPr>
        <w:t xml:space="preserve"> with a maximum daily dose not exceeding 0.3 mg of hydrocyanic acid</w:t>
      </w:r>
      <w:r w:rsidR="00C55683">
        <w:t>.</w:t>
      </w:r>
    </w:p>
    <w:p w14:paraId="4A6A2D26" w14:textId="77777777" w:rsidR="007A0404" w:rsidRDefault="007A0404" w:rsidP="007A0404">
      <w:pPr>
        <w:pStyle w:val="Heading4"/>
      </w:pPr>
      <w:bookmarkStart w:id="13" w:name="_Toc70495026"/>
      <w:r>
        <w:t>Key uses / expected use</w:t>
      </w:r>
      <w:bookmarkEnd w:id="13"/>
    </w:p>
    <w:p w14:paraId="6652E7A4" w14:textId="77777777" w:rsidR="007A0404" w:rsidRDefault="007A0404" w:rsidP="007A0404">
      <w:r w:rsidRPr="001C6B09">
        <w:t>Medicines</w:t>
      </w:r>
    </w:p>
    <w:p w14:paraId="158D5A71" w14:textId="3EF597FF" w:rsidR="007A0404" w:rsidRDefault="00C55683" w:rsidP="007A0404">
      <w:pPr>
        <w:pStyle w:val="Heading4"/>
      </w:pPr>
      <w:bookmarkStart w:id="14" w:name="_Toc70495027"/>
      <w:r>
        <w:t>Summary of applicant’s r</w:t>
      </w:r>
      <w:r w:rsidR="007A0404">
        <w:t>easons for proposal</w:t>
      </w:r>
      <w:bookmarkEnd w:id="14"/>
      <w:r w:rsidR="007A0404">
        <w:t xml:space="preserve"> </w:t>
      </w:r>
    </w:p>
    <w:p w14:paraId="6AD36F0D" w14:textId="77777777" w:rsidR="007A0404" w:rsidRDefault="007A0404" w:rsidP="007A0404">
      <w:pPr>
        <w:pStyle w:val="ListBullet"/>
        <w:numPr>
          <w:ilvl w:val="0"/>
          <w:numId w:val="1"/>
        </w:numPr>
      </w:pPr>
      <w:r w:rsidRPr="00767AC2">
        <w:t xml:space="preserve">Amygdalin is a cyanogenic glycoside found naturally in many plants including cassava, sorghum, lima beans, bitter almonds, apricot kernels and seeds of other plants in the </w:t>
      </w:r>
      <w:r w:rsidRPr="00351C9E">
        <w:rPr>
          <w:i/>
        </w:rPr>
        <w:t xml:space="preserve">Prunus </w:t>
      </w:r>
      <w:r w:rsidRPr="00767AC2">
        <w:t>genus.</w:t>
      </w:r>
    </w:p>
    <w:p w14:paraId="4C5822EF" w14:textId="77777777" w:rsidR="007A0404" w:rsidRDefault="007A0404" w:rsidP="007A0404">
      <w:pPr>
        <w:pStyle w:val="ListBullet"/>
        <w:numPr>
          <w:ilvl w:val="0"/>
          <w:numId w:val="1"/>
        </w:numPr>
      </w:pPr>
      <w:r w:rsidRPr="00351C9E">
        <w:t xml:space="preserve">Many traditional Chinese medicines </w:t>
      </w:r>
      <w:proofErr w:type="gramStart"/>
      <w:r w:rsidRPr="00351C9E">
        <w:t>are formulated</w:t>
      </w:r>
      <w:proofErr w:type="gramEnd"/>
      <w:r w:rsidRPr="00351C9E">
        <w:t xml:space="preserve"> to include one or more of these plant ingredients, usually in combination with other traditional Chinese herbs. Under the current scheduling arrangements, products that contain amygdalin in any quantity </w:t>
      </w:r>
      <w:proofErr w:type="gramStart"/>
      <w:r w:rsidRPr="00351C9E">
        <w:t>cannot be used</w:t>
      </w:r>
      <w:proofErr w:type="gramEnd"/>
      <w:r w:rsidRPr="00351C9E">
        <w:t xml:space="preserve"> in therapeutic goods, which means that many formulated TCM products that are freely available in other countries are not available to Australian TCM practitioner</w:t>
      </w:r>
      <w:r>
        <w:t>s</w:t>
      </w:r>
      <w:r w:rsidRPr="00351C9E">
        <w:t>.</w:t>
      </w:r>
    </w:p>
    <w:p w14:paraId="6C41032A" w14:textId="2A3B127C" w:rsidR="007A0404" w:rsidRDefault="007A0404" w:rsidP="007A0404">
      <w:pPr>
        <w:pStyle w:val="ListBullet"/>
        <w:numPr>
          <w:ilvl w:val="0"/>
          <w:numId w:val="1"/>
        </w:numPr>
      </w:pPr>
      <w:r w:rsidRPr="008A787D">
        <w:t xml:space="preserve">This application proposes excluding amygdalin from Schedule 10 when included as a natural component in traditional Chinese medicines for oral use in with a cut-off to </w:t>
      </w:r>
      <w:proofErr w:type="gramStart"/>
      <w:r w:rsidRPr="008A787D">
        <w:t>unscheduled</w:t>
      </w:r>
      <w:proofErr w:type="gramEnd"/>
      <w:r w:rsidRPr="008A787D">
        <w:t xml:space="preserve"> at a maximum da</w:t>
      </w:r>
      <w:r>
        <w:t>ily adult dose of 5 mg or less.</w:t>
      </w:r>
    </w:p>
    <w:p w14:paraId="15234205" w14:textId="77777777" w:rsidR="007A0404" w:rsidRDefault="007A0404" w:rsidP="007A0404">
      <w:pPr>
        <w:pStyle w:val="ListBullet"/>
        <w:numPr>
          <w:ilvl w:val="0"/>
          <w:numId w:val="1"/>
        </w:numPr>
      </w:pPr>
      <w:r>
        <w:t>T</w:t>
      </w:r>
      <w:r w:rsidRPr="00026F31">
        <w:t xml:space="preserve">he selected cut-off of 5 mg per maximum daily dose </w:t>
      </w:r>
      <w:proofErr w:type="gramStart"/>
      <w:r w:rsidRPr="00026F31">
        <w:t>is based</w:t>
      </w:r>
      <w:proofErr w:type="gramEnd"/>
      <w:r w:rsidRPr="00026F31">
        <w:t xml:space="preserve"> on animal studies and assessment by a wide range of regulatory and expert committees that an oral intake of 5 to 20 µg/kg/d cyanide (equivalent to 5.1 t</w:t>
      </w:r>
      <w:r>
        <w:t>o 20.3 mg/d amygdalin for a 60 k</w:t>
      </w:r>
      <w:r w:rsidRPr="00026F31">
        <w:t>g adult) is considered to present no appreciable risk. It is substantially less than the legal limit in many foods for human consumption</w:t>
      </w:r>
      <w:r>
        <w:t xml:space="preserve"> in Australia and New Zealand.</w:t>
      </w:r>
    </w:p>
    <w:p w14:paraId="04A872B1" w14:textId="77777777" w:rsidR="007A0404" w:rsidRDefault="007A0404" w:rsidP="007A0404">
      <w:pPr>
        <w:pStyle w:val="ListBullet"/>
        <w:numPr>
          <w:ilvl w:val="0"/>
          <w:numId w:val="1"/>
        </w:numPr>
      </w:pPr>
      <w:r w:rsidRPr="008A787D">
        <w:t>By way of comparison</w:t>
      </w:r>
      <w:r>
        <w:t>,</w:t>
      </w:r>
      <w:r w:rsidRPr="008A787D">
        <w:t xml:space="preserve"> 100 g of confectionary could legally contain more than 8 times this proposed maximum daily dose and one standard drink of red wine could legally contain more than 4 times this dose.</w:t>
      </w:r>
    </w:p>
    <w:p w14:paraId="4D449E9B" w14:textId="77777777" w:rsidR="007A0404" w:rsidRDefault="007A0404" w:rsidP="007A0404">
      <w:pPr>
        <w:pStyle w:val="ListBullet"/>
        <w:numPr>
          <w:ilvl w:val="0"/>
          <w:numId w:val="1"/>
        </w:numPr>
      </w:pPr>
      <w:r w:rsidRPr="008A787D">
        <w:t>An associated change to exclude hydrocyanic acid from Schedule 4 when present as a natural component of amygdalin in traditional Chinese medicines for oral use in adults is also proposed.</w:t>
      </w:r>
    </w:p>
    <w:p w14:paraId="092184AB" w14:textId="0C74FF0C" w:rsidR="007A0404" w:rsidRPr="006014C7" w:rsidRDefault="007A0404" w:rsidP="002A6D89">
      <w:pPr>
        <w:pStyle w:val="ListBullet"/>
        <w:numPr>
          <w:ilvl w:val="0"/>
          <w:numId w:val="1"/>
        </w:numPr>
      </w:pPr>
      <w:r>
        <w:t>The</w:t>
      </w:r>
      <w:r w:rsidR="002A6D89">
        <w:t xml:space="preserve"> effect of the changes would be t</w:t>
      </w:r>
      <w:r w:rsidRPr="006014C7">
        <w:t>o make traditional Chinese medicine products containing very low doses of amygdalin available without prescription</w:t>
      </w:r>
    </w:p>
    <w:p w14:paraId="0E4908B5" w14:textId="77777777" w:rsidR="007A0404" w:rsidRDefault="007A0404" w:rsidP="007A0404">
      <w:pPr>
        <w:pStyle w:val="Heading4"/>
      </w:pPr>
      <w:bookmarkStart w:id="15" w:name="_Toc70495028"/>
      <w:r>
        <w:lastRenderedPageBreak/>
        <w:t>Australian regulations</w:t>
      </w:r>
      <w:bookmarkEnd w:id="15"/>
    </w:p>
    <w:p w14:paraId="22DFAFB1" w14:textId="1E95AC3A" w:rsidR="007A0404" w:rsidRDefault="007A0404" w:rsidP="007A0404">
      <w:pPr>
        <w:pStyle w:val="ListBullet"/>
        <w:numPr>
          <w:ilvl w:val="0"/>
          <w:numId w:val="1"/>
        </w:numPr>
      </w:pPr>
      <w:r>
        <w:t xml:space="preserve">According to the </w:t>
      </w:r>
      <w:hyperlink r:id="rId14" w:history="1">
        <w:r w:rsidR="00664626" w:rsidRPr="00C66C5E">
          <w:rPr>
            <w:rStyle w:val="Hyperlink"/>
          </w:rPr>
          <w:t xml:space="preserve">TGA </w:t>
        </w:r>
        <w:r w:rsidR="00664626">
          <w:rPr>
            <w:rStyle w:val="Hyperlink"/>
          </w:rPr>
          <w:t xml:space="preserve">Ingredient </w:t>
        </w:r>
        <w:r w:rsidR="00664626" w:rsidRPr="00C66C5E">
          <w:rPr>
            <w:rStyle w:val="Hyperlink"/>
          </w:rPr>
          <w:t>Database</w:t>
        </w:r>
      </w:hyperlink>
      <w:r w:rsidR="00664626">
        <w:rPr>
          <w:rStyle w:val="FootnoteReference"/>
        </w:rPr>
        <w:footnoteReference w:id="1"/>
      </w:r>
      <w:r w:rsidR="00664626">
        <w:t xml:space="preserve"> </w:t>
      </w:r>
      <w:r>
        <w:t>amygdalin and hydrocyanic acid are:</w:t>
      </w:r>
    </w:p>
    <w:p w14:paraId="7A63EC05" w14:textId="77777777" w:rsidR="007A0404" w:rsidRDefault="007A0404" w:rsidP="007A0404">
      <w:pPr>
        <w:pStyle w:val="ListBullet2"/>
        <w:numPr>
          <w:ilvl w:val="1"/>
          <w:numId w:val="1"/>
        </w:numPr>
        <w:ind w:left="850" w:hanging="425"/>
      </w:pPr>
      <w:r>
        <w:t>Not available for use as active ingredients in any application;</w:t>
      </w:r>
    </w:p>
    <w:p w14:paraId="66626A09" w14:textId="77777777" w:rsidR="007A0404" w:rsidRDefault="007A0404" w:rsidP="007A0404">
      <w:pPr>
        <w:pStyle w:val="ListBullet2"/>
        <w:numPr>
          <w:ilvl w:val="1"/>
          <w:numId w:val="1"/>
        </w:numPr>
        <w:ind w:left="850" w:hanging="425"/>
      </w:pPr>
      <w:r>
        <w:t>Not available for use as excipient ingredients in any application; and</w:t>
      </w:r>
    </w:p>
    <w:p w14:paraId="688ABC99" w14:textId="77777777" w:rsidR="007A0404" w:rsidRDefault="007A0404" w:rsidP="007A0404">
      <w:pPr>
        <w:pStyle w:val="ListBullet2"/>
        <w:numPr>
          <w:ilvl w:val="1"/>
          <w:numId w:val="1"/>
        </w:numPr>
        <w:ind w:left="850" w:hanging="425"/>
      </w:pPr>
      <w:r>
        <w:t>Available for use as equivalent ingredients in Export Only and Listed medicines.</w:t>
      </w:r>
    </w:p>
    <w:p w14:paraId="2D7237EA" w14:textId="79AF2FCC" w:rsidR="007A0404" w:rsidRDefault="007A0404" w:rsidP="007A0404">
      <w:pPr>
        <w:pStyle w:val="ListBullet"/>
        <w:numPr>
          <w:ilvl w:val="0"/>
          <w:numId w:val="1"/>
        </w:numPr>
      </w:pPr>
      <w:r>
        <w:t>As of April 2021, t</w:t>
      </w:r>
      <w:r w:rsidRPr="00881DFE">
        <w:t xml:space="preserve">here </w:t>
      </w:r>
      <w:r>
        <w:t>were</w:t>
      </w:r>
      <w:r w:rsidRPr="00881DFE">
        <w:t xml:space="preserve"> </w:t>
      </w:r>
      <w:r>
        <w:t>no medicine</w:t>
      </w:r>
      <w:r w:rsidRPr="00881DFE">
        <w:t xml:space="preserve">s currently active on the </w:t>
      </w:r>
      <w:hyperlink r:id="rId15" w:history="1">
        <w:r w:rsidR="00664626" w:rsidRPr="00293CCA">
          <w:rPr>
            <w:rStyle w:val="Hyperlink"/>
          </w:rPr>
          <w:t>Australian Register of Therapeutic Goods (ARTG)</w:t>
        </w:r>
      </w:hyperlink>
      <w:r w:rsidR="00664626">
        <w:rPr>
          <w:rStyle w:val="FootnoteReference"/>
        </w:rPr>
        <w:footnoteReference w:id="2"/>
      </w:r>
      <w:r w:rsidR="00664626">
        <w:t xml:space="preserve"> </w:t>
      </w:r>
      <w:r>
        <w:t xml:space="preserve"> that contain</w:t>
      </w:r>
      <w:r w:rsidRPr="00881DFE">
        <w:t xml:space="preserve"> </w:t>
      </w:r>
      <w:r>
        <w:t>amygdalin or hydrocyanic acid as an active ingredient</w:t>
      </w:r>
      <w:r w:rsidRPr="00881DFE">
        <w:t>.</w:t>
      </w:r>
    </w:p>
    <w:p w14:paraId="1E43F96D" w14:textId="714CA3B4" w:rsidR="007A0404" w:rsidRDefault="007A0404" w:rsidP="007A0404">
      <w:pPr>
        <w:pStyle w:val="ListBullet"/>
        <w:numPr>
          <w:ilvl w:val="0"/>
          <w:numId w:val="1"/>
        </w:numPr>
      </w:pPr>
      <w:r w:rsidRPr="003E7AF7">
        <w:t>Amygdalin</w:t>
      </w:r>
      <w:r>
        <w:t xml:space="preserve"> and hydrocyanic acid</w:t>
      </w:r>
      <w:r w:rsidRPr="003E7AF7">
        <w:t xml:space="preserve"> </w:t>
      </w:r>
      <w:proofErr w:type="gramStart"/>
      <w:r>
        <w:t>are</w:t>
      </w:r>
      <w:r w:rsidRPr="009C55D5">
        <w:t xml:space="preserve"> </w:t>
      </w:r>
      <w:r>
        <w:t>captured</w:t>
      </w:r>
      <w:proofErr w:type="gramEnd"/>
      <w:r>
        <w:t xml:space="preserve"> as mandatory components of twenty ingredients in the </w:t>
      </w:r>
      <w:hyperlink r:id="rId16" w:history="1">
        <w:r w:rsidR="00664626" w:rsidRPr="00824CAC">
          <w:rPr>
            <w:rStyle w:val="Hyperlink"/>
          </w:rPr>
          <w:t>Therapeutic Goods (Permissible Ingredients) Determination</w:t>
        </w:r>
      </w:hyperlink>
      <w:r w:rsidR="00664626">
        <w:rPr>
          <w:rStyle w:val="FootnoteReference"/>
        </w:rPr>
        <w:footnoteReference w:id="3"/>
      </w:r>
      <w:r w:rsidRPr="009C55D5">
        <w:t xml:space="preserve"> No</w:t>
      </w:r>
      <w:r>
        <w:t>.1 of 2021</w:t>
      </w:r>
      <w:r w:rsidR="008D1EEC">
        <w:t>.</w:t>
      </w:r>
      <w:r>
        <w:t xml:space="preserve"> </w:t>
      </w:r>
    </w:p>
    <w:tbl>
      <w:tblPr>
        <w:tblStyle w:val="TableTGAblue"/>
        <w:tblW w:w="0" w:type="auto"/>
        <w:tblInd w:w="360" w:type="dxa"/>
        <w:tblLook w:val="04A0" w:firstRow="1" w:lastRow="0" w:firstColumn="1" w:lastColumn="0" w:noHBand="0" w:noVBand="1"/>
      </w:tblPr>
      <w:tblGrid>
        <w:gridCol w:w="706"/>
        <w:gridCol w:w="1901"/>
        <w:gridCol w:w="992"/>
        <w:gridCol w:w="5091"/>
      </w:tblGrid>
      <w:tr w:rsidR="007A0404" w:rsidRPr="00A26FAA" w14:paraId="5EB7ACC7"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7FC05291" w14:textId="77777777" w:rsidR="007A0404" w:rsidRPr="00A26FAA" w:rsidRDefault="007A0404" w:rsidP="0091227A">
            <w:pPr>
              <w:pStyle w:val="ListBullet"/>
              <w:keepLines/>
              <w:numPr>
                <w:ilvl w:val="0"/>
                <w:numId w:val="0"/>
              </w:numPr>
              <w:rPr>
                <w:sz w:val="20"/>
                <w:szCs w:val="20"/>
              </w:rPr>
            </w:pPr>
            <w:r w:rsidRPr="00A26FAA">
              <w:rPr>
                <w:sz w:val="20"/>
                <w:szCs w:val="20"/>
              </w:rPr>
              <w:t>Item</w:t>
            </w:r>
          </w:p>
        </w:tc>
        <w:tc>
          <w:tcPr>
            <w:tcW w:w="1901" w:type="dxa"/>
          </w:tcPr>
          <w:p w14:paraId="102C876E" w14:textId="77777777" w:rsidR="007A0404" w:rsidRPr="00A26FAA" w:rsidRDefault="007A0404" w:rsidP="0091227A">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26FAA">
              <w:rPr>
                <w:sz w:val="20"/>
                <w:szCs w:val="20"/>
              </w:rPr>
              <w:t>Ingredient name</w:t>
            </w:r>
          </w:p>
        </w:tc>
        <w:tc>
          <w:tcPr>
            <w:tcW w:w="992" w:type="dxa"/>
          </w:tcPr>
          <w:p w14:paraId="17543917" w14:textId="77777777" w:rsidR="007A0404" w:rsidRPr="00A26FAA" w:rsidRDefault="007A0404" w:rsidP="0091227A">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26FAA">
              <w:rPr>
                <w:sz w:val="20"/>
                <w:szCs w:val="20"/>
              </w:rPr>
              <w:t>Purpose</w:t>
            </w:r>
          </w:p>
        </w:tc>
        <w:tc>
          <w:tcPr>
            <w:tcW w:w="5091" w:type="dxa"/>
          </w:tcPr>
          <w:p w14:paraId="151EEEB1" w14:textId="77777777" w:rsidR="007A0404" w:rsidRPr="00A26FAA" w:rsidRDefault="007A0404" w:rsidP="0091227A">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26FAA">
              <w:rPr>
                <w:sz w:val="20"/>
                <w:szCs w:val="20"/>
              </w:rPr>
              <w:t>Specific requirements</w:t>
            </w:r>
          </w:p>
        </w:tc>
      </w:tr>
      <w:tr w:rsidR="007A0404" w:rsidRPr="00A26FAA" w14:paraId="15A25DD5" w14:textId="77777777" w:rsidTr="0091227A">
        <w:tc>
          <w:tcPr>
            <w:cnfStyle w:val="001000000000" w:firstRow="0" w:lastRow="0" w:firstColumn="1" w:lastColumn="0" w:oddVBand="0" w:evenVBand="0" w:oddHBand="0" w:evenHBand="0" w:firstRowFirstColumn="0" w:firstRowLastColumn="0" w:lastRowFirstColumn="0" w:lastRowLastColumn="0"/>
            <w:tcW w:w="706" w:type="dxa"/>
          </w:tcPr>
          <w:p w14:paraId="476C3C23" w14:textId="77777777" w:rsidR="007A0404" w:rsidRPr="00A26FAA" w:rsidRDefault="007A0404" w:rsidP="0091227A">
            <w:pPr>
              <w:keepNext/>
              <w:keepLines/>
              <w:rPr>
                <w:rFonts w:asciiTheme="minorHAnsi" w:hAnsiTheme="minorHAnsi"/>
                <w:sz w:val="20"/>
                <w:szCs w:val="20"/>
              </w:rPr>
            </w:pPr>
            <w:r>
              <w:rPr>
                <w:sz w:val="20"/>
                <w:szCs w:val="20"/>
                <w:shd w:val="clear" w:color="auto" w:fill="FFFFFF"/>
              </w:rPr>
              <w:t>451</w:t>
            </w:r>
          </w:p>
        </w:tc>
        <w:tc>
          <w:tcPr>
            <w:tcW w:w="1901" w:type="dxa"/>
          </w:tcPr>
          <w:p w14:paraId="57423A67" w14:textId="0108126E" w:rsidR="007A0404" w:rsidRPr="003C5160" w:rsidRDefault="007A0404" w:rsidP="00B4448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C5160">
              <w:rPr>
                <w:rFonts w:asciiTheme="minorHAnsi" w:hAnsiTheme="minorHAnsi"/>
                <w:szCs w:val="22"/>
              </w:rPr>
              <w:t>Almond oil</w:t>
            </w:r>
          </w:p>
        </w:tc>
        <w:tc>
          <w:tcPr>
            <w:tcW w:w="992" w:type="dxa"/>
          </w:tcPr>
          <w:p w14:paraId="22C75FFB" w14:textId="77777777" w:rsidR="007A0404" w:rsidRPr="003C5160" w:rsidRDefault="007A0404" w:rsidP="0091227A">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C5160">
              <w:rPr>
                <w:rFonts w:asciiTheme="minorHAnsi" w:hAnsiTheme="minorHAnsi"/>
                <w:szCs w:val="22"/>
              </w:rPr>
              <w:t>A, E, H</w:t>
            </w:r>
          </w:p>
        </w:tc>
        <w:tc>
          <w:tcPr>
            <w:tcW w:w="5091" w:type="dxa"/>
          </w:tcPr>
          <w:p w14:paraId="55B9DC80" w14:textId="77777777" w:rsidR="007A0404" w:rsidRPr="003C5160" w:rsidRDefault="007A0404" w:rsidP="007A0404">
            <w:pPr>
              <w:pStyle w:val="ListBullet"/>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en-AU"/>
              </w:rPr>
            </w:pPr>
            <w:r w:rsidRPr="003C5160">
              <w:rPr>
                <w:rFonts w:asciiTheme="minorHAnsi" w:hAnsiTheme="minorHAnsi"/>
                <w:szCs w:val="22"/>
                <w:lang w:eastAsia="en-AU"/>
              </w:rPr>
              <w:t xml:space="preserve">Amygdalin and hydrocyanic acid are mandatory components of Almond oil. </w:t>
            </w:r>
          </w:p>
          <w:p w14:paraId="564CFCCE" w14:textId="77777777" w:rsidR="007A0404" w:rsidRPr="003C5160" w:rsidRDefault="007A0404" w:rsidP="007A0404">
            <w:pPr>
              <w:pStyle w:val="ListBullet"/>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en-AU"/>
              </w:rPr>
            </w:pPr>
            <w:r w:rsidRPr="003C5160">
              <w:rPr>
                <w:rFonts w:asciiTheme="minorHAnsi" w:hAnsiTheme="minorHAnsi"/>
                <w:szCs w:val="22"/>
                <w:lang w:eastAsia="en-AU"/>
              </w:rPr>
              <w:t xml:space="preserve">The concentration of Amygdalin in the medicine must be 0%. </w:t>
            </w:r>
          </w:p>
          <w:p w14:paraId="628B50A9" w14:textId="77777777" w:rsidR="007A0404" w:rsidRPr="003C5160" w:rsidRDefault="007A0404" w:rsidP="007A0404">
            <w:pPr>
              <w:pStyle w:val="ListBullet"/>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C5160">
              <w:rPr>
                <w:rFonts w:asciiTheme="minorHAnsi" w:hAnsiTheme="minorHAnsi"/>
                <w:szCs w:val="22"/>
                <w:lang w:eastAsia="en-AU"/>
              </w:rPr>
              <w:t>The concentration of hydrocyanic acid in the medicine must be no more than 1 microgram/kg or 1 microgram/L or 0.0000001%.</w:t>
            </w:r>
          </w:p>
        </w:tc>
      </w:tr>
      <w:tr w:rsidR="007A0404" w:rsidRPr="00A26FAA" w14:paraId="39396632" w14:textId="77777777" w:rsidTr="0091227A">
        <w:tc>
          <w:tcPr>
            <w:cnfStyle w:val="001000000000" w:firstRow="0" w:lastRow="0" w:firstColumn="1" w:lastColumn="0" w:oddVBand="0" w:evenVBand="0" w:oddHBand="0" w:evenHBand="0" w:firstRowFirstColumn="0" w:firstRowLastColumn="0" w:lastRowFirstColumn="0" w:lastRowLastColumn="0"/>
            <w:tcW w:w="8690" w:type="dxa"/>
            <w:gridSpan w:val="4"/>
          </w:tcPr>
          <w:p w14:paraId="10F66037" w14:textId="77777777" w:rsidR="007A0404" w:rsidRDefault="007A0404" w:rsidP="0091227A">
            <w:pPr>
              <w:pStyle w:val="tabletext"/>
              <w:spacing w:before="90" w:beforeAutospacing="0" w:after="0" w:afterAutospacing="0" w:line="240" w:lineRule="atLeast"/>
              <w:rPr>
                <w:rFonts w:asciiTheme="minorHAnsi" w:hAnsiTheme="minorHAnsi"/>
                <w:sz w:val="22"/>
                <w:szCs w:val="22"/>
              </w:rPr>
            </w:pPr>
            <w:r w:rsidRPr="00955BFE">
              <w:rPr>
                <w:rFonts w:asciiTheme="minorHAnsi" w:hAnsiTheme="minorHAnsi"/>
                <w:b/>
                <w:sz w:val="22"/>
                <w:szCs w:val="22"/>
              </w:rPr>
              <w:t>A</w:t>
            </w:r>
            <w:r>
              <w:rPr>
                <w:rFonts w:asciiTheme="minorHAnsi" w:hAnsiTheme="minorHAnsi"/>
                <w:sz w:val="22"/>
                <w:szCs w:val="22"/>
              </w:rPr>
              <w:t xml:space="preserve"> – active ingredient (for a medicine, has the same meaning as in the Regulations</w:t>
            </w:r>
          </w:p>
          <w:p w14:paraId="56D5DB6C" w14:textId="77777777" w:rsidR="007A0404" w:rsidRDefault="007A0404" w:rsidP="0091227A">
            <w:pPr>
              <w:pStyle w:val="tabletext"/>
              <w:spacing w:before="90" w:beforeAutospacing="0" w:after="0" w:afterAutospacing="0" w:line="240" w:lineRule="atLeast"/>
              <w:rPr>
                <w:rFonts w:asciiTheme="minorHAnsi" w:hAnsiTheme="minorHAnsi"/>
                <w:sz w:val="22"/>
                <w:szCs w:val="22"/>
              </w:rPr>
            </w:pPr>
            <w:r w:rsidRPr="00955BFE">
              <w:rPr>
                <w:rFonts w:asciiTheme="minorHAnsi" w:hAnsiTheme="minorHAnsi"/>
                <w:b/>
                <w:sz w:val="22"/>
                <w:szCs w:val="22"/>
              </w:rPr>
              <w:t>E</w:t>
            </w:r>
            <w:r>
              <w:rPr>
                <w:rFonts w:asciiTheme="minorHAnsi" w:hAnsiTheme="minorHAnsi"/>
                <w:sz w:val="22"/>
                <w:szCs w:val="22"/>
              </w:rPr>
              <w:t xml:space="preserve"> – excipient (for a medicine, </w:t>
            </w:r>
            <w:r>
              <w:rPr>
                <w:sz w:val="22"/>
                <w:szCs w:val="22"/>
                <w:shd w:val="clear" w:color="auto" w:fill="FFFFFF"/>
              </w:rPr>
              <w:t>means an ingredient that is not an active ingredient or a homoeopathic preparation ingredient)</w:t>
            </w:r>
          </w:p>
          <w:p w14:paraId="654F95F9" w14:textId="77777777" w:rsidR="007A0404" w:rsidRPr="00EC2A18" w:rsidRDefault="007A0404" w:rsidP="0091227A">
            <w:pPr>
              <w:pStyle w:val="tabletext"/>
              <w:spacing w:before="90" w:beforeAutospacing="0" w:after="0" w:afterAutospacing="0" w:line="240" w:lineRule="atLeast"/>
              <w:rPr>
                <w:rFonts w:asciiTheme="minorHAnsi" w:hAnsiTheme="minorHAnsi"/>
                <w:sz w:val="22"/>
                <w:szCs w:val="22"/>
              </w:rPr>
            </w:pPr>
            <w:r w:rsidRPr="00955BFE">
              <w:rPr>
                <w:rFonts w:asciiTheme="minorHAnsi" w:hAnsiTheme="minorHAnsi"/>
                <w:b/>
                <w:sz w:val="22"/>
                <w:szCs w:val="22"/>
              </w:rPr>
              <w:t>H</w:t>
            </w:r>
            <w:r>
              <w:rPr>
                <w:rFonts w:asciiTheme="minorHAnsi" w:hAnsiTheme="minorHAnsi"/>
                <w:sz w:val="22"/>
                <w:szCs w:val="22"/>
              </w:rPr>
              <w:t xml:space="preserve"> – homeopathic preparation ingredient (</w:t>
            </w:r>
            <w:r>
              <w:rPr>
                <w:sz w:val="22"/>
                <w:szCs w:val="22"/>
                <w:shd w:val="clear" w:color="auto" w:fill="FFFFFF"/>
              </w:rPr>
              <w:t>means an ingredient that is a constituent of a homoeopathic preparation)</w:t>
            </w:r>
          </w:p>
        </w:tc>
      </w:tr>
    </w:tbl>
    <w:p w14:paraId="300867A7" w14:textId="2B1830D1" w:rsidR="00664626" w:rsidRDefault="00664626" w:rsidP="00664626">
      <w:pPr>
        <w:pStyle w:val="ListBullet"/>
        <w:numPr>
          <w:ilvl w:val="0"/>
          <w:numId w:val="1"/>
        </w:numPr>
      </w:pPr>
      <w:r>
        <w:t xml:space="preserve">Amygdalin and hydrocyanic acid are not included the </w:t>
      </w:r>
      <w:hyperlink r:id="rId17"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4"/>
      </w:r>
    </w:p>
    <w:p w14:paraId="6A1265DA" w14:textId="3B0BE193" w:rsidR="007A0404" w:rsidRDefault="007A0404" w:rsidP="007A0404">
      <w:pPr>
        <w:pStyle w:val="ListBullet"/>
        <w:numPr>
          <w:ilvl w:val="0"/>
          <w:numId w:val="1"/>
        </w:numPr>
      </w:pPr>
      <w:r>
        <w:t xml:space="preserve">There are no </w:t>
      </w:r>
      <w:r w:rsidRPr="00A30084">
        <w:t xml:space="preserve">warning statements pertaining </w:t>
      </w:r>
      <w:r>
        <w:t>to a</w:t>
      </w:r>
      <w:r w:rsidRPr="0051263D">
        <w:t xml:space="preserve">mygdalin </w:t>
      </w:r>
      <w:r>
        <w:t>or</w:t>
      </w:r>
      <w:r w:rsidRPr="0051263D">
        <w:t xml:space="preserve"> hydrocyanic acid </w:t>
      </w:r>
      <w:r>
        <w:t xml:space="preserve">in the </w:t>
      </w:r>
      <w:hyperlink r:id="rId18" w:history="1">
        <w:r w:rsidR="00664626" w:rsidRPr="00AB7BF5">
          <w:rPr>
            <w:rStyle w:val="Hyperlink"/>
          </w:rPr>
          <w:t>Therapeutic Goods (Medicines Advisory Statements) Specification 2019</w:t>
        </w:r>
      </w:hyperlink>
      <w:r w:rsidR="00664626">
        <w:rPr>
          <w:rStyle w:val="FootnoteReference"/>
        </w:rPr>
        <w:footnoteReference w:id="5"/>
      </w:r>
    </w:p>
    <w:p w14:paraId="5EDA464B" w14:textId="06F69EB2" w:rsidR="007A0404" w:rsidRPr="009C55D5" w:rsidRDefault="007A0404" w:rsidP="007A0404">
      <w:pPr>
        <w:pStyle w:val="ListBullet"/>
        <w:numPr>
          <w:ilvl w:val="0"/>
          <w:numId w:val="1"/>
        </w:numPr>
      </w:pPr>
      <w:r>
        <w:lastRenderedPageBreak/>
        <w:t>As of April 2021, there were</w:t>
      </w:r>
      <w:r w:rsidRPr="009C55D5">
        <w:t xml:space="preserve"> </w:t>
      </w:r>
      <w:r>
        <w:t>no</w:t>
      </w:r>
      <w:r w:rsidRPr="009C55D5">
        <w:t xml:space="preserve"> reports of adverse events for products containing </w:t>
      </w:r>
      <w:r w:rsidRPr="0009162D">
        <w:t xml:space="preserve">amygdalin </w:t>
      </w:r>
      <w:r>
        <w:t>or</w:t>
      </w:r>
      <w:r w:rsidRPr="0009162D">
        <w:t xml:space="preserve"> hydrocyanic acid as</w:t>
      </w:r>
      <w:r w:rsidRPr="009C55D5">
        <w:t xml:space="preserve"> an active ingredient</w:t>
      </w:r>
      <w:r>
        <w:t xml:space="preserve"> in the </w:t>
      </w:r>
      <w:hyperlink r:id="rId19" w:history="1">
        <w:r w:rsidR="00BB3154" w:rsidRPr="00F0449C">
          <w:rPr>
            <w:rStyle w:val="Hyperlink"/>
          </w:rPr>
          <w:t>Database of Adverse Event Notifications (DAEN)</w:t>
        </w:r>
      </w:hyperlink>
      <w:r w:rsidR="008D1EEC">
        <w:rPr>
          <w:rStyle w:val="FootnoteReference"/>
        </w:rPr>
        <w:footnoteReference w:id="6"/>
      </w:r>
    </w:p>
    <w:p w14:paraId="76C78CE0" w14:textId="4ED34964" w:rsidR="007A0404" w:rsidRDefault="007A0404" w:rsidP="00D21DFA">
      <w:pPr>
        <w:pStyle w:val="Heading4"/>
      </w:pPr>
      <w:bookmarkStart w:id="16" w:name="_Toc70495029"/>
      <w:r>
        <w:t>International regulations</w:t>
      </w:r>
      <w:bookmarkEnd w:id="16"/>
    </w:p>
    <w:p w14:paraId="60746136" w14:textId="77777777" w:rsidR="007A0404" w:rsidRPr="00A93EE0" w:rsidRDefault="007A0404" w:rsidP="00D21DFA">
      <w:pPr>
        <w:keepNext/>
      </w:pPr>
      <w:r>
        <w:t>As of April 2021:</w:t>
      </w:r>
    </w:p>
    <w:p w14:paraId="6BC24DEC" w14:textId="6A4FCB81" w:rsidR="007A0404" w:rsidRDefault="007A0404" w:rsidP="007A0404">
      <w:pPr>
        <w:pStyle w:val="ListBullet"/>
        <w:numPr>
          <w:ilvl w:val="0"/>
          <w:numId w:val="22"/>
        </w:numPr>
        <w:spacing w:line="240" w:lineRule="auto"/>
      </w:pPr>
      <w:r>
        <w:t>A</w:t>
      </w:r>
      <w:r w:rsidRPr="0009162D">
        <w:t xml:space="preserve">mygdalin </w:t>
      </w:r>
      <w:r>
        <w:t>and</w:t>
      </w:r>
      <w:r w:rsidRPr="0009162D">
        <w:t xml:space="preserve"> hydrocyanic acid</w:t>
      </w:r>
      <w:r>
        <w:t xml:space="preserve"> are not included in the </w:t>
      </w:r>
      <w:hyperlink r:id="rId20" w:history="1">
        <w:r w:rsidRPr="00CC6398">
          <w:rPr>
            <w:rStyle w:val="Hyperlink"/>
          </w:rPr>
          <w:t>WHO Model List of Essential Medicines 2019</w:t>
        </w:r>
      </w:hyperlink>
      <w:r w:rsidR="003B6119">
        <w:rPr>
          <w:rStyle w:val="FootnoteReference"/>
        </w:rPr>
        <w:footnoteReference w:id="7"/>
      </w:r>
    </w:p>
    <w:p w14:paraId="669CB0AB" w14:textId="79B80CCF" w:rsidR="00710082" w:rsidRDefault="00710082" w:rsidP="00710082">
      <w:pPr>
        <w:pStyle w:val="ListBullet"/>
        <w:rPr>
          <w:rStyle w:val="Hyperlink"/>
        </w:rPr>
      </w:pPr>
      <w:r>
        <w:t>There are no products containing a</w:t>
      </w:r>
      <w:r w:rsidRPr="0009162D">
        <w:t xml:space="preserve">mygdalin </w:t>
      </w:r>
      <w:r>
        <w:t>and</w:t>
      </w:r>
      <w:r w:rsidRPr="0009162D">
        <w:t xml:space="preserve"> hydrocyanic acid</w:t>
      </w:r>
      <w:r>
        <w:t xml:space="preserve"> in the </w:t>
      </w:r>
      <w:r w:rsidRPr="00710082">
        <w:rPr>
          <w:color w:val="0000FF"/>
          <w:u w:val="single"/>
        </w:rPr>
        <w:t>United States Food and Drug Administration Approved Drug Products</w:t>
      </w:r>
      <w:r w:rsidRPr="005A27ED">
        <w:t xml:space="preserve"> </w:t>
      </w:r>
      <w:r w:rsidR="005A27ED">
        <w:t>d</w:t>
      </w:r>
      <w:r w:rsidRPr="005A27ED">
        <w:t>atabase (</w:t>
      </w:r>
      <w:proofErr w:type="spellStart"/>
      <w:r w:rsidRPr="005A27ED">
        <w:t>Drugs@FDA</w:t>
      </w:r>
      <w:proofErr w:type="spellEnd"/>
      <w:r w:rsidRPr="005A27ED">
        <w:t>)</w:t>
      </w:r>
      <w:r w:rsidRPr="00710082">
        <w:rPr>
          <w:rStyle w:val="FootnoteReference"/>
        </w:rPr>
        <w:t xml:space="preserve"> </w:t>
      </w:r>
      <w:r w:rsidRPr="00417519">
        <w:rPr>
          <w:rStyle w:val="FootnoteReference"/>
        </w:rPr>
        <w:footnoteReference w:id="8"/>
      </w:r>
      <w:r>
        <w:t xml:space="preserve"> </w:t>
      </w:r>
      <w:r w:rsidR="007A0404">
        <w:t xml:space="preserve">or </w:t>
      </w:r>
      <w:hyperlink r:id="rId21" w:history="1">
        <w:r w:rsidR="007A0404" w:rsidRPr="00C81411">
          <w:rPr>
            <w:rStyle w:val="Hyperlink"/>
          </w:rPr>
          <w:t>European Commission database for information on cosmetic substances and ingredients database</w:t>
        </w:r>
      </w:hyperlink>
      <w:r w:rsidRPr="00417519">
        <w:rPr>
          <w:rStyle w:val="FootnoteReference"/>
        </w:rPr>
        <w:footnoteReference w:id="9"/>
      </w:r>
    </w:p>
    <w:p w14:paraId="2B6821F8" w14:textId="17E35947" w:rsidR="007A0404" w:rsidRPr="004F32F6" w:rsidRDefault="007A0404" w:rsidP="007A0404">
      <w:pPr>
        <w:pStyle w:val="ListBullet"/>
        <w:numPr>
          <w:ilvl w:val="0"/>
          <w:numId w:val="22"/>
        </w:numPr>
        <w:spacing w:line="240" w:lineRule="auto"/>
      </w:pPr>
      <w:r>
        <w:t>There are no products containing a</w:t>
      </w:r>
      <w:r w:rsidRPr="0009162D">
        <w:t xml:space="preserve">mygdalin </w:t>
      </w:r>
      <w:r>
        <w:t>and</w:t>
      </w:r>
      <w:r w:rsidRPr="0009162D">
        <w:t xml:space="preserve"> hydrocyanic acid</w:t>
      </w:r>
      <w:r>
        <w:t xml:space="preserve"> in the </w:t>
      </w:r>
      <w:hyperlink r:id="rId22" w:history="1">
        <w:r w:rsidRPr="000B75D5">
          <w:rPr>
            <w:rStyle w:val="Hyperlink"/>
          </w:rPr>
          <w:t>Canadian (Health Canada) Drug Product Database</w:t>
        </w:r>
      </w:hyperlink>
      <w:r w:rsidR="00710082" w:rsidRPr="00417519">
        <w:rPr>
          <w:rStyle w:val="FootnoteReference"/>
        </w:rPr>
        <w:footnoteReference w:id="10"/>
      </w:r>
      <w:r w:rsidRPr="00F12125">
        <w:rPr>
          <w:rStyle w:val="Hyperlink"/>
          <w:u w:val="none"/>
        </w:rPr>
        <w:t xml:space="preserve"> </w:t>
      </w:r>
      <w:r w:rsidRPr="00A93EE0">
        <w:t>and</w:t>
      </w:r>
      <w:r w:rsidRPr="00F12125">
        <w:rPr>
          <w:rStyle w:val="Hyperlink"/>
          <w:u w:val="none"/>
        </w:rPr>
        <w:t xml:space="preserve"> </w:t>
      </w:r>
      <w:hyperlink r:id="rId23" w:history="1">
        <w:r w:rsidRPr="002150D3">
          <w:rPr>
            <w:rStyle w:val="Hyperlink"/>
          </w:rPr>
          <w:t>Health Products Regulatory Authority of Ireland</w:t>
        </w:r>
      </w:hyperlink>
      <w:r w:rsidR="008D08E6" w:rsidRPr="00417519">
        <w:rPr>
          <w:rStyle w:val="FootnoteReference"/>
        </w:rPr>
        <w:footnoteReference w:id="11"/>
      </w:r>
      <w:r>
        <w:rPr>
          <w:rStyle w:val="Hyperlink"/>
        </w:rPr>
        <w:t xml:space="preserve"> </w:t>
      </w:r>
      <w:r w:rsidRPr="004F32F6">
        <w:t>database.</w:t>
      </w:r>
    </w:p>
    <w:p w14:paraId="54EBE0CA" w14:textId="4C13EF15" w:rsidR="007A0404" w:rsidRDefault="007A0404" w:rsidP="007A0404">
      <w:pPr>
        <w:pStyle w:val="ListBullet"/>
        <w:numPr>
          <w:ilvl w:val="0"/>
          <w:numId w:val="1"/>
        </w:numPr>
      </w:pPr>
      <w:r>
        <w:t xml:space="preserve">Amygdalin and hydrocyanic acid </w:t>
      </w:r>
      <w:proofErr w:type="gramStart"/>
      <w:r>
        <w:t>were added</w:t>
      </w:r>
      <w:proofErr w:type="gramEnd"/>
      <w:r>
        <w:t xml:space="preserve"> to the</w:t>
      </w:r>
      <w:r w:rsidRPr="00571015">
        <w:t> </w:t>
      </w:r>
      <w:hyperlink r:id="rId24" w:tgtFrame="_blank" w:tooltip="link to the NZ EPA website" w:history="1">
        <w:r w:rsidRPr="00571015">
          <w:rPr>
            <w:rStyle w:val="Hyperlink"/>
          </w:rPr>
          <w:t>New Zealand Inventory of Chemicals (</w:t>
        </w:r>
        <w:proofErr w:type="spellStart"/>
        <w:r w:rsidRPr="00571015">
          <w:rPr>
            <w:rStyle w:val="Hyperlink"/>
          </w:rPr>
          <w:t>NZIoC</w:t>
        </w:r>
        <w:proofErr w:type="spellEnd"/>
        <w:r w:rsidRPr="00571015">
          <w:rPr>
            <w:rStyle w:val="Hyperlink"/>
          </w:rPr>
          <w:t>)</w:t>
        </w:r>
      </w:hyperlink>
      <w:r w:rsidR="0086679C" w:rsidRPr="00417519">
        <w:rPr>
          <w:rStyle w:val="FootnoteReference"/>
        </w:rPr>
        <w:footnoteReference w:id="12"/>
      </w:r>
      <w:r>
        <w:rPr>
          <w:vertAlign w:val="superscript"/>
        </w:rPr>
        <w:t xml:space="preserve"> </w:t>
      </w:r>
      <w:r>
        <w:t xml:space="preserve">on 1 December 2006. </w:t>
      </w:r>
    </w:p>
    <w:p w14:paraId="781B79F9" w14:textId="7BAA89DE" w:rsidR="007A0404" w:rsidRDefault="007A0404" w:rsidP="00584D0D">
      <w:pPr>
        <w:pStyle w:val="ListBullet"/>
      </w:pPr>
      <w:r>
        <w:t xml:space="preserve">Amygdalin and hydrocyanic acid are entered in the </w:t>
      </w:r>
      <w:r w:rsidRPr="00924083">
        <w:t> </w:t>
      </w:r>
      <w:hyperlink r:id="rId25" w:history="1">
        <w:r w:rsidR="00584D0D" w:rsidRPr="000B75D5">
          <w:rPr>
            <w:rStyle w:val="Hyperlink"/>
          </w:rPr>
          <w:t>New Zealand</w:t>
        </w:r>
        <w:r w:rsidR="00584D0D">
          <w:rPr>
            <w:rStyle w:val="Hyperlink"/>
          </w:rPr>
          <w:t xml:space="preserve"> Medicines and Medical Devices Safety Authority</w:t>
        </w:r>
        <w:r w:rsidR="00584D0D" w:rsidRPr="000B75D5">
          <w:rPr>
            <w:rStyle w:val="Hyperlink"/>
          </w:rPr>
          <w:t xml:space="preserve"> </w:t>
        </w:r>
        <w:r w:rsidR="00584D0D">
          <w:rPr>
            <w:rStyle w:val="Hyperlink"/>
          </w:rPr>
          <w:t>(</w:t>
        </w:r>
        <w:proofErr w:type="spellStart"/>
        <w:r w:rsidR="00584D0D" w:rsidRPr="000B75D5">
          <w:rPr>
            <w:rStyle w:val="Hyperlink"/>
          </w:rPr>
          <w:t>MedSafe</w:t>
        </w:r>
        <w:proofErr w:type="spellEnd"/>
      </w:hyperlink>
      <w:r w:rsidR="00584D0D">
        <w:t>)</w:t>
      </w:r>
      <w:r w:rsidR="00584D0D">
        <w:rPr>
          <w:rStyle w:val="FootnoteReference"/>
        </w:rPr>
        <w:footnoteReference w:id="13"/>
      </w:r>
      <w:r w:rsidR="00584D0D">
        <w:t xml:space="preserve"> </w:t>
      </w:r>
      <w:r w:rsidRPr="00924083">
        <w:t>as follows:</w:t>
      </w:r>
    </w:p>
    <w:tbl>
      <w:tblPr>
        <w:tblStyle w:val="TableGrid"/>
        <w:tblW w:w="0" w:type="auto"/>
        <w:tblLook w:val="04A0" w:firstRow="1" w:lastRow="0" w:firstColumn="1" w:lastColumn="0" w:noHBand="0" w:noVBand="1"/>
      </w:tblPr>
      <w:tblGrid>
        <w:gridCol w:w="1980"/>
        <w:gridCol w:w="3402"/>
        <w:gridCol w:w="3678"/>
      </w:tblGrid>
      <w:tr w:rsidR="007A0404" w14:paraId="4A9C3767" w14:textId="77777777" w:rsidTr="0091227A">
        <w:tc>
          <w:tcPr>
            <w:tcW w:w="1980" w:type="dxa"/>
            <w:shd w:val="clear" w:color="auto" w:fill="0070C0"/>
          </w:tcPr>
          <w:p w14:paraId="5123486E" w14:textId="77777777" w:rsidR="007A0404" w:rsidRDefault="007A0404" w:rsidP="0091227A">
            <w:r w:rsidRPr="00071199">
              <w:rPr>
                <w:b/>
                <w:color w:val="FFFFFF"/>
              </w:rPr>
              <w:t>Ingredient</w:t>
            </w:r>
          </w:p>
        </w:tc>
        <w:tc>
          <w:tcPr>
            <w:tcW w:w="3402" w:type="dxa"/>
            <w:shd w:val="clear" w:color="auto" w:fill="0070C0"/>
          </w:tcPr>
          <w:p w14:paraId="519E9148" w14:textId="77777777" w:rsidR="007A0404" w:rsidRPr="00C81411" w:rsidRDefault="007A0404" w:rsidP="0091227A">
            <w:pPr>
              <w:rPr>
                <w:b/>
                <w:color w:val="FFFFFF"/>
              </w:rPr>
            </w:pPr>
            <w:r w:rsidRPr="00C81411">
              <w:rPr>
                <w:b/>
                <w:color w:val="FFFFFF"/>
              </w:rPr>
              <w:t>C</w:t>
            </w:r>
            <w:r>
              <w:rPr>
                <w:b/>
                <w:color w:val="FFFFFF"/>
              </w:rPr>
              <w:t>hemicals</w:t>
            </w:r>
          </w:p>
        </w:tc>
        <w:tc>
          <w:tcPr>
            <w:tcW w:w="3678" w:type="dxa"/>
            <w:shd w:val="clear" w:color="auto" w:fill="0070C0"/>
          </w:tcPr>
          <w:p w14:paraId="4B385185" w14:textId="77777777" w:rsidR="007A0404" w:rsidRPr="00C81411" w:rsidRDefault="007A0404" w:rsidP="0091227A">
            <w:pPr>
              <w:rPr>
                <w:b/>
                <w:color w:val="FFFFFF"/>
              </w:rPr>
            </w:pPr>
            <w:r>
              <w:rPr>
                <w:b/>
                <w:color w:val="FFFFFF"/>
              </w:rPr>
              <w:t xml:space="preserve">Medicines </w:t>
            </w:r>
          </w:p>
        </w:tc>
      </w:tr>
      <w:tr w:rsidR="007A0404" w14:paraId="2318096D" w14:textId="77777777" w:rsidTr="0091227A">
        <w:tc>
          <w:tcPr>
            <w:tcW w:w="1980" w:type="dxa"/>
          </w:tcPr>
          <w:p w14:paraId="66064D52" w14:textId="77777777" w:rsidR="007A0404" w:rsidRDefault="007A0404" w:rsidP="0091227A">
            <w:r>
              <w:t>Amygdalin</w:t>
            </w:r>
          </w:p>
        </w:tc>
        <w:tc>
          <w:tcPr>
            <w:tcW w:w="3402" w:type="dxa"/>
          </w:tcPr>
          <w:p w14:paraId="1AD13A01" w14:textId="77777777" w:rsidR="007A0404" w:rsidRDefault="007A0404" w:rsidP="0091227A">
            <w:r>
              <w:t>At all strengths</w:t>
            </w:r>
          </w:p>
        </w:tc>
        <w:tc>
          <w:tcPr>
            <w:tcW w:w="3678" w:type="dxa"/>
          </w:tcPr>
          <w:p w14:paraId="67AAEB76" w14:textId="77777777" w:rsidR="007A0404" w:rsidRDefault="007A0404" w:rsidP="0091227A">
            <w:r>
              <w:t>Prescription</w:t>
            </w:r>
          </w:p>
        </w:tc>
      </w:tr>
      <w:tr w:rsidR="007A0404" w14:paraId="54EFC063" w14:textId="77777777" w:rsidTr="0091227A">
        <w:tc>
          <w:tcPr>
            <w:tcW w:w="1980" w:type="dxa"/>
          </w:tcPr>
          <w:p w14:paraId="6C2E623A" w14:textId="77777777" w:rsidR="007A0404" w:rsidRDefault="007A0404" w:rsidP="0091227A">
            <w:r>
              <w:t>Hydrocyanic acid</w:t>
            </w:r>
          </w:p>
        </w:tc>
        <w:tc>
          <w:tcPr>
            <w:tcW w:w="3402" w:type="dxa"/>
          </w:tcPr>
          <w:p w14:paraId="4A7B3DC9" w14:textId="77777777" w:rsidR="007A0404" w:rsidRDefault="007A0404" w:rsidP="0091227A">
            <w:r w:rsidRPr="006D1DCB">
              <w:rPr>
                <w:b/>
                <w:bCs/>
              </w:rPr>
              <w:t>except</w:t>
            </w:r>
            <w:r w:rsidRPr="006D1DCB">
              <w:t xml:space="preserve"> when specified elsewhere in this schedule;</w:t>
            </w:r>
            <w:r w:rsidRPr="006D1DCB">
              <w:br/>
            </w:r>
            <w:r w:rsidRPr="006D1DCB">
              <w:rPr>
                <w:b/>
                <w:bCs/>
              </w:rPr>
              <w:t>except</w:t>
            </w:r>
            <w:r w:rsidRPr="006D1DCB">
              <w:t xml:space="preserve"> in medicines containing 1 microgram or less per litre or per kilogram</w:t>
            </w:r>
          </w:p>
        </w:tc>
        <w:tc>
          <w:tcPr>
            <w:tcW w:w="3678" w:type="dxa"/>
          </w:tcPr>
          <w:p w14:paraId="74FE2574" w14:textId="77777777" w:rsidR="007A0404" w:rsidRDefault="007A0404" w:rsidP="0091227A">
            <w:r>
              <w:t>Prescription</w:t>
            </w:r>
          </w:p>
        </w:tc>
      </w:tr>
      <w:tr w:rsidR="007A0404" w14:paraId="46CC0998" w14:textId="77777777" w:rsidTr="0091227A">
        <w:tc>
          <w:tcPr>
            <w:tcW w:w="1980" w:type="dxa"/>
          </w:tcPr>
          <w:p w14:paraId="0CB46983" w14:textId="77777777" w:rsidR="007A0404" w:rsidRDefault="007A0404" w:rsidP="0091227A">
            <w:r>
              <w:lastRenderedPageBreak/>
              <w:t>Hydrocyanic acid</w:t>
            </w:r>
          </w:p>
        </w:tc>
        <w:tc>
          <w:tcPr>
            <w:tcW w:w="3402" w:type="dxa"/>
          </w:tcPr>
          <w:p w14:paraId="00408E60" w14:textId="77777777" w:rsidR="007A0404" w:rsidRPr="001D5449" w:rsidRDefault="007A0404" w:rsidP="0091227A">
            <w:pPr>
              <w:rPr>
                <w:bCs/>
              </w:rPr>
            </w:pPr>
            <w:r w:rsidRPr="001D5449">
              <w:rPr>
                <w:bCs/>
              </w:rPr>
              <w:t>for oral use in packs containing 5 milligrams or less and more than 0.5 milligrams;</w:t>
            </w:r>
            <w:r>
              <w:rPr>
                <w:bCs/>
              </w:rPr>
              <w:t xml:space="preserve"> </w:t>
            </w:r>
            <w:r w:rsidRPr="001D5449">
              <w:rPr>
                <w:b/>
              </w:rPr>
              <w:t>except</w:t>
            </w:r>
            <w:r w:rsidRPr="001D5449">
              <w:rPr>
                <w:bCs/>
              </w:rPr>
              <w:t xml:space="preserve"> in medicines containing 1 microgram or less per litre or per kilogram</w:t>
            </w:r>
          </w:p>
        </w:tc>
        <w:tc>
          <w:tcPr>
            <w:tcW w:w="3678" w:type="dxa"/>
          </w:tcPr>
          <w:p w14:paraId="47A2ACCD" w14:textId="77777777" w:rsidR="007A0404" w:rsidRPr="006D1DCB" w:rsidRDefault="007A0404" w:rsidP="0091227A">
            <w:r w:rsidRPr="001D5449">
              <w:t>Pharmacy Only</w:t>
            </w:r>
          </w:p>
        </w:tc>
      </w:tr>
      <w:tr w:rsidR="007A0404" w14:paraId="505554B2" w14:textId="77777777" w:rsidTr="0091227A">
        <w:tc>
          <w:tcPr>
            <w:tcW w:w="1980" w:type="dxa"/>
          </w:tcPr>
          <w:p w14:paraId="1C98DB45" w14:textId="77777777" w:rsidR="007A0404" w:rsidRDefault="007A0404" w:rsidP="0091227A">
            <w:r>
              <w:t>Hydrocyanic acid</w:t>
            </w:r>
          </w:p>
        </w:tc>
        <w:tc>
          <w:tcPr>
            <w:tcW w:w="3402" w:type="dxa"/>
          </w:tcPr>
          <w:p w14:paraId="2F20B1BF" w14:textId="77777777" w:rsidR="007A0404" w:rsidRPr="001D5449" w:rsidRDefault="007A0404" w:rsidP="0091227A">
            <w:pPr>
              <w:rPr>
                <w:bCs/>
              </w:rPr>
            </w:pPr>
            <w:r w:rsidRPr="001D5449">
              <w:rPr>
                <w:bCs/>
              </w:rPr>
              <w:t>for oral use in packs containing 0.5 milligrams or less;</w:t>
            </w:r>
            <w:r>
              <w:rPr>
                <w:bCs/>
              </w:rPr>
              <w:t xml:space="preserve"> </w:t>
            </w:r>
            <w:r w:rsidRPr="001D5449">
              <w:rPr>
                <w:bCs/>
              </w:rPr>
              <w:t>in medicines containing 1microgram or less per litre or per kilogram</w:t>
            </w:r>
          </w:p>
        </w:tc>
        <w:tc>
          <w:tcPr>
            <w:tcW w:w="3678" w:type="dxa"/>
          </w:tcPr>
          <w:p w14:paraId="144FB166" w14:textId="77777777" w:rsidR="007A0404" w:rsidRPr="006D1DCB" w:rsidRDefault="007A0404" w:rsidP="0091227A">
            <w:r w:rsidRPr="001D06F4">
              <w:t>General Sale</w:t>
            </w:r>
          </w:p>
        </w:tc>
      </w:tr>
    </w:tbl>
    <w:p w14:paraId="4C27DD37" w14:textId="7EA5C1A7" w:rsidR="005955FB" w:rsidRPr="005955FB" w:rsidRDefault="00ED13CF" w:rsidP="00D21DFA">
      <w:pPr>
        <w:pStyle w:val="Heading3"/>
      </w:pPr>
      <w:bookmarkStart w:id="17" w:name="_Toc70495030"/>
      <w:bookmarkStart w:id="18" w:name="_Toc68179351"/>
      <w:bookmarkStart w:id="19" w:name="_Toc68098038"/>
      <w:bookmarkEnd w:id="6"/>
      <w:proofErr w:type="spellStart"/>
      <w:r>
        <w:t>Bufexamac</w:t>
      </w:r>
      <w:bookmarkEnd w:id="17"/>
      <w:proofErr w:type="spellEnd"/>
    </w:p>
    <w:p w14:paraId="225D04B4" w14:textId="77777777" w:rsidR="00ED13CF" w:rsidRDefault="00ED13CF" w:rsidP="00ED13CF">
      <w:pPr>
        <w:pStyle w:val="Heading4"/>
      </w:pPr>
      <w:bookmarkStart w:id="20" w:name="_Toc70495031"/>
      <w:r>
        <w:t>Proposal</w:t>
      </w:r>
      <w:bookmarkEnd w:id="20"/>
    </w:p>
    <w:p w14:paraId="658A3672" w14:textId="0CC55E18" w:rsidR="00ED13CF" w:rsidRDefault="006C6A4A" w:rsidP="00ED13CF">
      <w:r>
        <w:rPr>
          <w:lang w:eastAsia="en-AU"/>
        </w:rPr>
        <w:t xml:space="preserve">The </w:t>
      </w:r>
      <w:r w:rsidR="007E4324" w:rsidRPr="00A51C8F">
        <w:t>Delegate of the Secretary of the Commonwealth Department of Health</w:t>
      </w:r>
      <w:r w:rsidR="007E4324">
        <w:t xml:space="preserve"> (the Delegate)</w:t>
      </w:r>
      <w:r w:rsidR="007E4324">
        <w:rPr>
          <w:lang w:eastAsia="en-AU"/>
        </w:rPr>
        <w:t xml:space="preserve"> </w:t>
      </w:r>
      <w:r>
        <w:rPr>
          <w:lang w:eastAsia="en-AU"/>
        </w:rPr>
        <w:t xml:space="preserve">proposes to amend </w:t>
      </w:r>
      <w:r w:rsidR="002A6D89">
        <w:t xml:space="preserve">the Schedule 4 entry for </w:t>
      </w:r>
      <w:proofErr w:type="spellStart"/>
      <w:r w:rsidR="002A6D89">
        <w:t>bufexam</w:t>
      </w:r>
      <w:r>
        <w:t>a</w:t>
      </w:r>
      <w:r w:rsidR="002A6D89">
        <w:t>c</w:t>
      </w:r>
      <w:proofErr w:type="spellEnd"/>
      <w:r w:rsidR="002A6D89">
        <w:t xml:space="preserve"> to include all products. </w:t>
      </w:r>
    </w:p>
    <w:p w14:paraId="02579114" w14:textId="77777777" w:rsidR="00ED13CF" w:rsidRDefault="00ED13CF" w:rsidP="00ED13CF">
      <w:pPr>
        <w:pStyle w:val="Heading4"/>
      </w:pPr>
      <w:bookmarkStart w:id="21" w:name="_Toc70495032"/>
      <w:r>
        <w:t>CAS number:</w:t>
      </w:r>
      <w:bookmarkEnd w:id="21"/>
    </w:p>
    <w:p w14:paraId="746561B0" w14:textId="77777777" w:rsidR="00ED13CF" w:rsidRDefault="00ED13CF" w:rsidP="00ED13CF">
      <w:r w:rsidRPr="00DD5496">
        <w:t>2438-72-4</w:t>
      </w:r>
    </w:p>
    <w:p w14:paraId="70618A55" w14:textId="77777777" w:rsidR="00ED13CF" w:rsidRDefault="00ED13CF" w:rsidP="00ED13CF">
      <w:pPr>
        <w:pStyle w:val="Heading4"/>
      </w:pPr>
      <w:bookmarkStart w:id="22" w:name="_Toc70495033"/>
      <w:r>
        <w:t>Alternative names</w:t>
      </w:r>
      <w:bookmarkEnd w:id="22"/>
    </w:p>
    <w:p w14:paraId="6904D749" w14:textId="77777777" w:rsidR="00ED13CF" w:rsidRPr="002C1070" w:rsidRDefault="00ED13CF" w:rsidP="00ED13CF">
      <w:pPr>
        <w:rPr>
          <w:lang w:eastAsia="en-AU"/>
        </w:rPr>
      </w:pPr>
      <w:r w:rsidRPr="00DD5496">
        <w:rPr>
          <w:lang w:eastAsia="en-AU"/>
        </w:rPr>
        <w:t>4-Butoxy-</w:t>
      </w:r>
      <w:r w:rsidRPr="00DD5496">
        <w:rPr>
          <w:i/>
          <w:iCs/>
          <w:lang w:eastAsia="en-AU"/>
        </w:rPr>
        <w:t>N-</w:t>
      </w:r>
      <w:r>
        <w:rPr>
          <w:lang w:eastAsia="en-AU"/>
        </w:rPr>
        <w:t xml:space="preserve">hydroxybenzeneacetamide; </w:t>
      </w:r>
      <w:r w:rsidRPr="00DD5496">
        <w:rPr>
          <w:lang w:eastAsia="en-AU"/>
        </w:rPr>
        <w:t>2-(</w:t>
      </w:r>
      <w:r w:rsidRPr="00DD5496">
        <w:rPr>
          <w:i/>
          <w:iCs/>
          <w:lang w:eastAsia="en-AU"/>
        </w:rPr>
        <w:t>p-</w:t>
      </w:r>
      <w:proofErr w:type="spellStart"/>
      <w:r w:rsidRPr="00DD5496">
        <w:rPr>
          <w:lang w:eastAsia="en-AU"/>
        </w:rPr>
        <w:t>butoxyphenyl</w:t>
      </w:r>
      <w:proofErr w:type="spellEnd"/>
      <w:proofErr w:type="gramStart"/>
      <w:r w:rsidRPr="00DD5496">
        <w:rPr>
          <w:lang w:eastAsia="en-AU"/>
        </w:rPr>
        <w:t>)</w:t>
      </w:r>
      <w:proofErr w:type="spellStart"/>
      <w:r w:rsidRPr="00DD5496">
        <w:rPr>
          <w:lang w:eastAsia="en-AU"/>
        </w:rPr>
        <w:t>acetohydroxamic</w:t>
      </w:r>
      <w:proofErr w:type="spellEnd"/>
      <w:proofErr w:type="gramEnd"/>
      <w:r w:rsidRPr="00DD5496">
        <w:rPr>
          <w:lang w:eastAsia="en-AU"/>
        </w:rPr>
        <w:t xml:space="preserve"> acid; 2-[</w:t>
      </w:r>
      <w:r w:rsidRPr="00DD5496">
        <w:rPr>
          <w:i/>
          <w:iCs/>
          <w:lang w:eastAsia="en-AU"/>
        </w:rPr>
        <w:t>p-</w:t>
      </w:r>
      <w:r w:rsidRPr="00DD5496">
        <w:rPr>
          <w:lang w:eastAsia="en-AU"/>
        </w:rPr>
        <w:t>(</w:t>
      </w:r>
      <w:proofErr w:type="spellStart"/>
      <w:r w:rsidRPr="00DD5496">
        <w:rPr>
          <w:lang w:eastAsia="en-AU"/>
        </w:rPr>
        <w:t>butyloxy</w:t>
      </w:r>
      <w:proofErr w:type="spellEnd"/>
      <w:r w:rsidRPr="00DD5496">
        <w:rPr>
          <w:lang w:eastAsia="en-AU"/>
        </w:rPr>
        <w:t>)phenyl]</w:t>
      </w:r>
      <w:proofErr w:type="spellStart"/>
      <w:r w:rsidRPr="00DD5496">
        <w:rPr>
          <w:lang w:eastAsia="en-AU"/>
        </w:rPr>
        <w:t>acetohydroxamic</w:t>
      </w:r>
      <w:proofErr w:type="spellEnd"/>
      <w:r w:rsidRPr="00DD5496">
        <w:rPr>
          <w:lang w:eastAsia="en-AU"/>
        </w:rPr>
        <w:t xml:space="preserve"> acid </w:t>
      </w:r>
    </w:p>
    <w:p w14:paraId="79C407D3" w14:textId="77777777" w:rsidR="00ED13CF" w:rsidRPr="002C1070" w:rsidRDefault="00ED13CF" w:rsidP="00ED13CF">
      <w:pPr>
        <w:pStyle w:val="Heading4"/>
      </w:pPr>
      <w:bookmarkStart w:id="23" w:name="_Toc70495034"/>
      <w:r>
        <w:t>Applicant</w:t>
      </w:r>
      <w:bookmarkEnd w:id="23"/>
    </w:p>
    <w:p w14:paraId="706D109A" w14:textId="6DD5B247" w:rsidR="00ED13CF" w:rsidRPr="003639D9" w:rsidRDefault="00ED13CF" w:rsidP="00ED13CF">
      <w:r>
        <w:rPr>
          <w:shd w:val="clear" w:color="auto" w:fill="FFFFFF"/>
        </w:rPr>
        <w:t>Delegate of the Secretary of the Commonwealth Department of Health</w:t>
      </w:r>
    </w:p>
    <w:p w14:paraId="2322D3F7" w14:textId="77777777" w:rsidR="00ED13CF" w:rsidRDefault="00ED13CF" w:rsidP="00ED13CF">
      <w:pPr>
        <w:pStyle w:val="Heading4"/>
      </w:pPr>
      <w:bookmarkStart w:id="24" w:name="_Toc70495035"/>
      <w:r>
        <w:t>Current scheduling</w:t>
      </w:r>
      <w:bookmarkEnd w:id="24"/>
    </w:p>
    <w:p w14:paraId="0A2A737D" w14:textId="77777777" w:rsidR="00ED13CF" w:rsidRDefault="00ED13CF" w:rsidP="00ED13CF">
      <w:proofErr w:type="spellStart"/>
      <w:r w:rsidRPr="00DD5496">
        <w:t>Bufexamac</w:t>
      </w:r>
      <w:proofErr w:type="spellEnd"/>
      <w:r w:rsidRPr="00AF12F6">
        <w:t xml:space="preserve"> </w:t>
      </w:r>
      <w:proofErr w:type="gramStart"/>
      <w:r>
        <w:t>is currently listed</w:t>
      </w:r>
      <w:proofErr w:type="gramEnd"/>
      <w:r>
        <w:t xml:space="preserve"> in Schedule</w:t>
      </w:r>
      <w:r w:rsidRPr="00AF12F6">
        <w:t xml:space="preserve"> </w:t>
      </w:r>
      <w:r w:rsidRPr="00D71D7E">
        <w:t>4</w:t>
      </w:r>
      <w:r>
        <w:t xml:space="preserve"> of the Poisons Standard, as follows:</w:t>
      </w:r>
    </w:p>
    <w:p w14:paraId="199D4433" w14:textId="77777777" w:rsidR="00ED13CF" w:rsidRPr="006D5C84" w:rsidRDefault="00ED13CF" w:rsidP="00ED13CF">
      <w:pPr>
        <w:ind w:left="426"/>
        <w:rPr>
          <w:b/>
        </w:rPr>
      </w:pPr>
      <w:r w:rsidRPr="006D5C84">
        <w:rPr>
          <w:b/>
        </w:rPr>
        <w:t xml:space="preserve">Schedule </w:t>
      </w:r>
      <w:r w:rsidRPr="00D71D7E">
        <w:rPr>
          <w:b/>
        </w:rPr>
        <w:t>4</w:t>
      </w:r>
    </w:p>
    <w:p w14:paraId="414E1E70" w14:textId="77777777" w:rsidR="00ED13CF" w:rsidRPr="001E2829" w:rsidRDefault="00ED13CF" w:rsidP="00ED13CF">
      <w:pPr>
        <w:ind w:firstLine="426"/>
      </w:pPr>
      <w:r w:rsidRPr="001E2829">
        <w:t xml:space="preserve">BUFEXAMAC </w:t>
      </w:r>
      <w:r w:rsidRPr="001E2829">
        <w:rPr>
          <w:b/>
        </w:rPr>
        <w:t>except</w:t>
      </w:r>
      <w:r w:rsidRPr="001E2829">
        <w:t>:</w:t>
      </w:r>
    </w:p>
    <w:p w14:paraId="6CF27438" w14:textId="77777777" w:rsidR="00ED13CF" w:rsidRPr="001E2829" w:rsidRDefault="00ED13CF" w:rsidP="00ED13CF">
      <w:pPr>
        <w:pStyle w:val="Numberbullet2"/>
        <w:numPr>
          <w:ilvl w:val="0"/>
          <w:numId w:val="19"/>
        </w:numPr>
        <w:spacing w:before="0" w:after="120" w:line="240" w:lineRule="auto"/>
      </w:pPr>
      <w:r w:rsidRPr="001E2829">
        <w:t xml:space="preserve">in preparations for dermal use containing 5 per cent or less of </w:t>
      </w:r>
      <w:proofErr w:type="spellStart"/>
      <w:r w:rsidRPr="001E2829">
        <w:t>bufexamac</w:t>
      </w:r>
      <w:proofErr w:type="spellEnd"/>
      <w:r w:rsidRPr="001E2829">
        <w:t>; or</w:t>
      </w:r>
    </w:p>
    <w:p w14:paraId="2C6177C3" w14:textId="77777777" w:rsidR="00ED13CF" w:rsidRPr="00D71D7E" w:rsidRDefault="00ED13CF" w:rsidP="00ED13CF">
      <w:pPr>
        <w:pStyle w:val="Numberbullet2"/>
        <w:numPr>
          <w:ilvl w:val="0"/>
          <w:numId w:val="20"/>
        </w:numPr>
        <w:spacing w:before="0" w:after="120" w:line="240" w:lineRule="auto"/>
      </w:pPr>
      <w:proofErr w:type="gramStart"/>
      <w:r w:rsidRPr="001E2829">
        <w:t>in</w:t>
      </w:r>
      <w:proofErr w:type="gramEnd"/>
      <w:r w:rsidRPr="001E2829">
        <w:t xml:space="preserve"> suppositories.</w:t>
      </w:r>
    </w:p>
    <w:p w14:paraId="323C5194" w14:textId="77777777" w:rsidR="00ED13CF" w:rsidRPr="005133F7" w:rsidRDefault="00ED13CF" w:rsidP="00ED13CF">
      <w:pPr>
        <w:ind w:left="426"/>
        <w:rPr>
          <w:b/>
        </w:rPr>
      </w:pPr>
      <w:r>
        <w:rPr>
          <w:b/>
        </w:rPr>
        <w:t>Index</w:t>
      </w:r>
    </w:p>
    <w:p w14:paraId="4F125728" w14:textId="77777777" w:rsidR="00ED13CF" w:rsidRDefault="00ED13CF" w:rsidP="00ED13CF">
      <w:pPr>
        <w:ind w:left="426"/>
        <w:rPr>
          <w:rFonts w:asciiTheme="minorHAnsi" w:hAnsiTheme="minorHAnsi" w:cstheme="minorHAnsi"/>
        </w:rPr>
      </w:pPr>
      <w:r>
        <w:rPr>
          <w:rFonts w:asciiTheme="minorHAnsi" w:hAnsiTheme="minorHAnsi" w:cstheme="minorHAnsi"/>
        </w:rPr>
        <w:t>BUFEXAMAC</w:t>
      </w:r>
    </w:p>
    <w:p w14:paraId="0DA682CF" w14:textId="77777777" w:rsidR="00ED13CF" w:rsidRDefault="00ED13CF" w:rsidP="00ED13CF">
      <w:pPr>
        <w:ind w:left="426"/>
        <w:rPr>
          <w:rFonts w:asciiTheme="minorHAnsi" w:hAnsiTheme="minorHAnsi" w:cstheme="minorHAnsi"/>
        </w:rPr>
      </w:pPr>
      <w:r>
        <w:rPr>
          <w:rFonts w:asciiTheme="minorHAnsi" w:hAnsiTheme="minorHAnsi" w:cstheme="minorHAnsi"/>
        </w:rPr>
        <w:t>Schedule 4</w:t>
      </w:r>
    </w:p>
    <w:p w14:paraId="47F4FA8B" w14:textId="77777777" w:rsidR="00ED13CF" w:rsidRDefault="00ED13CF" w:rsidP="00ED13CF">
      <w:pPr>
        <w:pStyle w:val="Heading4"/>
      </w:pPr>
      <w:bookmarkStart w:id="25" w:name="_Toc70495036"/>
      <w:r>
        <w:lastRenderedPageBreak/>
        <w:t>Proposed scheduling</w:t>
      </w:r>
      <w:bookmarkEnd w:id="25"/>
    </w:p>
    <w:p w14:paraId="1C3C7AF1" w14:textId="1169CF27" w:rsidR="00ED13CF" w:rsidRPr="00531DA4" w:rsidRDefault="00ED13CF" w:rsidP="00ED13CF">
      <w:pPr>
        <w:ind w:left="426"/>
        <w:rPr>
          <w:b/>
        </w:rPr>
      </w:pPr>
      <w:r w:rsidRPr="00531DA4">
        <w:rPr>
          <w:b/>
        </w:rPr>
        <w:t xml:space="preserve">Schedule </w:t>
      </w:r>
      <w:proofErr w:type="gramStart"/>
      <w:r w:rsidRPr="00531DA4">
        <w:rPr>
          <w:b/>
        </w:rPr>
        <w:t>4</w:t>
      </w:r>
      <w:proofErr w:type="gramEnd"/>
      <w:r w:rsidRPr="00531DA4">
        <w:rPr>
          <w:b/>
        </w:rPr>
        <w:t xml:space="preserve"> – Amend Entry</w:t>
      </w:r>
    </w:p>
    <w:p w14:paraId="57453E39" w14:textId="31E44DC3" w:rsidR="00ED13CF" w:rsidRPr="00531DA4" w:rsidRDefault="00ED13CF" w:rsidP="00ED13CF">
      <w:pPr>
        <w:ind w:left="426"/>
        <w:rPr>
          <w:b/>
          <w:strike/>
          <w:color w:val="00B050"/>
        </w:rPr>
      </w:pPr>
      <w:r w:rsidRPr="00531DA4">
        <w:t>BUFEXAMAC</w:t>
      </w:r>
      <w:r w:rsidR="00010117" w:rsidRPr="00531DA4">
        <w:rPr>
          <w:b/>
        </w:rPr>
        <w:t xml:space="preserve"> </w:t>
      </w:r>
      <w:r w:rsidRPr="00531DA4">
        <w:rPr>
          <w:b/>
          <w:strike/>
          <w:color w:val="00B050"/>
        </w:rPr>
        <w:t>except</w:t>
      </w:r>
      <w:r w:rsidRPr="00531DA4">
        <w:rPr>
          <w:strike/>
          <w:color w:val="00B050"/>
        </w:rPr>
        <w:t>:</w:t>
      </w:r>
    </w:p>
    <w:p w14:paraId="16710646" w14:textId="77777777" w:rsidR="00ED13CF" w:rsidRPr="00531DA4" w:rsidRDefault="00ED13CF" w:rsidP="00ED13CF">
      <w:pPr>
        <w:pStyle w:val="Numberbullet2"/>
        <w:numPr>
          <w:ilvl w:val="0"/>
          <w:numId w:val="21"/>
        </w:numPr>
        <w:spacing w:before="0" w:after="120" w:line="240" w:lineRule="auto"/>
        <w:rPr>
          <w:strike/>
          <w:color w:val="00B050"/>
        </w:rPr>
      </w:pPr>
      <w:r w:rsidRPr="00531DA4">
        <w:rPr>
          <w:strike/>
          <w:color w:val="00B050"/>
        </w:rPr>
        <w:t xml:space="preserve">in preparations for dermal use containing 5 per cent or less of </w:t>
      </w:r>
      <w:proofErr w:type="spellStart"/>
      <w:r w:rsidRPr="00531DA4">
        <w:rPr>
          <w:strike/>
          <w:color w:val="00B050"/>
        </w:rPr>
        <w:t>bufexamac</w:t>
      </w:r>
      <w:proofErr w:type="spellEnd"/>
      <w:r w:rsidRPr="00531DA4">
        <w:rPr>
          <w:strike/>
          <w:color w:val="00B050"/>
        </w:rPr>
        <w:t>; or</w:t>
      </w:r>
    </w:p>
    <w:p w14:paraId="090A5EAF" w14:textId="77777777" w:rsidR="00ED13CF" w:rsidRPr="00531DA4" w:rsidRDefault="00ED13CF" w:rsidP="00ED13CF">
      <w:pPr>
        <w:pStyle w:val="Numberbullet2"/>
        <w:numPr>
          <w:ilvl w:val="0"/>
          <w:numId w:val="21"/>
        </w:numPr>
        <w:spacing w:before="0" w:after="120" w:line="240" w:lineRule="auto"/>
        <w:rPr>
          <w:color w:val="8EA538" w:themeColor="accent4" w:themeShade="BF"/>
        </w:rPr>
      </w:pPr>
      <w:proofErr w:type="gramStart"/>
      <w:r w:rsidRPr="00531DA4">
        <w:rPr>
          <w:strike/>
          <w:color w:val="00B050"/>
        </w:rPr>
        <w:t>in</w:t>
      </w:r>
      <w:proofErr w:type="gramEnd"/>
      <w:r w:rsidRPr="00531DA4">
        <w:rPr>
          <w:strike/>
          <w:color w:val="00B050"/>
        </w:rPr>
        <w:t xml:space="preserve"> suppositories.</w:t>
      </w:r>
    </w:p>
    <w:p w14:paraId="6DDF1C57" w14:textId="77777777" w:rsidR="00ED13CF" w:rsidRDefault="00ED13CF" w:rsidP="00ED13CF">
      <w:pPr>
        <w:pStyle w:val="Heading4"/>
      </w:pPr>
      <w:bookmarkStart w:id="26" w:name="_Toc70495037"/>
      <w:r>
        <w:t>Key uses / expected use</w:t>
      </w:r>
      <w:bookmarkEnd w:id="26"/>
    </w:p>
    <w:p w14:paraId="234F1B5C" w14:textId="77777777" w:rsidR="00ED13CF" w:rsidRDefault="00ED13CF" w:rsidP="00ED13CF">
      <w:r w:rsidRPr="00D71D7E">
        <w:t>Medicines</w:t>
      </w:r>
    </w:p>
    <w:p w14:paraId="2CD965AD" w14:textId="7C825935" w:rsidR="00ED13CF" w:rsidRDefault="00C55683" w:rsidP="00ED13CF">
      <w:pPr>
        <w:pStyle w:val="Heading4"/>
      </w:pPr>
      <w:bookmarkStart w:id="27" w:name="_Toc70495038"/>
      <w:r>
        <w:t xml:space="preserve">Summary of applicant’s reasons </w:t>
      </w:r>
      <w:r w:rsidR="00ED13CF">
        <w:t>for proposal</w:t>
      </w:r>
      <w:bookmarkEnd w:id="27"/>
    </w:p>
    <w:p w14:paraId="2B1E5BBD" w14:textId="77777777" w:rsidR="00ED13CF" w:rsidRDefault="00ED13CF" w:rsidP="00ED13CF">
      <w:pPr>
        <w:pStyle w:val="ListBullet"/>
        <w:numPr>
          <w:ilvl w:val="0"/>
          <w:numId w:val="1"/>
        </w:numPr>
      </w:pPr>
      <w:proofErr w:type="spellStart"/>
      <w:r w:rsidRPr="008B66B9">
        <w:t>Bufexamac</w:t>
      </w:r>
      <w:proofErr w:type="spellEnd"/>
      <w:r w:rsidRPr="008B66B9">
        <w:t xml:space="preserve"> is an over-the-counter non-steroidal anti-inflammatory drug (also known as an NSAID), which is used in combination with chlorhexidine and lidocaine (lignocaine) in first aid creams that are applied to the skin.</w:t>
      </w:r>
    </w:p>
    <w:p w14:paraId="46B23CD9" w14:textId="77777777" w:rsidR="00ED13CF" w:rsidRDefault="00ED13CF" w:rsidP="00ED13CF">
      <w:pPr>
        <w:pStyle w:val="ListBullet"/>
        <w:numPr>
          <w:ilvl w:val="0"/>
          <w:numId w:val="1"/>
        </w:numPr>
      </w:pPr>
      <w:r>
        <w:t xml:space="preserve">A </w:t>
      </w:r>
      <w:hyperlink r:id="rId26" w:history="1">
        <w:r w:rsidRPr="00BA1F55">
          <w:rPr>
            <w:rStyle w:val="Hyperlink"/>
          </w:rPr>
          <w:t>recent TGA investigation</w:t>
        </w:r>
      </w:hyperlink>
      <w:r>
        <w:t xml:space="preserve"> </w:t>
      </w:r>
      <w:r w:rsidRPr="00F40445">
        <w:t xml:space="preserve">determined that, based on the assessment and independent advice from the </w:t>
      </w:r>
      <w:hyperlink r:id="rId27" w:history="1">
        <w:r w:rsidRPr="00F40445">
          <w:t>Advisory Committee on Medicines</w:t>
        </w:r>
      </w:hyperlink>
      <w:r w:rsidRPr="00F40445">
        <w:t xml:space="preserve"> (ACM), the safety and effectiveness of </w:t>
      </w:r>
      <w:proofErr w:type="spellStart"/>
      <w:r w:rsidRPr="00F40445">
        <w:t>bufexamac</w:t>
      </w:r>
      <w:proofErr w:type="spellEnd"/>
      <w:r w:rsidRPr="00F40445">
        <w:t xml:space="preserve">-containing products are unacceptable. </w:t>
      </w:r>
      <w:proofErr w:type="spellStart"/>
      <w:r w:rsidRPr="00F40445">
        <w:t>Bufexamac</w:t>
      </w:r>
      <w:proofErr w:type="spellEnd"/>
      <w:r w:rsidRPr="00F40445">
        <w:t xml:space="preserve"> is associated with a risk of serious skin reactions (also known as allergic contact dermatitis). The TGA has also determined that there is inadequate evidence that the </w:t>
      </w:r>
      <w:proofErr w:type="spellStart"/>
      <w:r w:rsidRPr="00F40445">
        <w:t>bufexamac</w:t>
      </w:r>
      <w:proofErr w:type="spellEnd"/>
      <w:r w:rsidRPr="00F40445">
        <w:t xml:space="preserve"> ingredient in these products is effective.</w:t>
      </w:r>
      <w:r>
        <w:t xml:space="preserve"> As a result, the registration of all </w:t>
      </w:r>
      <w:proofErr w:type="spellStart"/>
      <w:r>
        <w:t>bufexamac</w:t>
      </w:r>
      <w:proofErr w:type="spellEnd"/>
      <w:r>
        <w:t>-containing products was cancelled, effective 18 September 2020.</w:t>
      </w:r>
    </w:p>
    <w:p w14:paraId="3ED52CD8" w14:textId="77777777" w:rsidR="00ED13CF" w:rsidRDefault="00ED13CF" w:rsidP="00ED13CF">
      <w:pPr>
        <w:pStyle w:val="ListBullet"/>
        <w:numPr>
          <w:ilvl w:val="0"/>
          <w:numId w:val="1"/>
        </w:numPr>
      </w:pPr>
      <w:proofErr w:type="spellStart"/>
      <w:r>
        <w:t>Bufexamac</w:t>
      </w:r>
      <w:proofErr w:type="spellEnd"/>
      <w:r>
        <w:t xml:space="preserve"> is currently included in Schedule 4, with exceptions for dermal use and in suppositories. Since there are no longer any preparations for dermal use, nor suppositories, containing </w:t>
      </w:r>
      <w:proofErr w:type="spellStart"/>
      <w:r>
        <w:t>bufexamac</w:t>
      </w:r>
      <w:proofErr w:type="spellEnd"/>
      <w:r>
        <w:t xml:space="preserve"> on the ARTG, it may be appropriate to remove these from the Schedule 4 entry.</w:t>
      </w:r>
    </w:p>
    <w:p w14:paraId="13263669" w14:textId="77777777" w:rsidR="00ED13CF" w:rsidRDefault="00ED13CF" w:rsidP="00ED13CF">
      <w:pPr>
        <w:pStyle w:val="Heading4"/>
      </w:pPr>
      <w:bookmarkStart w:id="28" w:name="_Toc70495039"/>
      <w:r>
        <w:t>Australian regulations</w:t>
      </w:r>
      <w:bookmarkEnd w:id="28"/>
    </w:p>
    <w:p w14:paraId="3C0208C0" w14:textId="093DC83F" w:rsidR="00ED13CF" w:rsidRDefault="00ED13CF" w:rsidP="00D21DFA">
      <w:pPr>
        <w:pStyle w:val="ListBullet"/>
        <w:numPr>
          <w:ilvl w:val="0"/>
          <w:numId w:val="1"/>
        </w:numPr>
      </w:pPr>
      <w:r>
        <w:t xml:space="preserve">According to the </w:t>
      </w:r>
      <w:hyperlink r:id="rId28" w:history="1">
        <w:r w:rsidR="00E24165" w:rsidRPr="00C66C5E">
          <w:rPr>
            <w:rStyle w:val="Hyperlink"/>
          </w:rPr>
          <w:t xml:space="preserve">TGA </w:t>
        </w:r>
        <w:r w:rsidR="00E24165">
          <w:rPr>
            <w:rStyle w:val="Hyperlink"/>
          </w:rPr>
          <w:t xml:space="preserve">Ingredient </w:t>
        </w:r>
        <w:r w:rsidR="00E24165" w:rsidRPr="00C66C5E">
          <w:rPr>
            <w:rStyle w:val="Hyperlink"/>
          </w:rPr>
          <w:t>Database</w:t>
        </w:r>
      </w:hyperlink>
      <w:r w:rsidR="00E24165">
        <w:rPr>
          <w:rStyle w:val="FootnoteReference"/>
        </w:rPr>
        <w:footnoteReference w:id="14"/>
      </w:r>
      <w:r w:rsidR="00E24165">
        <w:t xml:space="preserve"> </w:t>
      </w:r>
      <w:proofErr w:type="spellStart"/>
      <w:r>
        <w:t>bufexamac</w:t>
      </w:r>
      <w:proofErr w:type="spellEnd"/>
      <w:r>
        <w:t xml:space="preserve"> is: </w:t>
      </w:r>
    </w:p>
    <w:p w14:paraId="351686D7" w14:textId="77777777" w:rsidR="00ED13CF" w:rsidRDefault="00ED13CF" w:rsidP="00ED13CF">
      <w:pPr>
        <w:pStyle w:val="ListBullet"/>
        <w:numPr>
          <w:ilvl w:val="0"/>
          <w:numId w:val="17"/>
        </w:numPr>
      </w:pPr>
      <w:r>
        <w:t>Available for use as an active ingredient in biologicals, export only, over the counter and prescription medicines</w:t>
      </w:r>
    </w:p>
    <w:p w14:paraId="3C3FBED2" w14:textId="77777777" w:rsidR="00ED13CF" w:rsidRDefault="00ED13CF" w:rsidP="00ED13CF">
      <w:pPr>
        <w:pStyle w:val="ListBullet"/>
        <w:numPr>
          <w:ilvl w:val="0"/>
          <w:numId w:val="17"/>
        </w:numPr>
      </w:pPr>
      <w:r>
        <w:t>Available for use as an excipient ingredient in biologicals, devices and prescription medicines</w:t>
      </w:r>
    </w:p>
    <w:p w14:paraId="74885A86" w14:textId="77777777" w:rsidR="00ED13CF" w:rsidRPr="00B33002" w:rsidRDefault="00ED13CF" w:rsidP="00ED13CF">
      <w:pPr>
        <w:pStyle w:val="ListBullet"/>
        <w:numPr>
          <w:ilvl w:val="0"/>
          <w:numId w:val="17"/>
        </w:numPr>
      </w:pPr>
      <w:r>
        <w:t>Not available as an equivalent ingredient in any application</w:t>
      </w:r>
    </w:p>
    <w:p w14:paraId="2E05B786" w14:textId="112A9236" w:rsidR="00ED13CF" w:rsidRDefault="00ED13CF" w:rsidP="00ED13CF">
      <w:pPr>
        <w:pStyle w:val="ListBullet"/>
        <w:numPr>
          <w:ilvl w:val="0"/>
          <w:numId w:val="1"/>
        </w:numPr>
      </w:pPr>
      <w:r>
        <w:t xml:space="preserve">As of March </w:t>
      </w:r>
      <w:r w:rsidRPr="00B33002">
        <w:t>2021</w:t>
      </w:r>
      <w:r>
        <w:t>, t</w:t>
      </w:r>
      <w:r w:rsidRPr="00881DFE">
        <w:t xml:space="preserve">here </w:t>
      </w:r>
      <w:r>
        <w:t>were</w:t>
      </w:r>
      <w:r w:rsidRPr="00881DFE">
        <w:t xml:space="preserve"> </w:t>
      </w:r>
      <w:r w:rsidRPr="00B33002">
        <w:t>no</w:t>
      </w:r>
      <w:r>
        <w:t xml:space="preserve"> medicine</w:t>
      </w:r>
      <w:r w:rsidRPr="00881DFE">
        <w:t xml:space="preserve">s currently active on the </w:t>
      </w:r>
      <w:hyperlink r:id="rId29" w:history="1">
        <w:r w:rsidR="00E24165" w:rsidRPr="00293CCA">
          <w:rPr>
            <w:rStyle w:val="Hyperlink"/>
          </w:rPr>
          <w:t>Australian Register of Therapeutic Goods (ARTG)</w:t>
        </w:r>
      </w:hyperlink>
      <w:r w:rsidR="00E24165">
        <w:rPr>
          <w:rStyle w:val="FootnoteReference"/>
        </w:rPr>
        <w:footnoteReference w:id="15"/>
      </w:r>
      <w:r w:rsidR="00E24165">
        <w:rPr>
          <w:rStyle w:val="Hyperlink"/>
        </w:rPr>
        <w:t xml:space="preserve"> </w:t>
      </w:r>
      <w:r>
        <w:t xml:space="preserve">that contain </w:t>
      </w:r>
      <w:proofErr w:type="spellStart"/>
      <w:r>
        <w:t>bufexamac</w:t>
      </w:r>
      <w:proofErr w:type="spellEnd"/>
      <w:r>
        <w:t xml:space="preserve"> as an active ingredient</w:t>
      </w:r>
      <w:r w:rsidRPr="00881DFE">
        <w:t>.</w:t>
      </w:r>
      <w:r>
        <w:t xml:space="preserve"> </w:t>
      </w:r>
    </w:p>
    <w:p w14:paraId="2C5E5870" w14:textId="7CA04573" w:rsidR="00ED13CF" w:rsidRDefault="00ED13CF" w:rsidP="00ED13CF">
      <w:pPr>
        <w:pStyle w:val="ListBullet"/>
        <w:numPr>
          <w:ilvl w:val="0"/>
          <w:numId w:val="1"/>
        </w:numPr>
      </w:pPr>
      <w:proofErr w:type="spellStart"/>
      <w:r>
        <w:t>Bufexamac</w:t>
      </w:r>
      <w:proofErr w:type="spellEnd"/>
      <w:r w:rsidRPr="009C55D5">
        <w:t xml:space="preserve"> </w:t>
      </w:r>
      <w:proofErr w:type="gramStart"/>
      <w:r w:rsidRPr="009C55D5">
        <w:t>is not permitted</w:t>
      </w:r>
      <w:proofErr w:type="gramEnd"/>
      <w:r w:rsidRPr="009C55D5">
        <w:t xml:space="preserve"> to be included in listed medicines </w:t>
      </w:r>
      <w:r>
        <w:t xml:space="preserve">as it is not included in the </w:t>
      </w:r>
      <w:hyperlink r:id="rId30" w:history="1">
        <w:r w:rsidR="00D233D5" w:rsidRPr="00824CAC">
          <w:rPr>
            <w:rStyle w:val="Hyperlink"/>
          </w:rPr>
          <w:t>Therapeutic Goods (Permissible Ingredients) Determination</w:t>
        </w:r>
      </w:hyperlink>
      <w:r w:rsidR="00D233D5">
        <w:rPr>
          <w:rStyle w:val="FootnoteReference"/>
        </w:rPr>
        <w:footnoteReference w:id="16"/>
      </w:r>
      <w:r w:rsidRPr="009C55D5">
        <w:t xml:space="preserve"> No.</w:t>
      </w:r>
      <w:r w:rsidRPr="00B33002">
        <w:t>1 of 2021</w:t>
      </w:r>
      <w:r w:rsidRPr="009C55D5">
        <w:t xml:space="preserve">. </w:t>
      </w:r>
    </w:p>
    <w:p w14:paraId="3A73827A" w14:textId="6E7C2FA0" w:rsidR="00ED13CF" w:rsidRDefault="00ED13CF" w:rsidP="00ED13CF">
      <w:pPr>
        <w:pStyle w:val="ListBullet"/>
        <w:keepNext/>
        <w:keepLines/>
        <w:numPr>
          <w:ilvl w:val="0"/>
          <w:numId w:val="1"/>
        </w:numPr>
      </w:pPr>
      <w:proofErr w:type="spellStart"/>
      <w:r>
        <w:lastRenderedPageBreak/>
        <w:t>Bufexamac</w:t>
      </w:r>
      <w:proofErr w:type="spellEnd"/>
      <w:r>
        <w:t xml:space="preserve"> is not listed in the </w:t>
      </w:r>
      <w:hyperlink r:id="rId31" w:history="1">
        <w:r w:rsidR="00D233D5" w:rsidRPr="00C81411">
          <w:rPr>
            <w:rStyle w:val="Hyperlink"/>
          </w:rPr>
          <w:t xml:space="preserve">TGA </w:t>
        </w:r>
        <w:r w:rsidR="00D233D5">
          <w:rPr>
            <w:rStyle w:val="Hyperlink"/>
          </w:rPr>
          <w:t>p</w:t>
        </w:r>
        <w:r w:rsidR="00D233D5" w:rsidRPr="00C81411">
          <w:rPr>
            <w:rStyle w:val="Hyperlink"/>
          </w:rPr>
          <w:t>rescribing medicines in pregnancy database</w:t>
        </w:r>
      </w:hyperlink>
      <w:r w:rsidR="00D233D5">
        <w:rPr>
          <w:rStyle w:val="FootnoteReference"/>
        </w:rPr>
        <w:footnoteReference w:id="17"/>
      </w:r>
    </w:p>
    <w:p w14:paraId="63519EE3" w14:textId="77777777" w:rsidR="00D233D5" w:rsidRPr="00D233D5" w:rsidRDefault="00ED13CF" w:rsidP="00D21DFA">
      <w:pPr>
        <w:pStyle w:val="ListBullet"/>
        <w:numPr>
          <w:ilvl w:val="0"/>
          <w:numId w:val="1"/>
        </w:numPr>
        <w:rPr>
          <w:rStyle w:val="Hyperlink"/>
          <w:color w:val="auto"/>
          <w:u w:val="none"/>
        </w:rPr>
      </w:pPr>
      <w:r>
        <w:t xml:space="preserve">There are no </w:t>
      </w:r>
      <w:r w:rsidRPr="00A30084">
        <w:t xml:space="preserve">warning statements pertaining </w:t>
      </w:r>
      <w:r>
        <w:t xml:space="preserve">to </w:t>
      </w:r>
      <w:proofErr w:type="spellStart"/>
      <w:r>
        <w:t>bufexamac</w:t>
      </w:r>
      <w:proofErr w:type="spellEnd"/>
      <w:r>
        <w:t xml:space="preserve"> in the </w:t>
      </w:r>
      <w:hyperlink r:id="rId32" w:history="1">
        <w:r w:rsidR="00D233D5" w:rsidRPr="00AB7BF5">
          <w:rPr>
            <w:rStyle w:val="Hyperlink"/>
          </w:rPr>
          <w:t>Therapeutic Goods (Medicines Advisory Statements) Specification 2019</w:t>
        </w:r>
      </w:hyperlink>
      <w:r w:rsidR="00D233D5">
        <w:rPr>
          <w:rStyle w:val="FootnoteReference"/>
        </w:rPr>
        <w:footnoteReference w:id="18"/>
      </w:r>
    </w:p>
    <w:p w14:paraId="3B1CC4F8" w14:textId="0D7FFD5B" w:rsidR="00ED13CF" w:rsidRPr="001F4A2F" w:rsidRDefault="00ED13CF" w:rsidP="00D21DFA">
      <w:pPr>
        <w:pStyle w:val="ListBullet"/>
        <w:numPr>
          <w:ilvl w:val="0"/>
          <w:numId w:val="1"/>
        </w:numPr>
      </w:pPr>
      <w:r>
        <w:t>Since January 2010, there were</w:t>
      </w:r>
      <w:r w:rsidRPr="009C55D5">
        <w:t xml:space="preserve"> </w:t>
      </w:r>
      <w:r w:rsidRPr="00FF1DE1">
        <w:t>21</w:t>
      </w:r>
      <w:r w:rsidRPr="009C55D5">
        <w:t xml:space="preserve"> reports of adverse events for products containing </w:t>
      </w:r>
      <w:proofErr w:type="spellStart"/>
      <w:r>
        <w:t>bufexamac</w:t>
      </w:r>
      <w:proofErr w:type="spellEnd"/>
      <w:r w:rsidRPr="009C55D5">
        <w:t xml:space="preserve"> as an active ingredient</w:t>
      </w:r>
      <w:r>
        <w:t xml:space="preserve"> on the </w:t>
      </w:r>
      <w:hyperlink r:id="rId33" w:history="1">
        <w:r w:rsidR="009F14FA" w:rsidRPr="00F0449C">
          <w:rPr>
            <w:rStyle w:val="Hyperlink"/>
          </w:rPr>
          <w:t>Database of Adverse Event Notifications (DAEN)</w:t>
        </w:r>
      </w:hyperlink>
      <w:r w:rsidR="009F14FA">
        <w:rPr>
          <w:rStyle w:val="FootnoteReference"/>
        </w:rPr>
        <w:footnoteReference w:id="19"/>
      </w:r>
      <w:r w:rsidR="009F14FA">
        <w:rPr>
          <w:rStyle w:val="Hyperlink"/>
        </w:rPr>
        <w:t xml:space="preserve"> </w:t>
      </w:r>
      <w:r w:rsidRPr="009C55D5">
        <w:t xml:space="preserve">with </w:t>
      </w:r>
      <w:r w:rsidRPr="00FF1DE1">
        <w:t>20</w:t>
      </w:r>
      <w:r w:rsidRPr="009C55D5">
        <w:t xml:space="preserve"> reports where </w:t>
      </w:r>
      <w:proofErr w:type="spellStart"/>
      <w:r>
        <w:t>n</w:t>
      </w:r>
      <w:r w:rsidRPr="003474F4">
        <w:t>orethisterone</w:t>
      </w:r>
      <w:proofErr w:type="spellEnd"/>
      <w:r w:rsidRPr="009C55D5">
        <w:t xml:space="preserve"> was the single suspected medicine. There were </w:t>
      </w:r>
      <w:r w:rsidRPr="00FF1DE1">
        <w:t>no</w:t>
      </w:r>
      <w:r>
        <w:t xml:space="preserve"> </w:t>
      </w:r>
      <w:r w:rsidRPr="009C55D5">
        <w:t>reports of deaths associated with</w:t>
      </w:r>
      <w:r w:rsidRPr="007E4E71">
        <w:t xml:space="preserve"> </w:t>
      </w:r>
      <w:proofErr w:type="spellStart"/>
      <w:r>
        <w:t>bufexamac</w:t>
      </w:r>
      <w:proofErr w:type="spellEnd"/>
      <w:r w:rsidRPr="009C55D5">
        <w:t xml:space="preserve"> use</w:t>
      </w:r>
      <w:r w:rsidRPr="00FC5178">
        <w:t>.</w:t>
      </w:r>
      <w:r>
        <w:t xml:space="preserve"> </w:t>
      </w:r>
    </w:p>
    <w:p w14:paraId="59BD2726" w14:textId="206ADE4E" w:rsidR="00ED13CF" w:rsidRDefault="00ED13CF" w:rsidP="00ED13CF">
      <w:pPr>
        <w:pStyle w:val="ListBullet"/>
        <w:numPr>
          <w:ilvl w:val="0"/>
          <w:numId w:val="1"/>
        </w:numPr>
      </w:pPr>
      <w:r>
        <w:t xml:space="preserve">As of </w:t>
      </w:r>
      <w:r w:rsidRPr="00FF1DE1">
        <w:t xml:space="preserve">March 2021, there were no products containing </w:t>
      </w:r>
      <w:proofErr w:type="spellStart"/>
      <w:r w:rsidRPr="00FF1DE1">
        <w:t>bufexamac</w:t>
      </w:r>
      <w:proofErr w:type="spellEnd"/>
      <w:r w:rsidRPr="00FF1DE1">
        <w:t xml:space="preserve"> li</w:t>
      </w:r>
      <w:r w:rsidRPr="00F0449C">
        <w:t xml:space="preserve">sted on the </w:t>
      </w:r>
      <w:hyperlink r:id="rId34"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009F14FA">
        <w:rPr>
          <w:rStyle w:val="FootnoteReference"/>
        </w:rPr>
        <w:footnoteReference w:id="20"/>
      </w:r>
    </w:p>
    <w:p w14:paraId="4893BA77" w14:textId="77777777" w:rsidR="00ED13CF" w:rsidRDefault="00ED13CF" w:rsidP="00ED13CF">
      <w:pPr>
        <w:pStyle w:val="Heading4"/>
      </w:pPr>
      <w:bookmarkStart w:id="29" w:name="_Toc70495040"/>
      <w:r>
        <w:t>International regulations</w:t>
      </w:r>
      <w:bookmarkEnd w:id="29"/>
    </w:p>
    <w:p w14:paraId="297D903E" w14:textId="77777777" w:rsidR="00CA332B" w:rsidRDefault="00ED13CF" w:rsidP="00CA332B">
      <w:pPr>
        <w:pStyle w:val="ListBullet"/>
        <w:numPr>
          <w:ilvl w:val="0"/>
          <w:numId w:val="22"/>
        </w:numPr>
        <w:spacing w:line="240" w:lineRule="auto"/>
      </w:pPr>
      <w:proofErr w:type="spellStart"/>
      <w:r>
        <w:t>B</w:t>
      </w:r>
      <w:r w:rsidRPr="00FF1DE1">
        <w:t>ufexamac</w:t>
      </w:r>
      <w:proofErr w:type="spellEnd"/>
      <w:r>
        <w:t xml:space="preserve"> is not included in the </w:t>
      </w:r>
      <w:hyperlink r:id="rId35" w:history="1">
        <w:r w:rsidR="00CA332B" w:rsidRPr="00CC6398">
          <w:rPr>
            <w:rStyle w:val="Hyperlink"/>
          </w:rPr>
          <w:t>WHO Model List of Essential Medicines 2019</w:t>
        </w:r>
      </w:hyperlink>
      <w:r w:rsidR="00CA332B">
        <w:rPr>
          <w:rStyle w:val="FootnoteReference"/>
        </w:rPr>
        <w:footnoteReference w:id="21"/>
      </w:r>
    </w:p>
    <w:p w14:paraId="55C8DDD9" w14:textId="5FB35E7F" w:rsidR="00ED13CF" w:rsidRDefault="00ED13CF" w:rsidP="00ED13CF">
      <w:pPr>
        <w:pStyle w:val="ListBullet"/>
        <w:numPr>
          <w:ilvl w:val="0"/>
          <w:numId w:val="22"/>
        </w:numPr>
        <w:spacing w:line="240" w:lineRule="auto"/>
      </w:pPr>
      <w:r>
        <w:t xml:space="preserve">The </w:t>
      </w:r>
      <w:hyperlink r:id="rId36" w:history="1">
        <w:r w:rsidR="00CA332B" w:rsidRPr="002150D3">
          <w:rPr>
            <w:rStyle w:val="Hyperlink"/>
          </w:rPr>
          <w:t>Health Products Regulatory Authority of Ireland</w:t>
        </w:r>
      </w:hyperlink>
      <w:r w:rsidR="00CA332B" w:rsidRPr="00417519">
        <w:rPr>
          <w:rStyle w:val="FootnoteReference"/>
        </w:rPr>
        <w:footnoteReference w:id="22"/>
      </w:r>
      <w:r>
        <w:t xml:space="preserve"> have not approved use of </w:t>
      </w:r>
      <w:proofErr w:type="spellStart"/>
      <w:r>
        <w:t>bufexamac</w:t>
      </w:r>
      <w:proofErr w:type="spellEnd"/>
      <w:r>
        <w:t>.</w:t>
      </w:r>
    </w:p>
    <w:p w14:paraId="15F3AF2B" w14:textId="41EE619D" w:rsidR="00ED13CF" w:rsidRDefault="00ED13CF" w:rsidP="00ED13CF">
      <w:pPr>
        <w:pStyle w:val="ListBullet"/>
        <w:numPr>
          <w:ilvl w:val="0"/>
          <w:numId w:val="22"/>
        </w:numPr>
        <w:spacing w:line="240" w:lineRule="auto"/>
      </w:pPr>
      <w:r>
        <w:t xml:space="preserve">The </w:t>
      </w:r>
      <w:hyperlink r:id="rId37" w:history="1">
        <w:r w:rsidRPr="00F06A6D">
          <w:rPr>
            <w:rStyle w:val="Hyperlink"/>
          </w:rPr>
          <w:t>United States Food and Drug Administration</w:t>
        </w:r>
      </w:hyperlink>
      <w:r w:rsidR="00CA332B" w:rsidRPr="00417519">
        <w:rPr>
          <w:rStyle w:val="FootnoteReference"/>
        </w:rPr>
        <w:footnoteReference w:id="23"/>
      </w:r>
      <w:r>
        <w:t xml:space="preserve"> have not approved use of </w:t>
      </w:r>
      <w:proofErr w:type="spellStart"/>
      <w:r>
        <w:t>bufexamac</w:t>
      </w:r>
      <w:proofErr w:type="spellEnd"/>
      <w:r>
        <w:t xml:space="preserve">. </w:t>
      </w:r>
    </w:p>
    <w:p w14:paraId="4093B639" w14:textId="430516B0" w:rsidR="00ED13CF" w:rsidRDefault="00ED13CF" w:rsidP="00ED13CF">
      <w:pPr>
        <w:pStyle w:val="ListBullet"/>
        <w:numPr>
          <w:ilvl w:val="0"/>
          <w:numId w:val="22"/>
        </w:numPr>
      </w:pPr>
      <w:proofErr w:type="spellStart"/>
      <w:r>
        <w:t>Bufexamac</w:t>
      </w:r>
      <w:proofErr w:type="spellEnd"/>
      <w:r>
        <w:t xml:space="preserve"> was previously approved for use as an over the counter medicine in Canada, according to the </w:t>
      </w:r>
      <w:hyperlink r:id="rId38" w:history="1">
        <w:r w:rsidR="00B74321" w:rsidRPr="000B75D5">
          <w:rPr>
            <w:rStyle w:val="Hyperlink"/>
          </w:rPr>
          <w:t>Canadian (Health Canada) Drug Product Database</w:t>
        </w:r>
      </w:hyperlink>
      <w:r w:rsidR="00B74321" w:rsidRPr="00417519">
        <w:rPr>
          <w:rStyle w:val="FootnoteReference"/>
        </w:rPr>
        <w:footnoteReference w:id="24"/>
      </w:r>
      <w:r w:rsidRPr="000A5F34">
        <w:t xml:space="preserve">, </w:t>
      </w:r>
      <w:r>
        <w:t xml:space="preserve">but all products containing </w:t>
      </w:r>
      <w:proofErr w:type="spellStart"/>
      <w:r>
        <w:t>bufexamac</w:t>
      </w:r>
      <w:proofErr w:type="spellEnd"/>
      <w:r>
        <w:t xml:space="preserve"> have since been cancelled.</w:t>
      </w:r>
    </w:p>
    <w:p w14:paraId="7DC28BFC" w14:textId="7C57FC9D" w:rsidR="00ED13CF" w:rsidRDefault="00ED13CF" w:rsidP="00ED13CF">
      <w:pPr>
        <w:pStyle w:val="ListBullet"/>
        <w:numPr>
          <w:ilvl w:val="0"/>
          <w:numId w:val="22"/>
        </w:numPr>
        <w:spacing w:line="240" w:lineRule="auto"/>
      </w:pPr>
      <w:r>
        <w:t xml:space="preserve">According to the </w:t>
      </w:r>
      <w:hyperlink r:id="rId39" w:history="1">
        <w:r w:rsidR="00643DF9" w:rsidRPr="000B75D5">
          <w:rPr>
            <w:rStyle w:val="Hyperlink"/>
          </w:rPr>
          <w:t>New Zealand</w:t>
        </w:r>
        <w:r w:rsidR="00643DF9">
          <w:rPr>
            <w:rStyle w:val="Hyperlink"/>
          </w:rPr>
          <w:t xml:space="preserve"> Medicines and Medical Devices Safety Authority</w:t>
        </w:r>
        <w:r w:rsidR="00643DF9" w:rsidRPr="000B75D5">
          <w:rPr>
            <w:rStyle w:val="Hyperlink"/>
          </w:rPr>
          <w:t xml:space="preserve"> </w:t>
        </w:r>
        <w:r w:rsidR="00643DF9">
          <w:rPr>
            <w:rStyle w:val="Hyperlink"/>
          </w:rPr>
          <w:t>(</w:t>
        </w:r>
        <w:proofErr w:type="spellStart"/>
        <w:r w:rsidR="00643DF9" w:rsidRPr="000B75D5">
          <w:rPr>
            <w:rStyle w:val="Hyperlink"/>
          </w:rPr>
          <w:t>MedSafe</w:t>
        </w:r>
        <w:proofErr w:type="spellEnd"/>
      </w:hyperlink>
      <w:r w:rsidR="00643DF9">
        <w:t>)</w:t>
      </w:r>
      <w:r w:rsidR="00643DF9">
        <w:rPr>
          <w:rStyle w:val="FootnoteReference"/>
        </w:rPr>
        <w:footnoteReference w:id="25"/>
      </w:r>
      <w:r>
        <w:t xml:space="preserve"> </w:t>
      </w:r>
      <w:proofErr w:type="spellStart"/>
      <w:r>
        <w:t>bufexamac</w:t>
      </w:r>
      <w:proofErr w:type="spellEnd"/>
      <w:r>
        <w:t xml:space="preserve"> is available in New Zealand as follows:</w:t>
      </w:r>
    </w:p>
    <w:tbl>
      <w:tblPr>
        <w:tblStyle w:val="TableTGAblue"/>
        <w:tblW w:w="5000" w:type="pct"/>
        <w:tblInd w:w="357" w:type="dxa"/>
        <w:tblLook w:val="04A0" w:firstRow="1" w:lastRow="0" w:firstColumn="1" w:lastColumn="0" w:noHBand="0" w:noVBand="1"/>
      </w:tblPr>
      <w:tblGrid>
        <w:gridCol w:w="1694"/>
        <w:gridCol w:w="5385"/>
        <w:gridCol w:w="1971"/>
      </w:tblGrid>
      <w:tr w:rsidR="00ED13CF" w:rsidRPr="00702170" w14:paraId="0951377E"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2B81363D" w14:textId="77777777" w:rsidR="00ED13CF" w:rsidRPr="00702170" w:rsidRDefault="00ED13CF" w:rsidP="0091227A">
            <w:pPr>
              <w:pStyle w:val="ListBullet"/>
              <w:numPr>
                <w:ilvl w:val="0"/>
                <w:numId w:val="0"/>
              </w:numPr>
            </w:pPr>
            <w:r>
              <w:t>Ingredient</w:t>
            </w:r>
          </w:p>
        </w:tc>
        <w:tc>
          <w:tcPr>
            <w:tcW w:w="2975" w:type="pct"/>
          </w:tcPr>
          <w:p w14:paraId="170A8706" w14:textId="77777777" w:rsidR="00ED13CF" w:rsidRPr="00702170" w:rsidRDefault="00ED13CF" w:rsidP="0091227A">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09EAA1E3" w14:textId="77777777" w:rsidR="00ED13CF" w:rsidRPr="00702170" w:rsidRDefault="00ED13CF" w:rsidP="0091227A">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ED13CF" w:rsidRPr="00702170" w14:paraId="77EA1925"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0BCA8ED4" w14:textId="77777777" w:rsidR="00ED13CF" w:rsidRPr="00F669C5" w:rsidRDefault="00ED13CF" w:rsidP="0091227A">
            <w:pPr>
              <w:pStyle w:val="ListBullet"/>
              <w:numPr>
                <w:ilvl w:val="0"/>
                <w:numId w:val="0"/>
              </w:numPr>
              <w:rPr>
                <w:rFonts w:asciiTheme="minorHAnsi" w:hAnsiTheme="minorHAnsi"/>
                <w:szCs w:val="22"/>
              </w:rPr>
            </w:pPr>
            <w:proofErr w:type="spellStart"/>
            <w:r w:rsidRPr="00F669C5">
              <w:rPr>
                <w:rFonts w:asciiTheme="minorHAnsi" w:hAnsiTheme="minorHAnsi"/>
                <w:szCs w:val="22"/>
              </w:rPr>
              <w:t>Bufexamac</w:t>
            </w:r>
            <w:proofErr w:type="spellEnd"/>
          </w:p>
        </w:tc>
        <w:tc>
          <w:tcPr>
            <w:tcW w:w="2975" w:type="pct"/>
          </w:tcPr>
          <w:p w14:paraId="74D61B60" w14:textId="77777777" w:rsidR="00ED13CF" w:rsidRPr="00F669C5"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669C5">
              <w:rPr>
                <w:rStyle w:val="Strong"/>
                <w:rFonts w:asciiTheme="minorHAnsi" w:hAnsiTheme="minorHAnsi"/>
                <w:szCs w:val="22"/>
              </w:rPr>
              <w:t>except</w:t>
            </w:r>
            <w:r w:rsidRPr="00F669C5">
              <w:rPr>
                <w:rFonts w:asciiTheme="minorHAnsi" w:hAnsiTheme="minorHAnsi"/>
                <w:szCs w:val="22"/>
              </w:rPr>
              <w:t xml:space="preserve"> in suppositories or for dermal use in medicines containing 5% or less</w:t>
            </w:r>
          </w:p>
        </w:tc>
        <w:tc>
          <w:tcPr>
            <w:tcW w:w="1089" w:type="pct"/>
          </w:tcPr>
          <w:p w14:paraId="54E53333" w14:textId="77777777" w:rsidR="00ED13CF" w:rsidRPr="00F669C5"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669C5">
              <w:rPr>
                <w:rFonts w:asciiTheme="minorHAnsi" w:hAnsiTheme="minorHAnsi"/>
                <w:szCs w:val="22"/>
              </w:rPr>
              <w:t>Prescription</w:t>
            </w:r>
          </w:p>
        </w:tc>
      </w:tr>
      <w:tr w:rsidR="00ED13CF" w:rsidRPr="00702170" w14:paraId="0BB94F83"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6AD396AD" w14:textId="77777777" w:rsidR="00ED13CF" w:rsidRPr="00F669C5" w:rsidRDefault="00ED13CF" w:rsidP="0091227A">
            <w:pPr>
              <w:pStyle w:val="ListBullet"/>
              <w:numPr>
                <w:ilvl w:val="0"/>
                <w:numId w:val="0"/>
              </w:numPr>
              <w:rPr>
                <w:rFonts w:asciiTheme="minorHAnsi" w:hAnsiTheme="minorHAnsi"/>
                <w:szCs w:val="22"/>
              </w:rPr>
            </w:pPr>
            <w:proofErr w:type="spellStart"/>
            <w:r w:rsidRPr="00F669C5">
              <w:rPr>
                <w:rFonts w:asciiTheme="minorHAnsi" w:hAnsiTheme="minorHAnsi"/>
                <w:szCs w:val="22"/>
              </w:rPr>
              <w:t>Bufexamac</w:t>
            </w:r>
            <w:proofErr w:type="spellEnd"/>
          </w:p>
        </w:tc>
        <w:tc>
          <w:tcPr>
            <w:tcW w:w="2975" w:type="pct"/>
          </w:tcPr>
          <w:p w14:paraId="52485CF6" w14:textId="77777777" w:rsidR="00ED13CF" w:rsidRPr="00F669C5"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669C5">
              <w:rPr>
                <w:rFonts w:asciiTheme="minorHAnsi" w:hAnsiTheme="minorHAnsi"/>
                <w:szCs w:val="22"/>
              </w:rPr>
              <w:t>in suppositories;</w:t>
            </w:r>
            <w:r w:rsidRPr="00F669C5">
              <w:rPr>
                <w:rFonts w:asciiTheme="minorHAnsi" w:hAnsiTheme="minorHAnsi"/>
                <w:szCs w:val="22"/>
              </w:rPr>
              <w:br/>
              <w:t>for dermal use in medicines containing 5% or less</w:t>
            </w:r>
          </w:p>
        </w:tc>
        <w:tc>
          <w:tcPr>
            <w:tcW w:w="1089" w:type="pct"/>
          </w:tcPr>
          <w:p w14:paraId="3D233BC8" w14:textId="77777777" w:rsidR="00ED13CF" w:rsidRPr="00F669C5"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669C5">
              <w:rPr>
                <w:rFonts w:asciiTheme="minorHAnsi" w:hAnsiTheme="minorHAnsi"/>
                <w:szCs w:val="22"/>
              </w:rPr>
              <w:t>General Sale</w:t>
            </w:r>
          </w:p>
        </w:tc>
      </w:tr>
    </w:tbl>
    <w:p w14:paraId="35D41625" w14:textId="77777777" w:rsidR="00ED13CF" w:rsidRPr="009401F6" w:rsidRDefault="00ED13CF" w:rsidP="00D21DFA">
      <w:pPr>
        <w:pStyle w:val="Heading3"/>
        <w:pageBreakBefore/>
        <w:numPr>
          <w:ilvl w:val="0"/>
          <w:numId w:val="7"/>
        </w:numPr>
        <w:ind w:left="714" w:hanging="357"/>
      </w:pPr>
      <w:bookmarkStart w:id="30" w:name="_Toc70495041"/>
      <w:r>
        <w:lastRenderedPageBreak/>
        <w:t>Ibuprofen</w:t>
      </w:r>
      <w:bookmarkEnd w:id="30"/>
    </w:p>
    <w:p w14:paraId="24625100" w14:textId="77777777" w:rsidR="00ED13CF" w:rsidRDefault="00ED13CF" w:rsidP="00ED13CF">
      <w:pPr>
        <w:pStyle w:val="Heading4"/>
      </w:pPr>
      <w:bookmarkStart w:id="31" w:name="_Toc70495042"/>
      <w:r>
        <w:t>Proposal</w:t>
      </w:r>
      <w:bookmarkEnd w:id="31"/>
    </w:p>
    <w:p w14:paraId="6ACA3262" w14:textId="47E6D497" w:rsidR="00ED13CF" w:rsidRDefault="006C6A4A" w:rsidP="00ED13CF">
      <w:r>
        <w:rPr>
          <w:lang w:eastAsia="en-AU"/>
        </w:rPr>
        <w:t>The applicant proposes to amend</w:t>
      </w:r>
      <w:r w:rsidR="00ED13CF">
        <w:t xml:space="preserve"> the Schedule 2 entry for ibuprofen to include a modified release dosage form, each containing 600 mg (specifically) of ibuprofen in a primary pack containing not more than 16 dosage units, when labelled: </w:t>
      </w:r>
    </w:p>
    <w:p w14:paraId="69FBBB15" w14:textId="77777777" w:rsidR="00ED13CF" w:rsidRDefault="00ED13CF" w:rsidP="00ED13CF">
      <w:proofErr w:type="spellStart"/>
      <w:r>
        <w:t>i</w:t>
      </w:r>
      <w:proofErr w:type="spellEnd"/>
      <w:r>
        <w:t xml:space="preserve">) </w:t>
      </w:r>
      <w:proofErr w:type="gramStart"/>
      <w:r>
        <w:t>with</w:t>
      </w:r>
      <w:proofErr w:type="gramEnd"/>
      <w:r>
        <w:t xml:space="preserve"> a recommended daily dose of 1200 mg or less of ibuprofen; and </w:t>
      </w:r>
    </w:p>
    <w:p w14:paraId="7944FA9A" w14:textId="77777777" w:rsidR="00ED13CF" w:rsidRDefault="00ED13CF" w:rsidP="00ED13CF">
      <w:r>
        <w:t xml:space="preserve">ii) </w:t>
      </w:r>
      <w:proofErr w:type="gramStart"/>
      <w:r>
        <w:t>not</w:t>
      </w:r>
      <w:proofErr w:type="gramEnd"/>
      <w:r>
        <w:t xml:space="preserve"> for the treatment of children under 12 years of age. </w:t>
      </w:r>
    </w:p>
    <w:p w14:paraId="664EEE50" w14:textId="77777777" w:rsidR="00ED13CF" w:rsidRDefault="00ED13CF" w:rsidP="00ED13CF">
      <w:pPr>
        <w:pStyle w:val="Heading4"/>
      </w:pPr>
      <w:bookmarkStart w:id="32" w:name="_Toc70495043"/>
      <w:r>
        <w:t>CAS number:</w:t>
      </w:r>
      <w:bookmarkEnd w:id="32"/>
    </w:p>
    <w:p w14:paraId="7D196360" w14:textId="77777777" w:rsidR="00ED13CF" w:rsidRDefault="00ED13CF" w:rsidP="00ED13CF">
      <w:r w:rsidRPr="005E49AE">
        <w:t>15687-27-1</w:t>
      </w:r>
    </w:p>
    <w:p w14:paraId="520664CB" w14:textId="77777777" w:rsidR="00ED13CF" w:rsidRDefault="00ED13CF" w:rsidP="00ED13CF">
      <w:pPr>
        <w:pStyle w:val="Heading4"/>
      </w:pPr>
      <w:bookmarkStart w:id="33" w:name="_Toc70495044"/>
      <w:r>
        <w:t>Alternative names</w:t>
      </w:r>
      <w:bookmarkEnd w:id="33"/>
    </w:p>
    <w:p w14:paraId="5A559098" w14:textId="77777777" w:rsidR="00ED13CF" w:rsidRPr="005E49AE" w:rsidRDefault="00ED13CF" w:rsidP="00ED13CF">
      <w:pPr>
        <w:rPr>
          <w:highlight w:val="green"/>
        </w:rPr>
      </w:pPr>
      <w:proofErr w:type="gramStart"/>
      <w:r w:rsidRPr="005E49AE">
        <w:rPr>
          <w:i/>
          <w:iCs/>
        </w:rPr>
        <w:t>p-</w:t>
      </w:r>
      <w:proofErr w:type="spellStart"/>
      <w:r w:rsidRPr="005E49AE">
        <w:t>isobutylhydratropic</w:t>
      </w:r>
      <w:proofErr w:type="spellEnd"/>
      <w:proofErr w:type="gramEnd"/>
      <w:r w:rsidRPr="005E49AE">
        <w:t xml:space="preserve"> acid; (±)-2-(4-isobutylphenyl)propionic acid</w:t>
      </w:r>
    </w:p>
    <w:p w14:paraId="1F98F0AF" w14:textId="77777777" w:rsidR="00ED13CF" w:rsidRPr="002C1070" w:rsidRDefault="00ED13CF" w:rsidP="00ED13CF">
      <w:pPr>
        <w:pStyle w:val="Heading4"/>
      </w:pPr>
      <w:bookmarkStart w:id="34" w:name="_Toc70495045"/>
      <w:r>
        <w:t>Applicant</w:t>
      </w:r>
      <w:bookmarkEnd w:id="34"/>
    </w:p>
    <w:p w14:paraId="49563EC4" w14:textId="77777777" w:rsidR="00ED13CF" w:rsidRPr="003639D9" w:rsidRDefault="00ED13CF" w:rsidP="00ED13CF">
      <w:r w:rsidRPr="005E49AE">
        <w:t>Private applicant</w:t>
      </w:r>
    </w:p>
    <w:p w14:paraId="0CB2D334" w14:textId="77777777" w:rsidR="00ED13CF" w:rsidRPr="005E49AE" w:rsidRDefault="00ED13CF" w:rsidP="00ED13CF">
      <w:pPr>
        <w:pStyle w:val="Heading4"/>
      </w:pPr>
      <w:bookmarkStart w:id="35" w:name="_Toc70495046"/>
      <w:r>
        <w:t>Current scheduling</w:t>
      </w:r>
      <w:bookmarkEnd w:id="35"/>
    </w:p>
    <w:p w14:paraId="435D17E1" w14:textId="77777777" w:rsidR="00ED13CF" w:rsidRDefault="00ED13CF" w:rsidP="00ED13CF">
      <w:pPr>
        <w:rPr>
          <w:rFonts w:asciiTheme="minorHAnsi" w:hAnsiTheme="minorHAnsi" w:cstheme="minorHAnsi"/>
        </w:rPr>
      </w:pPr>
      <w:r>
        <w:rPr>
          <w:rFonts w:asciiTheme="minorHAnsi" w:hAnsiTheme="minorHAnsi" w:cstheme="minorHAnsi"/>
        </w:rPr>
        <w:t>Ibuprofen</w:t>
      </w:r>
      <w:r w:rsidRPr="00AF12F6">
        <w:rPr>
          <w:rFonts w:asciiTheme="minorHAnsi" w:hAnsiTheme="minorHAnsi" w:cstheme="minorHAnsi"/>
        </w:rPr>
        <w:t xml:space="preserve"> </w:t>
      </w:r>
      <w:proofErr w:type="gramStart"/>
      <w:r w:rsidRPr="00AF12F6">
        <w:rPr>
          <w:rFonts w:asciiTheme="minorHAnsi" w:hAnsiTheme="minorHAnsi" w:cstheme="minorHAnsi"/>
        </w:rPr>
        <w:t>is currently listed</w:t>
      </w:r>
      <w:proofErr w:type="gramEnd"/>
      <w:r w:rsidRPr="00AF12F6">
        <w:rPr>
          <w:rFonts w:asciiTheme="minorHAnsi" w:hAnsiTheme="minorHAnsi" w:cstheme="minorHAnsi"/>
        </w:rPr>
        <w:t xml:space="preserve"> in Schedules </w:t>
      </w:r>
      <w:r w:rsidRPr="005E49AE">
        <w:rPr>
          <w:rFonts w:asciiTheme="minorHAnsi" w:hAnsiTheme="minorHAnsi" w:cstheme="minorHAnsi"/>
        </w:rPr>
        <w:t>2, 3 and 4</w:t>
      </w:r>
      <w:r>
        <w:rPr>
          <w:rFonts w:asciiTheme="minorHAnsi" w:hAnsiTheme="minorHAnsi" w:cstheme="minorHAnsi"/>
        </w:rPr>
        <w:t xml:space="preserve"> of the Poisons Standard as follows:</w:t>
      </w:r>
    </w:p>
    <w:p w14:paraId="6569F019" w14:textId="77777777" w:rsidR="00ED13CF" w:rsidRPr="006D5C84" w:rsidRDefault="00ED13CF" w:rsidP="00ED13CF">
      <w:pPr>
        <w:ind w:left="426"/>
        <w:rPr>
          <w:b/>
        </w:rPr>
      </w:pPr>
      <w:r w:rsidRPr="006D5C84">
        <w:rPr>
          <w:b/>
        </w:rPr>
        <w:t xml:space="preserve">Schedule </w:t>
      </w:r>
      <w:r w:rsidRPr="001E742C">
        <w:rPr>
          <w:b/>
        </w:rPr>
        <w:t>4</w:t>
      </w:r>
    </w:p>
    <w:p w14:paraId="2C2CD55C" w14:textId="77777777" w:rsidR="00ED13CF" w:rsidRPr="005E49AE" w:rsidRDefault="00ED13CF" w:rsidP="00ED13CF">
      <w:pPr>
        <w:ind w:left="426"/>
        <w:rPr>
          <w:rFonts w:asciiTheme="minorHAnsi" w:hAnsiTheme="minorHAnsi" w:cstheme="minorHAnsi"/>
        </w:rPr>
      </w:pPr>
      <w:r w:rsidRPr="005E49AE">
        <w:rPr>
          <w:rFonts w:asciiTheme="minorHAnsi" w:hAnsiTheme="minorHAnsi" w:cstheme="minorHAnsi"/>
        </w:rPr>
        <w:t xml:space="preserve">IBUPROFEN </w:t>
      </w:r>
      <w:r w:rsidRPr="005E49AE">
        <w:rPr>
          <w:rFonts w:asciiTheme="minorHAnsi" w:hAnsiTheme="minorHAnsi" w:cstheme="minorHAnsi"/>
          <w:b/>
          <w:bCs/>
        </w:rPr>
        <w:t>except</w:t>
      </w:r>
      <w:r w:rsidRPr="005E49AE">
        <w:rPr>
          <w:rFonts w:asciiTheme="minorHAnsi" w:hAnsiTheme="minorHAnsi" w:cstheme="minorHAnsi"/>
        </w:rPr>
        <w:t xml:space="preserve">: </w:t>
      </w:r>
    </w:p>
    <w:p w14:paraId="4F0201F0" w14:textId="77777777" w:rsidR="00ED13CF" w:rsidRPr="005E49AE" w:rsidRDefault="00ED13CF" w:rsidP="00ED13CF">
      <w:pPr>
        <w:ind w:left="426"/>
        <w:rPr>
          <w:rFonts w:asciiTheme="minorHAnsi" w:hAnsiTheme="minorHAnsi" w:cstheme="minorHAnsi"/>
        </w:rPr>
      </w:pPr>
      <w:r>
        <w:rPr>
          <w:rFonts w:asciiTheme="minorHAnsi" w:hAnsiTheme="minorHAnsi" w:cstheme="minorHAnsi"/>
        </w:rPr>
        <w:t xml:space="preserve">a) </w:t>
      </w:r>
      <w:proofErr w:type="gramStart"/>
      <w:r w:rsidRPr="005E49AE">
        <w:rPr>
          <w:rFonts w:asciiTheme="minorHAnsi" w:hAnsiTheme="minorHAnsi" w:cstheme="minorHAnsi"/>
        </w:rPr>
        <w:t>when</w:t>
      </w:r>
      <w:proofErr w:type="gramEnd"/>
      <w:r w:rsidRPr="005E49AE">
        <w:rPr>
          <w:rFonts w:asciiTheme="minorHAnsi" w:hAnsiTheme="minorHAnsi" w:cstheme="minorHAnsi"/>
        </w:rPr>
        <w:t xml:space="preserve"> included in or expressly exclu</w:t>
      </w:r>
      <w:r>
        <w:rPr>
          <w:rFonts w:asciiTheme="minorHAnsi" w:hAnsiTheme="minorHAnsi" w:cstheme="minorHAnsi"/>
        </w:rPr>
        <w:t>ded from Schedule 2 or 3; or</w:t>
      </w:r>
    </w:p>
    <w:p w14:paraId="1B113406" w14:textId="77777777" w:rsidR="00ED13CF" w:rsidRDefault="00ED13CF" w:rsidP="00ED13CF">
      <w:pPr>
        <w:ind w:left="426"/>
        <w:rPr>
          <w:rFonts w:asciiTheme="minorHAnsi" w:hAnsiTheme="minorHAnsi" w:cstheme="minorHAnsi"/>
        </w:rPr>
      </w:pPr>
      <w:r>
        <w:rPr>
          <w:rFonts w:asciiTheme="minorHAnsi" w:hAnsiTheme="minorHAnsi" w:cstheme="minorHAnsi"/>
        </w:rPr>
        <w:t xml:space="preserve">b) </w:t>
      </w:r>
      <w:proofErr w:type="gramStart"/>
      <w:r w:rsidRPr="005E49AE">
        <w:rPr>
          <w:rFonts w:asciiTheme="minorHAnsi" w:hAnsiTheme="minorHAnsi" w:cstheme="minorHAnsi"/>
        </w:rPr>
        <w:t>in</w:t>
      </w:r>
      <w:proofErr w:type="gramEnd"/>
      <w:r w:rsidRPr="005E49AE">
        <w:rPr>
          <w:rFonts w:asciiTheme="minorHAnsi" w:hAnsiTheme="minorHAnsi" w:cstheme="minorHAnsi"/>
        </w:rPr>
        <w:t xml:space="preserve"> preparations for dermal use. </w:t>
      </w:r>
    </w:p>
    <w:p w14:paraId="7E0589DE" w14:textId="77777777" w:rsidR="00ED13CF" w:rsidRPr="005E49AE" w:rsidRDefault="00ED13CF" w:rsidP="00ED13CF">
      <w:pPr>
        <w:ind w:left="426"/>
        <w:rPr>
          <w:rFonts w:asciiTheme="minorHAnsi" w:hAnsiTheme="minorHAnsi" w:cstheme="minorHAnsi"/>
          <w:b/>
        </w:rPr>
      </w:pPr>
      <w:r w:rsidRPr="005E49AE">
        <w:rPr>
          <w:rFonts w:asciiTheme="minorHAnsi" w:hAnsiTheme="minorHAnsi" w:cstheme="minorHAnsi"/>
          <w:b/>
        </w:rPr>
        <w:t>Schedule 3</w:t>
      </w:r>
    </w:p>
    <w:p w14:paraId="3586F2A0" w14:textId="77777777" w:rsidR="00ED13CF" w:rsidRPr="005E49AE" w:rsidRDefault="00ED13CF" w:rsidP="00ED13CF">
      <w:pPr>
        <w:ind w:left="426"/>
        <w:rPr>
          <w:rFonts w:asciiTheme="minorHAnsi" w:hAnsiTheme="minorHAnsi" w:cstheme="minorHAnsi"/>
        </w:rPr>
      </w:pPr>
      <w:r w:rsidRPr="005E49AE">
        <w:rPr>
          <w:rFonts w:asciiTheme="minorHAnsi" w:hAnsiTheme="minorHAnsi" w:cstheme="minorHAnsi"/>
        </w:rPr>
        <w:t xml:space="preserve">IBUPROFEN: </w:t>
      </w:r>
    </w:p>
    <w:p w14:paraId="1516AA09" w14:textId="77777777" w:rsidR="00ED13CF" w:rsidRPr="005E49AE" w:rsidRDefault="00ED13CF" w:rsidP="00ED13CF">
      <w:pPr>
        <w:ind w:left="426"/>
        <w:rPr>
          <w:rFonts w:asciiTheme="minorHAnsi" w:hAnsiTheme="minorHAnsi" w:cstheme="minorHAnsi"/>
        </w:rPr>
      </w:pPr>
      <w:r>
        <w:rPr>
          <w:rFonts w:asciiTheme="minorHAnsi" w:hAnsiTheme="minorHAnsi" w:cstheme="minorHAnsi"/>
        </w:rPr>
        <w:t xml:space="preserve">a) </w:t>
      </w:r>
      <w:proofErr w:type="gramStart"/>
      <w:r w:rsidRPr="005E49AE">
        <w:rPr>
          <w:rFonts w:asciiTheme="minorHAnsi" w:hAnsiTheme="minorHAnsi" w:cstheme="minorHAnsi"/>
        </w:rPr>
        <w:t>in</w:t>
      </w:r>
      <w:proofErr w:type="gramEnd"/>
      <w:r w:rsidRPr="005E49AE">
        <w:rPr>
          <w:rFonts w:asciiTheme="minorHAnsi" w:hAnsiTheme="minorHAnsi" w:cstheme="minorHAnsi"/>
        </w:rPr>
        <w:t xml:space="preserve"> divided preparations, each containing 400 mg or l</w:t>
      </w:r>
      <w:r>
        <w:rPr>
          <w:rFonts w:asciiTheme="minorHAnsi" w:hAnsiTheme="minorHAnsi" w:cstheme="minorHAnsi"/>
        </w:rPr>
        <w:t xml:space="preserve">ess of ibuprofen in a primary </w:t>
      </w:r>
      <w:r w:rsidRPr="005E49AE">
        <w:rPr>
          <w:rFonts w:asciiTheme="minorHAnsi" w:hAnsiTheme="minorHAnsi" w:cstheme="minorHAnsi"/>
        </w:rPr>
        <w:t xml:space="preserve">pack containing not more than 50 dosage units, when labelled: </w:t>
      </w:r>
    </w:p>
    <w:p w14:paraId="2185E0CE" w14:textId="77777777" w:rsidR="00ED13CF" w:rsidRPr="005E49AE" w:rsidRDefault="00ED13CF" w:rsidP="00ED13CF">
      <w:pPr>
        <w:ind w:left="426"/>
        <w:rPr>
          <w:rFonts w:asciiTheme="minorHAnsi" w:hAnsiTheme="minorHAnsi" w:cstheme="minorHAnsi"/>
        </w:rPr>
      </w:pPr>
      <w:r>
        <w:rPr>
          <w:rFonts w:asciiTheme="minorHAnsi" w:hAnsiTheme="minorHAnsi" w:cstheme="minorHAnsi"/>
        </w:rPr>
        <w:tab/>
      </w:r>
      <w:proofErr w:type="spellStart"/>
      <w:r w:rsidRPr="005E49AE">
        <w:rPr>
          <w:rFonts w:asciiTheme="minorHAnsi" w:hAnsiTheme="minorHAnsi" w:cstheme="minorHAnsi"/>
        </w:rPr>
        <w:t>i</w:t>
      </w:r>
      <w:proofErr w:type="spellEnd"/>
      <w:r w:rsidRPr="005E49AE">
        <w:rPr>
          <w:rFonts w:asciiTheme="minorHAnsi" w:hAnsiTheme="minorHAnsi" w:cstheme="minorHAnsi"/>
        </w:rPr>
        <w:t xml:space="preserve">) </w:t>
      </w:r>
      <w:proofErr w:type="gramStart"/>
      <w:r w:rsidRPr="005E49AE">
        <w:rPr>
          <w:rFonts w:asciiTheme="minorHAnsi" w:hAnsiTheme="minorHAnsi" w:cstheme="minorHAnsi"/>
        </w:rPr>
        <w:t>with</w:t>
      </w:r>
      <w:proofErr w:type="gramEnd"/>
      <w:r w:rsidRPr="005E49AE">
        <w:rPr>
          <w:rFonts w:asciiTheme="minorHAnsi" w:hAnsiTheme="minorHAnsi" w:cstheme="minorHAnsi"/>
        </w:rPr>
        <w:t xml:space="preserve"> a recommended daily dose of 1200 mg or less of ibuprofen; and </w:t>
      </w:r>
    </w:p>
    <w:p w14:paraId="280E07E5" w14:textId="77777777" w:rsidR="00ED13CF" w:rsidRPr="005E49AE" w:rsidRDefault="00ED13CF" w:rsidP="00ED13CF">
      <w:pPr>
        <w:ind w:left="426"/>
        <w:rPr>
          <w:rFonts w:asciiTheme="minorHAnsi" w:hAnsiTheme="minorHAnsi" w:cstheme="minorHAnsi"/>
        </w:rPr>
      </w:pPr>
      <w:r>
        <w:rPr>
          <w:rFonts w:asciiTheme="minorHAnsi" w:hAnsiTheme="minorHAnsi" w:cstheme="minorHAnsi"/>
        </w:rPr>
        <w:tab/>
      </w:r>
      <w:r w:rsidRPr="005E49AE">
        <w:rPr>
          <w:rFonts w:asciiTheme="minorHAnsi" w:hAnsiTheme="minorHAnsi" w:cstheme="minorHAnsi"/>
        </w:rPr>
        <w:t xml:space="preserve">ii) </w:t>
      </w:r>
      <w:proofErr w:type="gramStart"/>
      <w:r w:rsidRPr="005E49AE">
        <w:rPr>
          <w:rFonts w:asciiTheme="minorHAnsi" w:hAnsiTheme="minorHAnsi" w:cstheme="minorHAnsi"/>
        </w:rPr>
        <w:t>not</w:t>
      </w:r>
      <w:proofErr w:type="gramEnd"/>
      <w:r w:rsidRPr="005E49AE">
        <w:rPr>
          <w:rFonts w:asciiTheme="minorHAnsi" w:hAnsiTheme="minorHAnsi" w:cstheme="minorHAnsi"/>
        </w:rPr>
        <w:t xml:space="preserve"> for the treatment of children under 12 years of age; or </w:t>
      </w:r>
    </w:p>
    <w:p w14:paraId="3D51937D" w14:textId="77777777" w:rsidR="00ED13CF" w:rsidRPr="005E49AE" w:rsidRDefault="00ED13CF" w:rsidP="00ED13CF">
      <w:pPr>
        <w:ind w:left="426"/>
        <w:rPr>
          <w:rFonts w:asciiTheme="minorHAnsi" w:hAnsiTheme="minorHAnsi" w:cstheme="minorHAnsi"/>
        </w:rPr>
      </w:pPr>
      <w:r>
        <w:rPr>
          <w:rFonts w:asciiTheme="minorHAnsi" w:hAnsiTheme="minorHAnsi" w:cstheme="minorHAnsi"/>
        </w:rPr>
        <w:t xml:space="preserve">b) </w:t>
      </w:r>
      <w:proofErr w:type="gramStart"/>
      <w:r w:rsidRPr="005E49AE">
        <w:rPr>
          <w:rFonts w:asciiTheme="minorHAnsi" w:hAnsiTheme="minorHAnsi" w:cstheme="minorHAnsi"/>
        </w:rPr>
        <w:t>in</w:t>
      </w:r>
      <w:proofErr w:type="gramEnd"/>
      <w:r w:rsidRPr="005E49AE">
        <w:rPr>
          <w:rFonts w:asciiTheme="minorHAnsi" w:hAnsiTheme="minorHAnsi" w:cstheme="minorHAnsi"/>
        </w:rPr>
        <w:t xml:space="preserve"> a modified release dosage form, each containing 600</w:t>
      </w:r>
      <w:r>
        <w:rPr>
          <w:rFonts w:asciiTheme="minorHAnsi" w:hAnsiTheme="minorHAnsi" w:cstheme="minorHAnsi"/>
        </w:rPr>
        <w:t xml:space="preserve"> mg of ibuprofen in a primary </w:t>
      </w:r>
      <w:r w:rsidRPr="005E49AE">
        <w:rPr>
          <w:rFonts w:asciiTheme="minorHAnsi" w:hAnsiTheme="minorHAnsi" w:cstheme="minorHAnsi"/>
        </w:rPr>
        <w:t xml:space="preserve">pack containing not more than 32 dosage units, when labelled: </w:t>
      </w:r>
    </w:p>
    <w:p w14:paraId="7D93FE32" w14:textId="77777777" w:rsidR="00ED13CF" w:rsidRPr="005E49AE" w:rsidRDefault="00ED13CF" w:rsidP="00ED13CF">
      <w:pPr>
        <w:ind w:left="426"/>
        <w:rPr>
          <w:rFonts w:asciiTheme="minorHAnsi" w:hAnsiTheme="minorHAnsi" w:cstheme="minorHAnsi"/>
        </w:rPr>
      </w:pPr>
      <w:r>
        <w:rPr>
          <w:rFonts w:asciiTheme="minorHAnsi" w:hAnsiTheme="minorHAnsi" w:cstheme="minorHAnsi"/>
        </w:rPr>
        <w:tab/>
      </w:r>
      <w:proofErr w:type="spellStart"/>
      <w:r w:rsidRPr="005E49AE">
        <w:rPr>
          <w:rFonts w:asciiTheme="minorHAnsi" w:hAnsiTheme="minorHAnsi" w:cstheme="minorHAnsi"/>
        </w:rPr>
        <w:t>i</w:t>
      </w:r>
      <w:proofErr w:type="spellEnd"/>
      <w:r w:rsidRPr="005E49AE">
        <w:rPr>
          <w:rFonts w:asciiTheme="minorHAnsi" w:hAnsiTheme="minorHAnsi" w:cstheme="minorHAnsi"/>
        </w:rPr>
        <w:t xml:space="preserve">) </w:t>
      </w:r>
      <w:proofErr w:type="gramStart"/>
      <w:r w:rsidRPr="005E49AE">
        <w:rPr>
          <w:rFonts w:asciiTheme="minorHAnsi" w:hAnsiTheme="minorHAnsi" w:cstheme="minorHAnsi"/>
        </w:rPr>
        <w:t>with</w:t>
      </w:r>
      <w:proofErr w:type="gramEnd"/>
      <w:r w:rsidRPr="005E49AE">
        <w:rPr>
          <w:rFonts w:asciiTheme="minorHAnsi" w:hAnsiTheme="minorHAnsi" w:cstheme="minorHAnsi"/>
        </w:rPr>
        <w:t xml:space="preserve"> a recommended daily dose of 1200 mg or less of ibuprofen; and </w:t>
      </w:r>
    </w:p>
    <w:p w14:paraId="318BB190" w14:textId="77777777" w:rsidR="00ED13CF" w:rsidRPr="005E49AE" w:rsidRDefault="00ED13CF" w:rsidP="00ED13CF">
      <w:pPr>
        <w:ind w:left="426"/>
        <w:rPr>
          <w:rFonts w:asciiTheme="minorHAnsi" w:hAnsiTheme="minorHAnsi" w:cstheme="minorHAnsi"/>
        </w:rPr>
      </w:pPr>
      <w:r>
        <w:rPr>
          <w:rFonts w:asciiTheme="minorHAnsi" w:hAnsiTheme="minorHAnsi" w:cstheme="minorHAnsi"/>
        </w:rPr>
        <w:tab/>
      </w:r>
      <w:r w:rsidRPr="005E49AE">
        <w:rPr>
          <w:rFonts w:asciiTheme="minorHAnsi" w:hAnsiTheme="minorHAnsi" w:cstheme="minorHAnsi"/>
        </w:rPr>
        <w:t xml:space="preserve">ii) </w:t>
      </w:r>
      <w:proofErr w:type="gramStart"/>
      <w:r w:rsidRPr="005E49AE">
        <w:rPr>
          <w:rFonts w:asciiTheme="minorHAnsi" w:hAnsiTheme="minorHAnsi" w:cstheme="minorHAnsi"/>
        </w:rPr>
        <w:t>not</w:t>
      </w:r>
      <w:proofErr w:type="gramEnd"/>
      <w:r w:rsidRPr="005E49AE">
        <w:rPr>
          <w:rFonts w:asciiTheme="minorHAnsi" w:hAnsiTheme="minorHAnsi" w:cstheme="minorHAnsi"/>
        </w:rPr>
        <w:t xml:space="preserve"> for the treatment of children under 12 years of age; </w:t>
      </w:r>
    </w:p>
    <w:p w14:paraId="57279C48" w14:textId="77777777" w:rsidR="00ED13CF" w:rsidRPr="005E49AE" w:rsidRDefault="00ED13CF" w:rsidP="00ED13CF">
      <w:pPr>
        <w:ind w:left="426"/>
        <w:rPr>
          <w:rFonts w:asciiTheme="minorHAnsi" w:hAnsiTheme="minorHAnsi" w:cstheme="minorHAnsi"/>
        </w:rPr>
      </w:pPr>
      <w:proofErr w:type="gramStart"/>
      <w:r w:rsidRPr="005E49AE">
        <w:rPr>
          <w:rFonts w:asciiTheme="minorHAnsi" w:hAnsiTheme="minorHAnsi" w:cstheme="minorHAnsi"/>
          <w:b/>
          <w:bCs/>
        </w:rPr>
        <w:t>except</w:t>
      </w:r>
      <w:proofErr w:type="gramEnd"/>
      <w:r w:rsidRPr="005E49AE">
        <w:rPr>
          <w:rFonts w:asciiTheme="minorHAnsi" w:hAnsiTheme="minorHAnsi" w:cstheme="minorHAnsi"/>
          <w:b/>
          <w:bCs/>
        </w:rPr>
        <w:t xml:space="preserve"> </w:t>
      </w:r>
      <w:r w:rsidRPr="005E49AE">
        <w:rPr>
          <w:rFonts w:asciiTheme="minorHAnsi" w:hAnsiTheme="minorHAnsi" w:cstheme="minorHAnsi"/>
        </w:rPr>
        <w:t>when included in or expressly excluded from Schedule 2.</w:t>
      </w:r>
    </w:p>
    <w:p w14:paraId="25A34E20" w14:textId="77777777" w:rsidR="00ED13CF" w:rsidRPr="00AF3984" w:rsidRDefault="00ED13CF" w:rsidP="00D21DFA">
      <w:pPr>
        <w:keepNext/>
        <w:ind w:left="425"/>
        <w:rPr>
          <w:rFonts w:asciiTheme="minorHAnsi" w:hAnsiTheme="minorHAnsi" w:cstheme="minorHAnsi"/>
          <w:b/>
        </w:rPr>
      </w:pPr>
      <w:r w:rsidRPr="00AF3984">
        <w:rPr>
          <w:rFonts w:asciiTheme="minorHAnsi" w:hAnsiTheme="minorHAnsi" w:cstheme="minorHAnsi"/>
          <w:b/>
        </w:rPr>
        <w:lastRenderedPageBreak/>
        <w:t>Schedule 2</w:t>
      </w:r>
    </w:p>
    <w:p w14:paraId="04F8DE8C" w14:textId="77777777" w:rsidR="00ED13CF" w:rsidRPr="00AF3984" w:rsidRDefault="00ED13CF" w:rsidP="00ED13CF">
      <w:pPr>
        <w:ind w:left="426"/>
        <w:rPr>
          <w:rFonts w:asciiTheme="minorHAnsi" w:hAnsiTheme="minorHAnsi" w:cstheme="minorHAnsi"/>
        </w:rPr>
      </w:pPr>
      <w:r w:rsidRPr="00AF3984">
        <w:rPr>
          <w:rFonts w:asciiTheme="minorHAnsi" w:hAnsiTheme="minorHAnsi" w:cstheme="minorHAnsi"/>
        </w:rPr>
        <w:t xml:space="preserve">IBUPROFEN in preparations for oral use when labelled with a recommended daily dose of 1200 mg or less of ibuprofen: </w:t>
      </w:r>
    </w:p>
    <w:p w14:paraId="5A7E47D2" w14:textId="77777777" w:rsidR="00ED13CF" w:rsidRPr="00AF3984" w:rsidRDefault="00ED13CF" w:rsidP="00ED13CF">
      <w:pPr>
        <w:ind w:left="426"/>
        <w:rPr>
          <w:rFonts w:asciiTheme="minorHAnsi" w:hAnsiTheme="minorHAnsi" w:cstheme="minorHAnsi"/>
        </w:rPr>
      </w:pPr>
      <w:r>
        <w:rPr>
          <w:rFonts w:asciiTheme="minorHAnsi" w:hAnsiTheme="minorHAnsi" w:cstheme="minorHAnsi"/>
        </w:rPr>
        <w:t xml:space="preserve">a) </w:t>
      </w:r>
      <w:proofErr w:type="gramStart"/>
      <w:r w:rsidRPr="00AF3984">
        <w:rPr>
          <w:rFonts w:asciiTheme="minorHAnsi" w:hAnsiTheme="minorHAnsi" w:cstheme="minorHAnsi"/>
        </w:rPr>
        <w:t>in</w:t>
      </w:r>
      <w:proofErr w:type="gramEnd"/>
      <w:r w:rsidRPr="00AF3984">
        <w:rPr>
          <w:rFonts w:asciiTheme="minorHAnsi" w:hAnsiTheme="minorHAnsi" w:cstheme="minorHAnsi"/>
        </w:rPr>
        <w:t xml:space="preserve"> liquid preparations when sold in the manufacturer’s or</w:t>
      </w:r>
      <w:r>
        <w:rPr>
          <w:rFonts w:asciiTheme="minorHAnsi" w:hAnsiTheme="minorHAnsi" w:cstheme="minorHAnsi"/>
        </w:rPr>
        <w:t xml:space="preserve">iginal pack containing 8 g or </w:t>
      </w:r>
      <w:r w:rsidRPr="00AF3984">
        <w:rPr>
          <w:rFonts w:asciiTheme="minorHAnsi" w:hAnsiTheme="minorHAnsi" w:cstheme="minorHAnsi"/>
        </w:rPr>
        <w:t>less of ibuprofen; or</w:t>
      </w:r>
    </w:p>
    <w:p w14:paraId="39962E83" w14:textId="77777777" w:rsidR="00ED13CF" w:rsidRPr="00AF3984" w:rsidRDefault="00ED13CF" w:rsidP="00ED13CF">
      <w:pPr>
        <w:ind w:left="426"/>
        <w:rPr>
          <w:rFonts w:asciiTheme="minorHAnsi" w:hAnsiTheme="minorHAnsi" w:cstheme="minorHAnsi"/>
        </w:rPr>
      </w:pPr>
      <w:r>
        <w:rPr>
          <w:rFonts w:asciiTheme="minorHAnsi" w:hAnsiTheme="minorHAnsi" w:cstheme="minorHAnsi"/>
        </w:rPr>
        <w:t xml:space="preserve">b) </w:t>
      </w:r>
      <w:proofErr w:type="gramStart"/>
      <w:r w:rsidRPr="00AF3984">
        <w:rPr>
          <w:rFonts w:asciiTheme="minorHAnsi" w:hAnsiTheme="minorHAnsi" w:cstheme="minorHAnsi"/>
        </w:rPr>
        <w:t>in</w:t>
      </w:r>
      <w:proofErr w:type="gramEnd"/>
      <w:r w:rsidRPr="00AF3984">
        <w:rPr>
          <w:rFonts w:asciiTheme="minorHAnsi" w:hAnsiTheme="minorHAnsi" w:cstheme="minorHAnsi"/>
        </w:rPr>
        <w:t xml:space="preserve"> divided preparations, each containing 200 mg or less </w:t>
      </w:r>
      <w:r>
        <w:rPr>
          <w:rFonts w:asciiTheme="minorHAnsi" w:hAnsiTheme="minorHAnsi" w:cstheme="minorHAnsi"/>
        </w:rPr>
        <w:t xml:space="preserve">of ibuprofen, in packs of not </w:t>
      </w:r>
      <w:r w:rsidRPr="00AF3984">
        <w:rPr>
          <w:rFonts w:asciiTheme="minorHAnsi" w:hAnsiTheme="minorHAnsi" w:cstheme="minorHAnsi"/>
        </w:rPr>
        <w:t xml:space="preserve">more than 100 dosage units </w:t>
      </w:r>
      <w:r w:rsidRPr="00AF3984">
        <w:rPr>
          <w:rFonts w:asciiTheme="minorHAnsi" w:hAnsiTheme="minorHAnsi" w:cstheme="minorHAnsi"/>
          <w:b/>
          <w:bCs/>
        </w:rPr>
        <w:t xml:space="preserve">except </w:t>
      </w:r>
      <w:r w:rsidRPr="00AF3984">
        <w:rPr>
          <w:rFonts w:asciiTheme="minorHAnsi" w:hAnsiTheme="minorHAnsi" w:cstheme="minorHAnsi"/>
        </w:rPr>
        <w:t>when:</w:t>
      </w:r>
    </w:p>
    <w:p w14:paraId="51832EA8"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proofErr w:type="spellStart"/>
      <w:r w:rsidRPr="00AF3984">
        <w:rPr>
          <w:rFonts w:asciiTheme="minorHAnsi" w:hAnsiTheme="minorHAnsi" w:cstheme="minorHAnsi"/>
        </w:rPr>
        <w:t>i</w:t>
      </w:r>
      <w:proofErr w:type="spellEnd"/>
      <w:r w:rsidRPr="00AF3984">
        <w:rPr>
          <w:rFonts w:asciiTheme="minorHAnsi" w:hAnsiTheme="minorHAnsi" w:cstheme="minorHAnsi"/>
        </w:rPr>
        <w:t xml:space="preserve">) </w:t>
      </w:r>
      <w:proofErr w:type="gramStart"/>
      <w:r w:rsidRPr="00AF3984">
        <w:rPr>
          <w:rFonts w:asciiTheme="minorHAnsi" w:hAnsiTheme="minorHAnsi" w:cstheme="minorHAnsi"/>
        </w:rPr>
        <w:t>as</w:t>
      </w:r>
      <w:proofErr w:type="gramEnd"/>
      <w:r w:rsidRPr="00AF3984">
        <w:rPr>
          <w:rFonts w:asciiTheme="minorHAnsi" w:hAnsiTheme="minorHAnsi" w:cstheme="minorHAnsi"/>
        </w:rPr>
        <w:t xml:space="preserve"> the only therapeutically active constituent (other than phenylephrine or when </w:t>
      </w:r>
      <w:r>
        <w:rPr>
          <w:rFonts w:asciiTheme="minorHAnsi" w:hAnsiTheme="minorHAnsi" w:cstheme="minorHAnsi"/>
        </w:rPr>
        <w:tab/>
      </w:r>
      <w:r w:rsidRPr="00AF3984">
        <w:rPr>
          <w:rFonts w:asciiTheme="minorHAnsi" w:hAnsiTheme="minorHAnsi" w:cstheme="minorHAnsi"/>
        </w:rPr>
        <w:t>combined with an effervescent agent);</w:t>
      </w:r>
    </w:p>
    <w:p w14:paraId="30A1BF6B"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proofErr w:type="gramStart"/>
      <w:r w:rsidRPr="00AF3984">
        <w:rPr>
          <w:rFonts w:asciiTheme="minorHAnsi" w:hAnsiTheme="minorHAnsi" w:cstheme="minorHAnsi"/>
        </w:rPr>
        <w:t>ii</w:t>
      </w:r>
      <w:proofErr w:type="gramEnd"/>
      <w:r w:rsidRPr="00AF3984">
        <w:rPr>
          <w:rFonts w:asciiTheme="minorHAnsi" w:hAnsiTheme="minorHAnsi" w:cstheme="minorHAnsi"/>
        </w:rPr>
        <w:t>) packed in blister or strip packaging or in a container with a child-resistant closure;</w:t>
      </w:r>
    </w:p>
    <w:p w14:paraId="48394449"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r w:rsidRPr="00AF3984">
        <w:rPr>
          <w:rFonts w:asciiTheme="minorHAnsi" w:hAnsiTheme="minorHAnsi" w:cstheme="minorHAnsi"/>
        </w:rPr>
        <w:t xml:space="preserve">iii) </w:t>
      </w:r>
      <w:proofErr w:type="gramStart"/>
      <w:r w:rsidRPr="00AF3984">
        <w:rPr>
          <w:rFonts w:asciiTheme="minorHAnsi" w:hAnsiTheme="minorHAnsi" w:cstheme="minorHAnsi"/>
        </w:rPr>
        <w:t>in</w:t>
      </w:r>
      <w:proofErr w:type="gramEnd"/>
      <w:r w:rsidRPr="00AF3984">
        <w:rPr>
          <w:rFonts w:asciiTheme="minorHAnsi" w:hAnsiTheme="minorHAnsi" w:cstheme="minorHAnsi"/>
        </w:rPr>
        <w:t xml:space="preserve"> a primary pack containing not more than 25 dosage units;</w:t>
      </w:r>
    </w:p>
    <w:p w14:paraId="57FD8B3F"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r w:rsidRPr="00AF3984">
        <w:rPr>
          <w:rFonts w:asciiTheme="minorHAnsi" w:hAnsiTheme="minorHAnsi" w:cstheme="minorHAnsi"/>
        </w:rPr>
        <w:t xml:space="preserve">iv) </w:t>
      </w:r>
      <w:proofErr w:type="gramStart"/>
      <w:r w:rsidRPr="00AF3984">
        <w:rPr>
          <w:rFonts w:asciiTheme="minorHAnsi" w:hAnsiTheme="minorHAnsi" w:cstheme="minorHAnsi"/>
        </w:rPr>
        <w:t>compliant</w:t>
      </w:r>
      <w:proofErr w:type="gramEnd"/>
      <w:r w:rsidRPr="00AF3984">
        <w:rPr>
          <w:rFonts w:asciiTheme="minorHAnsi" w:hAnsiTheme="minorHAnsi" w:cstheme="minorHAnsi"/>
        </w:rPr>
        <w:t xml:space="preserve"> with the requirements of the Required Advisory Statements for Medicine </w:t>
      </w:r>
      <w:r>
        <w:rPr>
          <w:rFonts w:asciiTheme="minorHAnsi" w:hAnsiTheme="minorHAnsi" w:cstheme="minorHAnsi"/>
        </w:rPr>
        <w:tab/>
      </w:r>
      <w:r w:rsidRPr="00AF3984">
        <w:rPr>
          <w:rFonts w:asciiTheme="minorHAnsi" w:hAnsiTheme="minorHAnsi" w:cstheme="minorHAnsi"/>
        </w:rPr>
        <w:t>Labels;</w:t>
      </w:r>
    </w:p>
    <w:p w14:paraId="34D3CADA"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r w:rsidRPr="00AF3984">
        <w:rPr>
          <w:rFonts w:asciiTheme="minorHAnsi" w:hAnsiTheme="minorHAnsi" w:cstheme="minorHAnsi"/>
        </w:rPr>
        <w:t xml:space="preserve">v) </w:t>
      </w:r>
      <w:proofErr w:type="gramStart"/>
      <w:r w:rsidRPr="00AF3984">
        <w:rPr>
          <w:rFonts w:asciiTheme="minorHAnsi" w:hAnsiTheme="minorHAnsi" w:cstheme="minorHAnsi"/>
        </w:rPr>
        <w:t>not</w:t>
      </w:r>
      <w:proofErr w:type="gramEnd"/>
      <w:r w:rsidRPr="00AF3984">
        <w:rPr>
          <w:rFonts w:asciiTheme="minorHAnsi" w:hAnsiTheme="minorHAnsi" w:cstheme="minorHAnsi"/>
        </w:rPr>
        <w:t xml:space="preserve"> labelled for the treatment of children 6 years of age or less; and</w:t>
      </w:r>
    </w:p>
    <w:p w14:paraId="3C19D44E" w14:textId="77777777" w:rsidR="00ED13CF" w:rsidRPr="00AF3984" w:rsidRDefault="00ED13CF" w:rsidP="00ED13CF">
      <w:pPr>
        <w:ind w:left="426"/>
        <w:rPr>
          <w:rFonts w:asciiTheme="minorHAnsi" w:hAnsiTheme="minorHAnsi" w:cstheme="minorHAnsi"/>
        </w:rPr>
      </w:pPr>
      <w:r>
        <w:rPr>
          <w:rFonts w:asciiTheme="minorHAnsi" w:hAnsiTheme="minorHAnsi" w:cstheme="minorHAnsi"/>
        </w:rPr>
        <w:tab/>
      </w:r>
      <w:r w:rsidRPr="00AF3984">
        <w:rPr>
          <w:rFonts w:asciiTheme="minorHAnsi" w:hAnsiTheme="minorHAnsi" w:cstheme="minorHAnsi"/>
        </w:rPr>
        <w:t xml:space="preserve">vi) </w:t>
      </w:r>
      <w:proofErr w:type="gramStart"/>
      <w:r w:rsidRPr="00AF3984">
        <w:rPr>
          <w:rFonts w:asciiTheme="minorHAnsi" w:hAnsiTheme="minorHAnsi" w:cstheme="minorHAnsi"/>
        </w:rPr>
        <w:t>not</w:t>
      </w:r>
      <w:proofErr w:type="gramEnd"/>
      <w:r w:rsidRPr="00AF3984">
        <w:rPr>
          <w:rFonts w:asciiTheme="minorHAnsi" w:hAnsiTheme="minorHAnsi" w:cstheme="minorHAnsi"/>
        </w:rPr>
        <w:t xml:space="preserve"> labelled for the treatment of children under 12 years of age when combined with </w:t>
      </w:r>
      <w:r>
        <w:rPr>
          <w:rFonts w:asciiTheme="minorHAnsi" w:hAnsiTheme="minorHAnsi" w:cstheme="minorHAnsi"/>
        </w:rPr>
        <w:tab/>
      </w:r>
      <w:r w:rsidRPr="00AF3984">
        <w:rPr>
          <w:rFonts w:asciiTheme="minorHAnsi" w:hAnsiTheme="minorHAnsi" w:cstheme="minorHAnsi"/>
        </w:rPr>
        <w:t>phenylephrine; or</w:t>
      </w:r>
    </w:p>
    <w:p w14:paraId="45F27646" w14:textId="77777777" w:rsidR="00ED13CF" w:rsidRDefault="00ED13CF" w:rsidP="00ED13CF">
      <w:pPr>
        <w:ind w:left="426"/>
        <w:rPr>
          <w:rFonts w:asciiTheme="minorHAnsi" w:hAnsiTheme="minorHAnsi" w:cstheme="minorHAnsi"/>
        </w:rPr>
      </w:pPr>
      <w:r>
        <w:rPr>
          <w:rFonts w:asciiTheme="minorHAnsi" w:hAnsiTheme="minorHAnsi" w:cstheme="minorHAnsi"/>
        </w:rPr>
        <w:t xml:space="preserve">c) </w:t>
      </w:r>
      <w:proofErr w:type="gramStart"/>
      <w:r w:rsidRPr="00AF3984">
        <w:rPr>
          <w:rFonts w:asciiTheme="minorHAnsi" w:hAnsiTheme="minorHAnsi" w:cstheme="minorHAnsi"/>
        </w:rPr>
        <w:t>in</w:t>
      </w:r>
      <w:proofErr w:type="gramEnd"/>
      <w:r w:rsidRPr="00AF3984">
        <w:rPr>
          <w:rFonts w:asciiTheme="minorHAnsi" w:hAnsiTheme="minorHAnsi" w:cstheme="minorHAnsi"/>
        </w:rPr>
        <w:t xml:space="preserve"> divided immediate release preparations, each</w:t>
      </w:r>
      <w:r>
        <w:rPr>
          <w:rFonts w:asciiTheme="minorHAnsi" w:hAnsiTheme="minorHAnsi" w:cstheme="minorHAnsi"/>
        </w:rPr>
        <w:t xml:space="preserve"> containing 400 mg or less of </w:t>
      </w:r>
      <w:r w:rsidRPr="00AF3984">
        <w:rPr>
          <w:rFonts w:asciiTheme="minorHAnsi" w:hAnsiTheme="minorHAnsi" w:cstheme="minorHAnsi"/>
        </w:rPr>
        <w:t>ibuprofen in a primary pack containing not more than 12 dosage units, when labelled not for the treatment of children under 12 years of age.</w:t>
      </w:r>
    </w:p>
    <w:p w14:paraId="01B02F47" w14:textId="77777777" w:rsidR="00ED13CF" w:rsidRPr="005133F7" w:rsidRDefault="00ED13CF" w:rsidP="00ED13CF">
      <w:pPr>
        <w:ind w:left="426"/>
        <w:rPr>
          <w:b/>
        </w:rPr>
      </w:pPr>
      <w:r>
        <w:rPr>
          <w:b/>
        </w:rPr>
        <w:t>Index</w:t>
      </w:r>
    </w:p>
    <w:p w14:paraId="5F127415" w14:textId="77777777" w:rsidR="00ED13CF" w:rsidRPr="005B1925" w:rsidRDefault="00ED13CF" w:rsidP="00ED13CF">
      <w:pPr>
        <w:ind w:left="426"/>
        <w:rPr>
          <w:rFonts w:asciiTheme="minorHAnsi" w:hAnsiTheme="minorHAnsi" w:cstheme="minorHAnsi"/>
          <w:b/>
        </w:rPr>
      </w:pPr>
      <w:r w:rsidRPr="005B1925">
        <w:rPr>
          <w:rFonts w:asciiTheme="minorHAnsi" w:hAnsiTheme="minorHAnsi" w:cstheme="minorHAnsi"/>
          <w:b/>
        </w:rPr>
        <w:t>IBUPROFEN</w:t>
      </w:r>
    </w:p>
    <w:p w14:paraId="61FC39CC" w14:textId="77777777" w:rsidR="00ED13CF" w:rsidRDefault="00ED13CF" w:rsidP="00ED13CF">
      <w:pPr>
        <w:ind w:left="426"/>
        <w:rPr>
          <w:rFonts w:asciiTheme="minorHAnsi" w:hAnsiTheme="minorHAnsi" w:cstheme="minorHAnsi"/>
        </w:rPr>
      </w:pPr>
      <w:r>
        <w:rPr>
          <w:rFonts w:asciiTheme="minorHAnsi" w:hAnsiTheme="minorHAnsi" w:cstheme="minorHAnsi"/>
        </w:rPr>
        <w:t>Schedule 4</w:t>
      </w:r>
      <w:r>
        <w:rPr>
          <w:rFonts w:asciiTheme="minorHAnsi" w:hAnsiTheme="minorHAnsi" w:cstheme="minorHAnsi"/>
        </w:rPr>
        <w:br/>
        <w:t>Schedule 3</w:t>
      </w:r>
      <w:r>
        <w:rPr>
          <w:rFonts w:asciiTheme="minorHAnsi" w:hAnsiTheme="minorHAnsi" w:cstheme="minorHAnsi"/>
        </w:rPr>
        <w:br/>
        <w:t>Schedule 2</w:t>
      </w:r>
      <w:r>
        <w:rPr>
          <w:rFonts w:asciiTheme="minorHAnsi" w:hAnsiTheme="minorHAnsi" w:cstheme="minorHAnsi"/>
        </w:rPr>
        <w:br/>
        <w:t>Appendix F, Part 3</w:t>
      </w:r>
      <w:r>
        <w:rPr>
          <w:rFonts w:asciiTheme="minorHAnsi" w:hAnsiTheme="minorHAnsi" w:cstheme="minorHAnsi"/>
        </w:rPr>
        <w:br/>
        <w:t>Appendix H</w:t>
      </w:r>
    </w:p>
    <w:p w14:paraId="244234BB" w14:textId="77777777" w:rsidR="00ED13CF" w:rsidRPr="005A5EA0" w:rsidRDefault="00ED13CF" w:rsidP="00ED13CF">
      <w:pPr>
        <w:rPr>
          <w:rFonts w:asciiTheme="minorHAnsi" w:hAnsiTheme="minorHAnsi" w:cstheme="minorHAnsi"/>
        </w:rPr>
      </w:pPr>
      <w:r w:rsidRPr="00AF12F6">
        <w:rPr>
          <w:rFonts w:asciiTheme="minorHAnsi" w:hAnsiTheme="minorHAnsi" w:cstheme="minorHAnsi"/>
        </w:rPr>
        <w:t>It is also included under the entry</w:t>
      </w:r>
      <w:r>
        <w:rPr>
          <w:rFonts w:asciiTheme="minorHAnsi" w:hAnsiTheme="minorHAnsi" w:cstheme="minorHAnsi"/>
        </w:rPr>
        <w:t xml:space="preserve"> IBUPROFEN</w:t>
      </w:r>
      <w:r w:rsidRPr="00AF12F6">
        <w:rPr>
          <w:rFonts w:asciiTheme="minorHAnsi" w:hAnsiTheme="minorHAnsi" w:cstheme="minorHAnsi"/>
        </w:rPr>
        <w:t xml:space="preserve"> in Appendix </w:t>
      </w:r>
      <w:r w:rsidRPr="00AF3984">
        <w:rPr>
          <w:rFonts w:asciiTheme="minorHAnsi" w:hAnsiTheme="minorHAnsi" w:cstheme="minorHAnsi"/>
        </w:rPr>
        <w:t>F</w:t>
      </w:r>
      <w:r w:rsidRPr="00AF12F6">
        <w:rPr>
          <w:rFonts w:asciiTheme="minorHAnsi" w:hAnsiTheme="minorHAnsi" w:cstheme="minorHAnsi"/>
        </w:rPr>
        <w:t xml:space="preserve"> </w:t>
      </w:r>
      <w:r>
        <w:rPr>
          <w:rFonts w:asciiTheme="minorHAnsi" w:hAnsiTheme="minorHAnsi" w:cstheme="minorHAnsi"/>
        </w:rPr>
        <w:t>as follows</w:t>
      </w:r>
      <w:r w:rsidRPr="00AF12F6">
        <w:rPr>
          <w:rFonts w:asciiTheme="minorHAnsi" w:hAnsiTheme="minorHAnsi" w:cstheme="minorHAnsi"/>
        </w:rPr>
        <w:t>:</w:t>
      </w:r>
    </w:p>
    <w:p w14:paraId="1AEDB9CF" w14:textId="77777777" w:rsidR="00ED13CF" w:rsidRPr="006D5C84" w:rsidRDefault="00ED13CF" w:rsidP="00ED13CF">
      <w:pPr>
        <w:ind w:left="426"/>
        <w:rPr>
          <w:b/>
        </w:rPr>
      </w:pPr>
      <w:r w:rsidRPr="006D5C84">
        <w:rPr>
          <w:b/>
        </w:rPr>
        <w:t>Schedule F, Part 3</w:t>
      </w:r>
    </w:p>
    <w:p w14:paraId="2CFE05CE" w14:textId="77777777" w:rsidR="00ED13CF" w:rsidRDefault="00ED13CF" w:rsidP="00ED13CF">
      <w:pPr>
        <w:ind w:left="426"/>
      </w:pPr>
      <w:r>
        <w:t xml:space="preserve">Warning Statements: </w:t>
      </w:r>
    </w:p>
    <w:p w14:paraId="28316DE1" w14:textId="77777777" w:rsidR="00ED13CF" w:rsidRPr="005A5EA0" w:rsidRDefault="00ED13CF" w:rsidP="00ED13CF">
      <w:pPr>
        <w:ind w:left="426"/>
      </w:pPr>
      <w:r>
        <w:t xml:space="preserve">101. </w:t>
      </w:r>
      <w:r w:rsidRPr="005A5EA0">
        <w:t>Don’t use [</w:t>
      </w:r>
      <w:r w:rsidRPr="005A5EA0">
        <w:rPr>
          <w:i/>
          <w:iCs/>
        </w:rPr>
        <w:t>this product/name of the product</w:t>
      </w:r>
      <w:r w:rsidRPr="005A5EA0">
        <w:t xml:space="preserve">]: </w:t>
      </w:r>
    </w:p>
    <w:p w14:paraId="0B511381" w14:textId="77777777" w:rsidR="00ED13CF" w:rsidRPr="005A5EA0" w:rsidRDefault="00ED13CF" w:rsidP="00ED13CF">
      <w:pPr>
        <w:ind w:left="426"/>
      </w:pPr>
      <w:r>
        <w:tab/>
      </w:r>
      <w:r w:rsidRPr="005A5EA0">
        <w:t>If you have a stomach ulcer.</w:t>
      </w:r>
    </w:p>
    <w:p w14:paraId="4065E945" w14:textId="77777777" w:rsidR="00ED13CF" w:rsidRPr="005A5EA0" w:rsidRDefault="00ED13CF" w:rsidP="00ED13CF">
      <w:pPr>
        <w:ind w:left="426"/>
      </w:pPr>
      <w:r>
        <w:tab/>
      </w:r>
      <w:r w:rsidRPr="005A5EA0">
        <w:t>In the last 3 months of pregnancy. [</w:t>
      </w:r>
      <w:r w:rsidRPr="005A5EA0">
        <w:rPr>
          <w:i/>
          <w:iCs/>
        </w:rPr>
        <w:t xml:space="preserve">This statement </w:t>
      </w:r>
      <w:proofErr w:type="gramStart"/>
      <w:r w:rsidRPr="005A5EA0">
        <w:rPr>
          <w:i/>
          <w:iCs/>
        </w:rPr>
        <w:t>may be omitted</w:t>
      </w:r>
      <w:proofErr w:type="gramEnd"/>
      <w:r w:rsidRPr="005A5EA0">
        <w:rPr>
          <w:i/>
          <w:iCs/>
        </w:rPr>
        <w:t xml:space="preserve"> in preparations used </w:t>
      </w:r>
      <w:r>
        <w:rPr>
          <w:i/>
          <w:iCs/>
        </w:rPr>
        <w:tab/>
      </w:r>
      <w:r w:rsidRPr="005A5EA0">
        <w:rPr>
          <w:i/>
          <w:iCs/>
        </w:rPr>
        <w:t>exclusively for the treatment of dysmenorrhoea.</w:t>
      </w:r>
      <w:r w:rsidRPr="005A5EA0">
        <w:t>]</w:t>
      </w:r>
    </w:p>
    <w:p w14:paraId="0832320B" w14:textId="1E923BAA" w:rsidR="00ED13CF" w:rsidRPr="005A5EA0" w:rsidRDefault="00ED13CF" w:rsidP="00ED13CF">
      <w:pPr>
        <w:ind w:left="426"/>
      </w:pPr>
      <w:r>
        <w:tab/>
      </w:r>
      <w:r w:rsidRPr="005A5EA0">
        <w:t xml:space="preserve">If you are allergic to (name of substance) </w:t>
      </w:r>
      <w:r w:rsidR="005B1925">
        <w:t>or anti-inflammatory medicines.</w:t>
      </w:r>
    </w:p>
    <w:p w14:paraId="08B67FE1" w14:textId="77777777" w:rsidR="00ED13CF" w:rsidRPr="005A5EA0" w:rsidRDefault="00ED13CF" w:rsidP="00ED13CF">
      <w:pPr>
        <w:ind w:left="426"/>
      </w:pPr>
      <w:r w:rsidRPr="005A5EA0">
        <w:t>104.</w:t>
      </w:r>
      <w:r>
        <w:t xml:space="preserve"> </w:t>
      </w:r>
      <w:r w:rsidRPr="005A5EA0">
        <w:t xml:space="preserve">Unless a doctor has told you to, </w:t>
      </w:r>
      <w:proofErr w:type="gramStart"/>
      <w:r w:rsidRPr="005A5EA0">
        <w:t>don’t</w:t>
      </w:r>
      <w:proofErr w:type="gramEnd"/>
      <w:r w:rsidRPr="005A5EA0">
        <w:t xml:space="preserve"> use [</w:t>
      </w:r>
      <w:r w:rsidRPr="005A5EA0">
        <w:rPr>
          <w:i/>
          <w:iCs/>
        </w:rPr>
        <w:t>this product/name of the product</w:t>
      </w:r>
      <w:r w:rsidRPr="005A5EA0">
        <w:t>]:</w:t>
      </w:r>
    </w:p>
    <w:p w14:paraId="5C5490D6" w14:textId="77777777" w:rsidR="00ED13CF" w:rsidRPr="005A5EA0" w:rsidRDefault="00ED13CF" w:rsidP="00ED13CF">
      <w:pPr>
        <w:ind w:left="426"/>
      </w:pPr>
      <w:r>
        <w:tab/>
      </w:r>
      <w:r w:rsidRPr="005A5EA0">
        <w:t>For more than a few days at a time.</w:t>
      </w:r>
    </w:p>
    <w:p w14:paraId="33454121" w14:textId="77777777" w:rsidR="00ED13CF" w:rsidRPr="005A5EA0" w:rsidRDefault="00ED13CF" w:rsidP="00ED13CF">
      <w:pPr>
        <w:ind w:left="426"/>
      </w:pPr>
      <w:r>
        <w:tab/>
      </w:r>
      <w:r w:rsidRPr="005A5EA0">
        <w:t xml:space="preserve">With other medicines containing (name of substance) or other anti-inflammatory </w:t>
      </w:r>
      <w:r>
        <w:tab/>
      </w:r>
      <w:r w:rsidRPr="005A5EA0">
        <w:t>medicines.</w:t>
      </w:r>
    </w:p>
    <w:p w14:paraId="02E04B3C" w14:textId="77777777" w:rsidR="00ED13CF" w:rsidRPr="005A5EA0" w:rsidRDefault="00ED13CF" w:rsidP="00ED13CF">
      <w:pPr>
        <w:ind w:left="426"/>
      </w:pPr>
      <w:r>
        <w:lastRenderedPageBreak/>
        <w:tab/>
      </w:r>
      <w:r w:rsidRPr="005A5EA0">
        <w:t>If you have asthma.</w:t>
      </w:r>
    </w:p>
    <w:p w14:paraId="71B2F1C5" w14:textId="77777777" w:rsidR="00ED13CF" w:rsidRPr="00B71F33" w:rsidRDefault="00ED13CF" w:rsidP="00ED13CF">
      <w:pPr>
        <w:ind w:left="426"/>
      </w:pPr>
      <w:r>
        <w:tab/>
      </w:r>
      <w:r w:rsidRPr="005A5EA0">
        <w:t>If you are pregnant. [</w:t>
      </w:r>
      <w:r w:rsidRPr="005A5EA0">
        <w:rPr>
          <w:i/>
          <w:iCs/>
        </w:rPr>
        <w:t xml:space="preserve">This statement </w:t>
      </w:r>
      <w:proofErr w:type="gramStart"/>
      <w:r w:rsidRPr="005A5EA0">
        <w:rPr>
          <w:i/>
          <w:iCs/>
        </w:rPr>
        <w:t>may be omitted</w:t>
      </w:r>
      <w:proofErr w:type="gramEnd"/>
      <w:r w:rsidRPr="005A5EA0">
        <w:rPr>
          <w:i/>
          <w:iCs/>
        </w:rPr>
        <w:t xml:space="preserve"> in preparations used exclusively for </w:t>
      </w:r>
      <w:r>
        <w:rPr>
          <w:i/>
          <w:iCs/>
        </w:rPr>
        <w:tab/>
      </w:r>
      <w:r w:rsidRPr="005A5EA0">
        <w:rPr>
          <w:i/>
          <w:iCs/>
        </w:rPr>
        <w:t>the treatment of dysmenorrhoea</w:t>
      </w:r>
      <w:r w:rsidRPr="005A5EA0">
        <w:t>.]</w:t>
      </w:r>
    </w:p>
    <w:p w14:paraId="78F1FC84" w14:textId="77777777" w:rsidR="00ED13CF" w:rsidRDefault="00ED13CF" w:rsidP="00ED13CF">
      <w:pPr>
        <w:pStyle w:val="Heading4"/>
      </w:pPr>
      <w:bookmarkStart w:id="36" w:name="_Toc70495047"/>
      <w:r>
        <w:t>Proposed scheduling</w:t>
      </w:r>
      <w:bookmarkEnd w:id="36"/>
    </w:p>
    <w:p w14:paraId="76713EB9" w14:textId="77777777" w:rsidR="00ED13CF" w:rsidRPr="00CD40FB" w:rsidRDefault="00ED13CF" w:rsidP="00ED13CF">
      <w:pPr>
        <w:ind w:left="426"/>
        <w:rPr>
          <w:b/>
        </w:rPr>
      </w:pPr>
      <w:r w:rsidRPr="00CD40FB">
        <w:rPr>
          <w:b/>
        </w:rPr>
        <w:t xml:space="preserve">Schedule </w:t>
      </w:r>
      <w:proofErr w:type="gramStart"/>
      <w:r w:rsidRPr="00AF3984">
        <w:rPr>
          <w:b/>
        </w:rPr>
        <w:t>2</w:t>
      </w:r>
      <w:proofErr w:type="gramEnd"/>
      <w:r w:rsidRPr="00AF3984">
        <w:rPr>
          <w:b/>
        </w:rPr>
        <w:t xml:space="preserve"> – </w:t>
      </w:r>
      <w:r>
        <w:rPr>
          <w:b/>
        </w:rPr>
        <w:t>Amend</w:t>
      </w:r>
      <w:r w:rsidRPr="00AF3984">
        <w:rPr>
          <w:b/>
        </w:rPr>
        <w:t xml:space="preserve"> Entry</w:t>
      </w:r>
    </w:p>
    <w:p w14:paraId="71803943" w14:textId="77777777" w:rsidR="00ED13CF" w:rsidRPr="001E742C" w:rsidRDefault="00ED13CF" w:rsidP="00ED13CF">
      <w:pPr>
        <w:ind w:left="426"/>
        <w:rPr>
          <w:rFonts w:asciiTheme="minorHAnsi" w:hAnsiTheme="minorHAnsi" w:cstheme="minorHAnsi"/>
        </w:rPr>
      </w:pPr>
      <w:r w:rsidRPr="001E742C">
        <w:rPr>
          <w:rFonts w:asciiTheme="minorHAnsi" w:hAnsiTheme="minorHAnsi" w:cstheme="minorHAnsi"/>
        </w:rPr>
        <w:t xml:space="preserve">IBUPROFEN in preparations for oral use when labelled with a recommended daily dose of 1200 mg or less of ibuprofen: </w:t>
      </w:r>
    </w:p>
    <w:p w14:paraId="5F21BB7F" w14:textId="77777777" w:rsidR="00ED13CF" w:rsidRPr="001E742C" w:rsidRDefault="00ED13CF" w:rsidP="00ED13CF">
      <w:pPr>
        <w:ind w:left="426"/>
        <w:rPr>
          <w:rFonts w:asciiTheme="minorHAnsi" w:hAnsiTheme="minorHAnsi" w:cstheme="minorHAnsi"/>
        </w:rPr>
      </w:pPr>
      <w:r w:rsidRPr="001E742C">
        <w:rPr>
          <w:rFonts w:asciiTheme="minorHAnsi" w:hAnsiTheme="minorHAnsi" w:cstheme="minorHAnsi"/>
        </w:rPr>
        <w:t xml:space="preserve">a) </w:t>
      </w:r>
      <w:proofErr w:type="gramStart"/>
      <w:r w:rsidRPr="001E742C">
        <w:rPr>
          <w:rFonts w:asciiTheme="minorHAnsi" w:hAnsiTheme="minorHAnsi" w:cstheme="minorHAnsi"/>
        </w:rPr>
        <w:t>in</w:t>
      </w:r>
      <w:proofErr w:type="gramEnd"/>
      <w:r w:rsidRPr="001E742C">
        <w:rPr>
          <w:rFonts w:asciiTheme="minorHAnsi" w:hAnsiTheme="minorHAnsi" w:cstheme="minorHAnsi"/>
        </w:rPr>
        <w:t xml:space="preserve"> liquid preparations when sold in the manufacturer’s original pack containing 8 g or less of ibuprofen; or </w:t>
      </w:r>
    </w:p>
    <w:p w14:paraId="2C22D03A" w14:textId="77777777" w:rsidR="00ED13CF" w:rsidRDefault="00ED13CF" w:rsidP="00ED13CF">
      <w:pPr>
        <w:ind w:left="426"/>
        <w:rPr>
          <w:rFonts w:asciiTheme="minorHAnsi" w:hAnsiTheme="minorHAnsi" w:cstheme="minorHAnsi"/>
        </w:rPr>
      </w:pPr>
      <w:r w:rsidRPr="001E742C">
        <w:rPr>
          <w:rFonts w:asciiTheme="minorHAnsi" w:hAnsiTheme="minorHAnsi" w:cstheme="minorHAnsi"/>
        </w:rPr>
        <w:t xml:space="preserve">b) </w:t>
      </w:r>
      <w:proofErr w:type="gramStart"/>
      <w:r w:rsidRPr="001E742C">
        <w:rPr>
          <w:rFonts w:asciiTheme="minorHAnsi" w:hAnsiTheme="minorHAnsi" w:cstheme="minorHAnsi"/>
        </w:rPr>
        <w:t>in</w:t>
      </w:r>
      <w:proofErr w:type="gramEnd"/>
      <w:r w:rsidRPr="001E742C">
        <w:rPr>
          <w:rFonts w:asciiTheme="minorHAnsi" w:hAnsiTheme="minorHAnsi" w:cstheme="minorHAnsi"/>
        </w:rPr>
        <w:t xml:space="preserve"> divided preparations, each containing 200 mg or less of ibuprofen, in packs of not more than 100 dosage units </w:t>
      </w:r>
      <w:r w:rsidRPr="001E742C">
        <w:rPr>
          <w:rFonts w:asciiTheme="minorHAnsi" w:hAnsiTheme="minorHAnsi" w:cstheme="minorHAnsi"/>
          <w:b/>
          <w:bCs/>
        </w:rPr>
        <w:t xml:space="preserve">except </w:t>
      </w:r>
      <w:r w:rsidRPr="001E742C">
        <w:rPr>
          <w:rFonts w:asciiTheme="minorHAnsi" w:hAnsiTheme="minorHAnsi" w:cstheme="minorHAnsi"/>
        </w:rPr>
        <w:t xml:space="preserve">when: </w:t>
      </w:r>
    </w:p>
    <w:p w14:paraId="4E9B19C9"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proofErr w:type="spellStart"/>
      <w:r w:rsidRPr="001E742C">
        <w:rPr>
          <w:rFonts w:asciiTheme="minorHAnsi" w:hAnsiTheme="minorHAnsi" w:cstheme="minorHAnsi"/>
        </w:rPr>
        <w:t>i</w:t>
      </w:r>
      <w:proofErr w:type="spellEnd"/>
      <w:r w:rsidRPr="001E742C">
        <w:rPr>
          <w:rFonts w:asciiTheme="minorHAnsi" w:hAnsiTheme="minorHAnsi" w:cstheme="minorHAnsi"/>
        </w:rPr>
        <w:t xml:space="preserve">) </w:t>
      </w:r>
      <w:proofErr w:type="gramStart"/>
      <w:r w:rsidRPr="001E742C">
        <w:rPr>
          <w:rFonts w:asciiTheme="minorHAnsi" w:hAnsiTheme="minorHAnsi" w:cstheme="minorHAnsi"/>
        </w:rPr>
        <w:t>as</w:t>
      </w:r>
      <w:proofErr w:type="gramEnd"/>
      <w:r w:rsidRPr="001E742C">
        <w:rPr>
          <w:rFonts w:asciiTheme="minorHAnsi" w:hAnsiTheme="minorHAnsi" w:cstheme="minorHAnsi"/>
        </w:rPr>
        <w:t xml:space="preserve"> the only therapeutically active constituent (other than phenylephrine or when </w:t>
      </w:r>
      <w:r>
        <w:rPr>
          <w:rFonts w:asciiTheme="minorHAnsi" w:hAnsiTheme="minorHAnsi" w:cstheme="minorHAnsi"/>
        </w:rPr>
        <w:tab/>
      </w:r>
      <w:r w:rsidRPr="001E742C">
        <w:rPr>
          <w:rFonts w:asciiTheme="minorHAnsi" w:hAnsiTheme="minorHAnsi" w:cstheme="minorHAnsi"/>
        </w:rPr>
        <w:t xml:space="preserve">combined with an effervescent agent); </w:t>
      </w:r>
    </w:p>
    <w:p w14:paraId="2F391042"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proofErr w:type="gramStart"/>
      <w:r w:rsidRPr="001E742C">
        <w:rPr>
          <w:rFonts w:asciiTheme="minorHAnsi" w:hAnsiTheme="minorHAnsi" w:cstheme="minorHAnsi"/>
        </w:rPr>
        <w:t>ii</w:t>
      </w:r>
      <w:proofErr w:type="gramEnd"/>
      <w:r w:rsidRPr="001E742C">
        <w:rPr>
          <w:rFonts w:asciiTheme="minorHAnsi" w:hAnsiTheme="minorHAnsi" w:cstheme="minorHAnsi"/>
        </w:rPr>
        <w:t xml:space="preserve">) packed in blister or strip packaging or in a container with a child-resistant closure; </w:t>
      </w:r>
    </w:p>
    <w:p w14:paraId="3B317E75"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r w:rsidRPr="001E742C">
        <w:rPr>
          <w:rFonts w:asciiTheme="minorHAnsi" w:hAnsiTheme="minorHAnsi" w:cstheme="minorHAnsi"/>
        </w:rPr>
        <w:t xml:space="preserve">iii) </w:t>
      </w:r>
      <w:proofErr w:type="gramStart"/>
      <w:r w:rsidRPr="001E742C">
        <w:rPr>
          <w:rFonts w:asciiTheme="minorHAnsi" w:hAnsiTheme="minorHAnsi" w:cstheme="minorHAnsi"/>
        </w:rPr>
        <w:t>in</w:t>
      </w:r>
      <w:proofErr w:type="gramEnd"/>
      <w:r w:rsidRPr="001E742C">
        <w:rPr>
          <w:rFonts w:asciiTheme="minorHAnsi" w:hAnsiTheme="minorHAnsi" w:cstheme="minorHAnsi"/>
        </w:rPr>
        <w:t xml:space="preserve"> a primary pack containing not more than 25 dosage units; </w:t>
      </w:r>
    </w:p>
    <w:p w14:paraId="74CD171B"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r w:rsidRPr="001E742C">
        <w:rPr>
          <w:rFonts w:asciiTheme="minorHAnsi" w:hAnsiTheme="minorHAnsi" w:cstheme="minorHAnsi"/>
        </w:rPr>
        <w:t xml:space="preserve">iv) </w:t>
      </w:r>
      <w:proofErr w:type="gramStart"/>
      <w:r w:rsidRPr="001E742C">
        <w:rPr>
          <w:rFonts w:asciiTheme="minorHAnsi" w:hAnsiTheme="minorHAnsi" w:cstheme="minorHAnsi"/>
        </w:rPr>
        <w:t>compliant</w:t>
      </w:r>
      <w:proofErr w:type="gramEnd"/>
      <w:r w:rsidRPr="001E742C">
        <w:rPr>
          <w:rFonts w:asciiTheme="minorHAnsi" w:hAnsiTheme="minorHAnsi" w:cstheme="minorHAnsi"/>
        </w:rPr>
        <w:t xml:space="preserve"> with the requirements of the Required Advisory Statements for Medicine </w:t>
      </w:r>
      <w:r>
        <w:rPr>
          <w:rFonts w:asciiTheme="minorHAnsi" w:hAnsiTheme="minorHAnsi" w:cstheme="minorHAnsi"/>
        </w:rPr>
        <w:tab/>
      </w:r>
      <w:r w:rsidRPr="001E742C">
        <w:rPr>
          <w:rFonts w:asciiTheme="minorHAnsi" w:hAnsiTheme="minorHAnsi" w:cstheme="minorHAnsi"/>
        </w:rPr>
        <w:t xml:space="preserve">Labels; </w:t>
      </w:r>
    </w:p>
    <w:p w14:paraId="7AFC6762"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r w:rsidRPr="001E742C">
        <w:rPr>
          <w:rFonts w:asciiTheme="minorHAnsi" w:hAnsiTheme="minorHAnsi" w:cstheme="minorHAnsi"/>
        </w:rPr>
        <w:t xml:space="preserve">v) </w:t>
      </w:r>
      <w:proofErr w:type="gramStart"/>
      <w:r w:rsidRPr="001E742C">
        <w:rPr>
          <w:rFonts w:asciiTheme="minorHAnsi" w:hAnsiTheme="minorHAnsi" w:cstheme="minorHAnsi"/>
        </w:rPr>
        <w:t>not</w:t>
      </w:r>
      <w:proofErr w:type="gramEnd"/>
      <w:r w:rsidRPr="001E742C">
        <w:rPr>
          <w:rFonts w:asciiTheme="minorHAnsi" w:hAnsiTheme="minorHAnsi" w:cstheme="minorHAnsi"/>
        </w:rPr>
        <w:t xml:space="preserve"> labelled for the treatment of children 6 years of age or less; and </w:t>
      </w:r>
    </w:p>
    <w:p w14:paraId="40170F1E" w14:textId="77777777" w:rsidR="00ED13CF" w:rsidRPr="001E742C" w:rsidRDefault="00ED13CF" w:rsidP="00ED13CF">
      <w:pPr>
        <w:ind w:left="426"/>
        <w:rPr>
          <w:rFonts w:asciiTheme="minorHAnsi" w:hAnsiTheme="minorHAnsi" w:cstheme="minorHAnsi"/>
        </w:rPr>
      </w:pPr>
      <w:r>
        <w:rPr>
          <w:rFonts w:asciiTheme="minorHAnsi" w:hAnsiTheme="minorHAnsi" w:cstheme="minorHAnsi"/>
        </w:rPr>
        <w:tab/>
      </w:r>
      <w:r w:rsidRPr="001E742C">
        <w:rPr>
          <w:rFonts w:asciiTheme="minorHAnsi" w:hAnsiTheme="minorHAnsi" w:cstheme="minorHAnsi"/>
        </w:rPr>
        <w:t xml:space="preserve">vi) </w:t>
      </w:r>
      <w:proofErr w:type="gramStart"/>
      <w:r w:rsidRPr="001E742C">
        <w:rPr>
          <w:rFonts w:asciiTheme="minorHAnsi" w:hAnsiTheme="minorHAnsi" w:cstheme="minorHAnsi"/>
        </w:rPr>
        <w:t>not</w:t>
      </w:r>
      <w:proofErr w:type="gramEnd"/>
      <w:r w:rsidRPr="001E742C">
        <w:rPr>
          <w:rFonts w:asciiTheme="minorHAnsi" w:hAnsiTheme="minorHAnsi" w:cstheme="minorHAnsi"/>
        </w:rPr>
        <w:t xml:space="preserve"> labelled for the treatment of children under 12 years of age when combined with </w:t>
      </w:r>
      <w:r>
        <w:rPr>
          <w:rFonts w:asciiTheme="minorHAnsi" w:hAnsiTheme="minorHAnsi" w:cstheme="minorHAnsi"/>
        </w:rPr>
        <w:tab/>
      </w:r>
      <w:r w:rsidRPr="001E742C">
        <w:rPr>
          <w:rFonts w:asciiTheme="minorHAnsi" w:hAnsiTheme="minorHAnsi" w:cstheme="minorHAnsi"/>
        </w:rPr>
        <w:t xml:space="preserve">phenylephrine. </w:t>
      </w:r>
    </w:p>
    <w:p w14:paraId="4FABB6C2" w14:textId="77777777" w:rsidR="00ED13CF" w:rsidRPr="001E742C" w:rsidRDefault="00ED13CF" w:rsidP="00ED13CF">
      <w:pPr>
        <w:ind w:left="426"/>
        <w:rPr>
          <w:rFonts w:asciiTheme="minorHAnsi" w:hAnsiTheme="minorHAnsi" w:cstheme="minorHAnsi"/>
        </w:rPr>
      </w:pPr>
      <w:r w:rsidRPr="001E742C">
        <w:rPr>
          <w:rFonts w:asciiTheme="minorHAnsi" w:hAnsiTheme="minorHAnsi" w:cstheme="minorHAnsi"/>
        </w:rPr>
        <w:t xml:space="preserve">c) </w:t>
      </w:r>
      <w:proofErr w:type="gramStart"/>
      <w:r w:rsidRPr="001E742C">
        <w:rPr>
          <w:rFonts w:asciiTheme="minorHAnsi" w:hAnsiTheme="minorHAnsi" w:cstheme="minorHAnsi"/>
        </w:rPr>
        <w:t>in</w:t>
      </w:r>
      <w:proofErr w:type="gramEnd"/>
      <w:r w:rsidRPr="001E742C">
        <w:rPr>
          <w:rFonts w:asciiTheme="minorHAnsi" w:hAnsiTheme="minorHAnsi" w:cstheme="minorHAnsi"/>
        </w:rPr>
        <w:t xml:space="preserve"> divided immediate release preparations, each containing 400 mg or less of ibuprofen in a primary pack containing not more than 12 dosage units, when labelled not for the treatment of children under 12 years of age.</w:t>
      </w:r>
    </w:p>
    <w:p w14:paraId="098F078C" w14:textId="77777777" w:rsidR="00ED13CF" w:rsidRPr="00531DA4" w:rsidRDefault="00ED13CF" w:rsidP="00ED13CF">
      <w:pPr>
        <w:ind w:left="426"/>
        <w:rPr>
          <w:rFonts w:asciiTheme="minorHAnsi" w:hAnsiTheme="minorHAnsi" w:cstheme="minorHAnsi"/>
          <w:color w:val="00B050"/>
        </w:rPr>
      </w:pPr>
      <w:r w:rsidRPr="00531DA4">
        <w:rPr>
          <w:rFonts w:asciiTheme="minorHAnsi" w:hAnsiTheme="minorHAnsi" w:cstheme="minorHAnsi"/>
          <w:color w:val="00B050"/>
        </w:rPr>
        <w:t xml:space="preserve">d) </w:t>
      </w:r>
      <w:proofErr w:type="gramStart"/>
      <w:r w:rsidRPr="00531DA4">
        <w:rPr>
          <w:rFonts w:asciiTheme="minorHAnsi" w:hAnsiTheme="minorHAnsi" w:cstheme="minorHAnsi"/>
          <w:color w:val="00B050"/>
        </w:rPr>
        <w:t>in</w:t>
      </w:r>
      <w:proofErr w:type="gramEnd"/>
      <w:r w:rsidRPr="00531DA4">
        <w:rPr>
          <w:rFonts w:asciiTheme="minorHAnsi" w:hAnsiTheme="minorHAnsi" w:cstheme="minorHAnsi"/>
          <w:color w:val="00B050"/>
        </w:rPr>
        <w:t xml:space="preserve"> a modified release dosage form, each containing 600 mg of ibuprofen in a primary pack containing not more than 16 dosage units, when labelled not for the treatment of children under 12 years of age. </w:t>
      </w:r>
    </w:p>
    <w:p w14:paraId="4F213BE2" w14:textId="77777777" w:rsidR="00ED13CF" w:rsidRDefault="00ED13CF" w:rsidP="00ED13CF">
      <w:pPr>
        <w:pStyle w:val="Heading4"/>
      </w:pPr>
      <w:bookmarkStart w:id="37" w:name="_Toc70495048"/>
      <w:r>
        <w:t>Key uses / expected use</w:t>
      </w:r>
      <w:bookmarkEnd w:id="37"/>
    </w:p>
    <w:p w14:paraId="49032584" w14:textId="77777777" w:rsidR="00ED13CF" w:rsidRDefault="00ED13CF" w:rsidP="00ED13CF">
      <w:r w:rsidRPr="001E742C">
        <w:t>Medicines</w:t>
      </w:r>
    </w:p>
    <w:p w14:paraId="18C31FAF" w14:textId="4D1A69FB" w:rsidR="00ED13CF" w:rsidRDefault="00C55683" w:rsidP="00ED13CF">
      <w:pPr>
        <w:pStyle w:val="Heading4"/>
      </w:pPr>
      <w:bookmarkStart w:id="38" w:name="_Toc70495049"/>
      <w:r>
        <w:t>S</w:t>
      </w:r>
      <w:r w:rsidR="00ED13CF">
        <w:t xml:space="preserve">ummary </w:t>
      </w:r>
      <w:r>
        <w:t>of applicant’s</w:t>
      </w:r>
      <w:r w:rsidR="00ED13CF">
        <w:t xml:space="preserve"> reasons for proposal</w:t>
      </w:r>
      <w:bookmarkEnd w:id="38"/>
    </w:p>
    <w:p w14:paraId="10A3312D" w14:textId="77777777" w:rsidR="00ED13CF" w:rsidRPr="00572F4B" w:rsidRDefault="00ED13CF" w:rsidP="00C55683">
      <w:pPr>
        <w:pStyle w:val="ListBullet"/>
      </w:pPr>
      <w:r w:rsidRPr="00572F4B">
        <w:t xml:space="preserve">Ibuprofen is a non-steroidal anti-inflammatory drug (NSAID) used as an analgesic, antipyretic, and anti-inflammatory. It decreases synthesis of pain- and inflammation-promoting prostaglandins via non-selective inhibition of both </w:t>
      </w:r>
      <w:proofErr w:type="spellStart"/>
      <w:r w:rsidRPr="00572F4B">
        <w:t>cyclo</w:t>
      </w:r>
      <w:proofErr w:type="spellEnd"/>
      <w:r w:rsidRPr="00572F4B">
        <w:t xml:space="preserve">-oxygenase (COX), COX-1 and COX-2 enzymes. It has been extensively studied, and its efficacy and safety profile in humans following oral administration is </w:t>
      </w:r>
      <w:proofErr w:type="gramStart"/>
      <w:r w:rsidRPr="00572F4B">
        <w:t>well-established</w:t>
      </w:r>
      <w:proofErr w:type="gramEnd"/>
      <w:r w:rsidRPr="00572F4B">
        <w:t xml:space="preserve">. </w:t>
      </w:r>
    </w:p>
    <w:p w14:paraId="5FA25274" w14:textId="77777777" w:rsidR="00ED13CF" w:rsidRPr="00572F4B" w:rsidRDefault="00ED13CF" w:rsidP="00C55683">
      <w:pPr>
        <w:pStyle w:val="ListBullet"/>
      </w:pPr>
      <w:r w:rsidRPr="00572F4B">
        <w:t xml:space="preserve">The approved indications for non-prescription modified release 600 mg ibuprofen available in Australia are the same as those approved for standard, immediate release non-prescription 200 </w:t>
      </w:r>
      <w:proofErr w:type="gramStart"/>
      <w:r w:rsidRPr="00572F4B">
        <w:t>mg and 400 mg ibuprofen sol</w:t>
      </w:r>
      <w:r>
        <w:t>id dose preparations</w:t>
      </w:r>
      <w:proofErr w:type="gramEnd"/>
      <w:r>
        <w:t xml:space="preserve"> and other S</w:t>
      </w:r>
      <w:r w:rsidRPr="00572F4B">
        <w:t xml:space="preserve">chedule 2 analgesics such as naproxen and ibuprofen/paracetamol combination formulations. Such </w:t>
      </w:r>
      <w:r w:rsidRPr="00572F4B">
        <w:lastRenderedPageBreak/>
        <w:t xml:space="preserve">preparations </w:t>
      </w:r>
      <w:proofErr w:type="gramStart"/>
      <w:r w:rsidRPr="00572F4B">
        <w:t>are approved</w:t>
      </w:r>
      <w:proofErr w:type="gramEnd"/>
      <w:r w:rsidRPr="00572F4B">
        <w:t xml:space="preserve"> for providing temporary relief of pain from mild conditions including body pain, back pain, neck and shoulder pain, muscle pain, sprains and strains, osteoarthritis, arthritic, joint and rheumatic conditions, period pain, dental pain, sinus pain, cold and flu. </w:t>
      </w:r>
    </w:p>
    <w:p w14:paraId="71421470" w14:textId="77777777" w:rsidR="00ED13CF" w:rsidRPr="00572F4B" w:rsidRDefault="00ED13CF" w:rsidP="00C55683">
      <w:pPr>
        <w:pStyle w:val="ListBullet"/>
      </w:pPr>
      <w:r w:rsidRPr="00572F4B">
        <w:t xml:space="preserve">These conditions </w:t>
      </w:r>
      <w:proofErr w:type="gramStart"/>
      <w:r w:rsidRPr="00572F4B">
        <w:t>are accepted</w:t>
      </w:r>
      <w:proofErr w:type="gramEnd"/>
      <w:r w:rsidRPr="00572F4B">
        <w:t xml:space="preserve"> as being able to be self-identified and self-managed by the consumer, without need for medical intervention. The only significant differentiating feature is the duration of action, with modified release 600 mg ibuprofen providing extended relief so is suitable and approved in situations where pain is likely to last more than 6 hours. The approved indications for non-prescription 600 mg modified release ibuprofen </w:t>
      </w:r>
      <w:r w:rsidRPr="00572F4B">
        <w:rPr>
          <w:b/>
          <w:bCs/>
        </w:rPr>
        <w:t xml:space="preserve">do not </w:t>
      </w:r>
      <w:r w:rsidRPr="00572F4B">
        <w:t xml:space="preserve">extend to chronic pain states. </w:t>
      </w:r>
    </w:p>
    <w:p w14:paraId="0F1706E6" w14:textId="77777777" w:rsidR="00ED13CF" w:rsidRPr="00572F4B" w:rsidRDefault="00ED13CF" w:rsidP="00C55683">
      <w:pPr>
        <w:pStyle w:val="ListBullet"/>
      </w:pPr>
      <w:r w:rsidRPr="00572F4B">
        <w:t xml:space="preserve">The currently available 600 mg ibuprofen modified release formulation is bioequivalent to ibuprofen 200 mg immediate release tablets and has an equivalent safety profile, with both products having the same warning and precaution statements and an identical maximum daily dose of 1200 mg. </w:t>
      </w:r>
    </w:p>
    <w:p w14:paraId="017062ED" w14:textId="77777777" w:rsidR="00ED13CF" w:rsidRPr="00572F4B" w:rsidRDefault="00ED13CF" w:rsidP="00C55683">
      <w:pPr>
        <w:pStyle w:val="ListBullet"/>
      </w:pPr>
      <w:r w:rsidRPr="00572F4B">
        <w:t xml:space="preserve">Given there is no material difference in safety, and purpose of use for 600 mg modified release ibuprofen compared with existing Schedule 2 analgesics including paracetamol, naproxen and standard ibuprofen, the same Schedule 2 classification is appropriate and provides consistency in scheduling decisions. </w:t>
      </w:r>
    </w:p>
    <w:p w14:paraId="4F8FC882" w14:textId="77777777" w:rsidR="00ED13CF" w:rsidRPr="00572F4B" w:rsidRDefault="00ED13CF" w:rsidP="00C55683">
      <w:pPr>
        <w:pStyle w:val="ListBullet"/>
      </w:pPr>
      <w:r w:rsidRPr="00572F4B">
        <w:t xml:space="preserve">Consumer access to 600 mg modified release ibuprofen as a Schedule 2 medicine would also align with Canada, where this formulation has been available for consumer self-selection in pharmacies for over 5 years. </w:t>
      </w:r>
    </w:p>
    <w:p w14:paraId="5A0BF5B9" w14:textId="77777777" w:rsidR="00ED13CF" w:rsidRPr="00572F4B" w:rsidRDefault="00ED13CF" w:rsidP="00C55683">
      <w:pPr>
        <w:pStyle w:val="ListBullet"/>
      </w:pPr>
      <w:proofErr w:type="gramStart"/>
      <w:r w:rsidRPr="00572F4B">
        <w:t>As noted by the TGA delegate in making their interim decision for inclusion of 400 mg ibuprofen in Schedule 2 “</w:t>
      </w:r>
      <w:r w:rsidRPr="00572F4B">
        <w:rPr>
          <w:i/>
          <w:iCs/>
        </w:rPr>
        <w:t xml:space="preserve">ibuprofen has a wide therapeutic index and the risk from harm from overdose is minimal…….the risk profile of ibuprofen </w:t>
      </w:r>
      <w:r w:rsidRPr="00572F4B">
        <w:t xml:space="preserve">[is considered] </w:t>
      </w:r>
      <w:r w:rsidRPr="00572F4B">
        <w:rPr>
          <w:i/>
          <w:iCs/>
        </w:rPr>
        <w:t xml:space="preserve">to be superior to that of other nonsteroidal anti-inflammatory drugs (NSAIDs) and compared to combination </w:t>
      </w:r>
      <w:proofErr w:type="spellStart"/>
      <w:r w:rsidRPr="00572F4B">
        <w:rPr>
          <w:i/>
          <w:iCs/>
        </w:rPr>
        <w:t>paracetamol+ibuprofen</w:t>
      </w:r>
      <w:proofErr w:type="spellEnd"/>
      <w:r w:rsidRPr="00572F4B">
        <w:rPr>
          <w:i/>
          <w:iCs/>
        </w:rPr>
        <w:t xml:space="preserve"> formulations curren</w:t>
      </w:r>
      <w:r>
        <w:rPr>
          <w:i/>
          <w:iCs/>
        </w:rPr>
        <w:t>tly available in Schedule 2…</w:t>
      </w:r>
      <w:r w:rsidRPr="00572F4B">
        <w:rPr>
          <w:i/>
          <w:iCs/>
        </w:rPr>
        <w:t xml:space="preserve"> very large doses of ibuprofen are required for moderate to severe toxicity (&gt;/= 400mg/kg or 28 g for a 70 kg person) ....</w:t>
      </w:r>
      <w:proofErr w:type="gramEnd"/>
      <w:r w:rsidRPr="00572F4B">
        <w:rPr>
          <w:i/>
          <w:iCs/>
        </w:rPr>
        <w:t xml:space="preserve"> There is unlikely to be any increased safety risk when taken according to directions, noting the availability of 20 g ibuprofen in the 100 pack of 200 mg tabs (with a maximum dose of 1200mg/day) is currently available under Schedule 2</w:t>
      </w:r>
      <w:r w:rsidRPr="00572F4B">
        <w:t xml:space="preserve">.” </w:t>
      </w:r>
      <w:r>
        <w:t xml:space="preserve"> </w:t>
      </w:r>
      <w:r w:rsidRPr="00C55683">
        <w:t>These reasons equally apply when considering suitable scheduling of non-prescription 600 mg ibuprofen.</w:t>
      </w:r>
    </w:p>
    <w:p w14:paraId="17DE9EFD" w14:textId="77777777" w:rsidR="00ED13CF" w:rsidRDefault="00ED13CF" w:rsidP="00ED13CF">
      <w:pPr>
        <w:pStyle w:val="Heading4"/>
      </w:pPr>
      <w:bookmarkStart w:id="39" w:name="_Toc70495050"/>
      <w:r>
        <w:t>Australian regulations</w:t>
      </w:r>
      <w:bookmarkEnd w:id="39"/>
    </w:p>
    <w:p w14:paraId="52860F26" w14:textId="2DB1CF49" w:rsidR="00ED13CF" w:rsidRDefault="00ED13CF" w:rsidP="00ED13CF">
      <w:pPr>
        <w:pStyle w:val="ListBullet"/>
        <w:numPr>
          <w:ilvl w:val="0"/>
          <w:numId w:val="1"/>
        </w:numPr>
      </w:pPr>
      <w:r>
        <w:t xml:space="preserve">According to the </w:t>
      </w:r>
      <w:hyperlink r:id="rId40" w:history="1">
        <w:r w:rsidR="005955FB" w:rsidRPr="00C66C5E">
          <w:rPr>
            <w:rStyle w:val="Hyperlink"/>
          </w:rPr>
          <w:t xml:space="preserve">TGA </w:t>
        </w:r>
        <w:r w:rsidR="005955FB">
          <w:rPr>
            <w:rStyle w:val="Hyperlink"/>
          </w:rPr>
          <w:t xml:space="preserve">Ingredient </w:t>
        </w:r>
        <w:r w:rsidR="005955FB" w:rsidRPr="00C66C5E">
          <w:rPr>
            <w:rStyle w:val="Hyperlink"/>
          </w:rPr>
          <w:t>Database</w:t>
        </w:r>
      </w:hyperlink>
      <w:r w:rsidR="005955FB">
        <w:rPr>
          <w:rStyle w:val="FootnoteReference"/>
        </w:rPr>
        <w:footnoteReference w:id="26"/>
      </w:r>
      <w:r w:rsidR="005955FB">
        <w:t xml:space="preserve"> </w:t>
      </w:r>
      <w:r>
        <w:t xml:space="preserve"> ibuprofen is:</w:t>
      </w:r>
    </w:p>
    <w:p w14:paraId="7C000A54" w14:textId="77777777" w:rsidR="00ED13CF" w:rsidRDefault="00ED13CF" w:rsidP="00ED13CF">
      <w:pPr>
        <w:pStyle w:val="ListBullet2"/>
        <w:numPr>
          <w:ilvl w:val="1"/>
          <w:numId w:val="1"/>
        </w:numPr>
        <w:ind w:left="850" w:hanging="425"/>
      </w:pPr>
      <w:r>
        <w:t xml:space="preserve">Available for use as an Active Ingredient in: Biologicals, Export Only, Over the Counter, Prescription Medicines </w:t>
      </w:r>
    </w:p>
    <w:p w14:paraId="28993D71" w14:textId="77777777" w:rsidR="00ED13CF" w:rsidRDefault="00ED13CF" w:rsidP="00ED13CF">
      <w:pPr>
        <w:pStyle w:val="ListBullet2"/>
        <w:numPr>
          <w:ilvl w:val="1"/>
          <w:numId w:val="1"/>
        </w:numPr>
        <w:ind w:left="850" w:hanging="425"/>
      </w:pPr>
      <w:r>
        <w:t xml:space="preserve">Available for use as an Excipient Ingredient in: Biologicals, Devices, Prescription Medicines </w:t>
      </w:r>
    </w:p>
    <w:p w14:paraId="19D6D485" w14:textId="77777777" w:rsidR="00ED13CF" w:rsidRDefault="00ED13CF" w:rsidP="00ED13CF">
      <w:pPr>
        <w:pStyle w:val="ListBullet2"/>
        <w:numPr>
          <w:ilvl w:val="1"/>
          <w:numId w:val="1"/>
        </w:numPr>
        <w:ind w:left="850" w:hanging="425"/>
      </w:pPr>
      <w:r>
        <w:t>Available for use as an Equivalent Ingredient in: Biologicals, Export Only, Prescription Medicines</w:t>
      </w:r>
    </w:p>
    <w:p w14:paraId="61A3BC32" w14:textId="342A6EA0" w:rsidR="00ED13CF" w:rsidRPr="00645E26" w:rsidRDefault="00ED13CF" w:rsidP="00ED13CF">
      <w:pPr>
        <w:pStyle w:val="ListBullet"/>
        <w:numPr>
          <w:ilvl w:val="0"/>
          <w:numId w:val="1"/>
        </w:numPr>
      </w:pPr>
      <w:r>
        <w:t xml:space="preserve">As of </w:t>
      </w:r>
      <w:r w:rsidRPr="00645E26">
        <w:t>March 2021</w:t>
      </w:r>
      <w:r>
        <w:t>, t</w:t>
      </w:r>
      <w:r w:rsidRPr="00881DFE">
        <w:t xml:space="preserve">here </w:t>
      </w:r>
      <w:r>
        <w:t>were</w:t>
      </w:r>
      <w:r w:rsidRPr="00881DFE">
        <w:t xml:space="preserve"> </w:t>
      </w:r>
      <w:r w:rsidRPr="00645E26">
        <w:t>262</w:t>
      </w:r>
      <w:r>
        <w:t xml:space="preserve"> medicine</w:t>
      </w:r>
      <w:r w:rsidRPr="00881DFE">
        <w:t xml:space="preserve">s currently active on the </w:t>
      </w:r>
      <w:hyperlink r:id="rId41" w:history="1">
        <w:r w:rsidR="00E24165" w:rsidRPr="00293CCA">
          <w:rPr>
            <w:rStyle w:val="Hyperlink"/>
          </w:rPr>
          <w:t>Australian Register of Therapeutic Goods (ARTG)</w:t>
        </w:r>
      </w:hyperlink>
      <w:r w:rsidR="00E24165">
        <w:rPr>
          <w:rStyle w:val="FootnoteReference"/>
        </w:rPr>
        <w:footnoteReference w:id="27"/>
      </w:r>
      <w:r>
        <w:t xml:space="preserve"> that contain</w:t>
      </w:r>
      <w:r w:rsidRPr="00881DFE">
        <w:t xml:space="preserve"> </w:t>
      </w:r>
      <w:r>
        <w:t xml:space="preserve">ibuprofen (as base, lysine or sodium </w:t>
      </w:r>
      <w:proofErr w:type="spellStart"/>
      <w:r>
        <w:t>dihydrate</w:t>
      </w:r>
      <w:proofErr w:type="spellEnd"/>
      <w:r>
        <w:t xml:space="preserve">) as </w:t>
      </w:r>
      <w:r>
        <w:lastRenderedPageBreak/>
        <w:t>an active ingredient</w:t>
      </w:r>
      <w:r w:rsidRPr="00881DFE">
        <w:t>.</w:t>
      </w:r>
      <w:r>
        <w:t xml:space="preserve"> These include 17 prescription and 240 non-prescription medicines, 3 medicines for export only, and 2 medical devices.</w:t>
      </w:r>
    </w:p>
    <w:p w14:paraId="6177A7BF" w14:textId="66FE1E21" w:rsidR="00ED13CF" w:rsidRDefault="00ED13CF" w:rsidP="00ED13CF">
      <w:pPr>
        <w:pStyle w:val="ListBullet"/>
        <w:numPr>
          <w:ilvl w:val="0"/>
          <w:numId w:val="1"/>
        </w:numPr>
      </w:pPr>
      <w:r>
        <w:t>Ibuprofen</w:t>
      </w:r>
      <w:r w:rsidRPr="009C55D5">
        <w:t xml:space="preserve"> </w:t>
      </w:r>
      <w:proofErr w:type="gramStart"/>
      <w:r w:rsidRPr="009C55D5">
        <w:t>is not permitted</w:t>
      </w:r>
      <w:proofErr w:type="gramEnd"/>
      <w:r w:rsidRPr="009C55D5">
        <w:t xml:space="preserve"> to be included in listed medicines </w:t>
      </w:r>
      <w:r>
        <w:t xml:space="preserve">as it is not included in the </w:t>
      </w:r>
      <w:hyperlink r:id="rId42" w:history="1">
        <w:r w:rsidR="00FF13D7" w:rsidRPr="00824CAC">
          <w:rPr>
            <w:rStyle w:val="Hyperlink"/>
          </w:rPr>
          <w:t>Therapeutic Goods (Permissible Ingredients) Determination</w:t>
        </w:r>
      </w:hyperlink>
      <w:r w:rsidR="00FF13D7">
        <w:rPr>
          <w:rStyle w:val="FootnoteReference"/>
        </w:rPr>
        <w:footnoteReference w:id="28"/>
      </w:r>
      <w:r w:rsidR="00FF13D7" w:rsidRPr="009C55D5">
        <w:t xml:space="preserve"> </w:t>
      </w:r>
      <w:r w:rsidRPr="009C55D5">
        <w:t>No.</w:t>
      </w:r>
      <w:r w:rsidRPr="0081317B">
        <w:t>1 of 2021</w:t>
      </w:r>
      <w:r w:rsidRPr="009C55D5">
        <w:t xml:space="preserve">. </w:t>
      </w:r>
    </w:p>
    <w:p w14:paraId="466B4592" w14:textId="77777777" w:rsidR="00ED13CF" w:rsidRDefault="00ED13CF" w:rsidP="00ED13CF">
      <w:pPr>
        <w:pStyle w:val="ListBullet"/>
        <w:keepNext/>
        <w:keepLines/>
        <w:numPr>
          <w:ilvl w:val="0"/>
          <w:numId w:val="1"/>
        </w:numPr>
      </w:pPr>
      <w:r>
        <w:t xml:space="preserve">The </w:t>
      </w:r>
      <w:hyperlink r:id="rId43"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29"/>
      </w:r>
      <w:r>
        <w:t xml:space="preserve"> classifies ibuprofen as:</w:t>
      </w:r>
    </w:p>
    <w:tbl>
      <w:tblPr>
        <w:tblStyle w:val="TableTGAblue"/>
        <w:tblW w:w="7536" w:type="dxa"/>
        <w:tblInd w:w="392" w:type="dxa"/>
        <w:tblLook w:val="04A0" w:firstRow="1" w:lastRow="0" w:firstColumn="1" w:lastColumn="0" w:noHBand="0" w:noVBand="1"/>
      </w:tblPr>
      <w:tblGrid>
        <w:gridCol w:w="1560"/>
        <w:gridCol w:w="1127"/>
        <w:gridCol w:w="1595"/>
        <w:gridCol w:w="1553"/>
        <w:gridCol w:w="1701"/>
      </w:tblGrid>
      <w:tr w:rsidR="00ED13CF" w:rsidRPr="003346CF" w14:paraId="16ECB6A5" w14:textId="77777777" w:rsidTr="00B44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C58BD32" w14:textId="77777777" w:rsidR="00ED13CF" w:rsidRPr="003346CF" w:rsidRDefault="00ED13CF" w:rsidP="0091227A">
            <w:pPr>
              <w:keepLines/>
              <w:rPr>
                <w:sz w:val="20"/>
                <w:szCs w:val="20"/>
              </w:rPr>
            </w:pPr>
            <w:r>
              <w:rPr>
                <w:sz w:val="20"/>
                <w:szCs w:val="20"/>
              </w:rPr>
              <w:t>Drug name</w:t>
            </w:r>
          </w:p>
        </w:tc>
        <w:tc>
          <w:tcPr>
            <w:tcW w:w="1127" w:type="dxa"/>
          </w:tcPr>
          <w:p w14:paraId="135EE1C3" w14:textId="77777777" w:rsidR="00ED13CF" w:rsidRPr="003346CF" w:rsidRDefault="00ED13CF" w:rsidP="0091227A">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595" w:type="dxa"/>
          </w:tcPr>
          <w:p w14:paraId="3A07AAF7" w14:textId="77777777" w:rsidR="00ED13CF" w:rsidRPr="003346CF" w:rsidRDefault="00ED13CF" w:rsidP="0091227A">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553" w:type="dxa"/>
          </w:tcPr>
          <w:p w14:paraId="53369740" w14:textId="77777777" w:rsidR="00ED13CF" w:rsidRPr="003346CF" w:rsidRDefault="00ED13CF" w:rsidP="0091227A">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701" w:type="dxa"/>
          </w:tcPr>
          <w:p w14:paraId="70556410" w14:textId="77777777" w:rsidR="00ED13CF" w:rsidRPr="003346CF" w:rsidRDefault="00ED13CF" w:rsidP="0091227A">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ED13CF" w:rsidRPr="003346CF" w14:paraId="024F3181" w14:textId="77777777" w:rsidTr="00B4448F">
        <w:tc>
          <w:tcPr>
            <w:cnfStyle w:val="001000000000" w:firstRow="0" w:lastRow="0" w:firstColumn="1" w:lastColumn="0" w:oddVBand="0" w:evenVBand="0" w:oddHBand="0" w:evenHBand="0" w:firstRowFirstColumn="0" w:firstRowLastColumn="0" w:lastRowFirstColumn="0" w:lastRowLastColumn="0"/>
            <w:tcW w:w="1560" w:type="dxa"/>
          </w:tcPr>
          <w:p w14:paraId="1227A319" w14:textId="77777777" w:rsidR="00ED13CF" w:rsidRPr="003346CF" w:rsidRDefault="00ED13CF" w:rsidP="0091227A">
            <w:pPr>
              <w:keepNext/>
              <w:keepLines/>
              <w:rPr>
                <w:sz w:val="20"/>
                <w:szCs w:val="20"/>
              </w:rPr>
            </w:pPr>
            <w:r>
              <w:rPr>
                <w:sz w:val="20"/>
                <w:szCs w:val="20"/>
              </w:rPr>
              <w:t>IBUPROFEN</w:t>
            </w:r>
          </w:p>
        </w:tc>
        <w:tc>
          <w:tcPr>
            <w:tcW w:w="1127" w:type="dxa"/>
          </w:tcPr>
          <w:p w14:paraId="15A8B0AE" w14:textId="77777777" w:rsidR="00ED13CF" w:rsidRPr="003346CF" w:rsidRDefault="00ED13CF" w:rsidP="0091227A">
            <w:pPr>
              <w:keepNext/>
              <w:keepLine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p>
        </w:tc>
        <w:tc>
          <w:tcPr>
            <w:tcW w:w="1595" w:type="dxa"/>
          </w:tcPr>
          <w:p w14:paraId="038EB857" w14:textId="77777777" w:rsidR="00ED13CF" w:rsidRPr="003346CF" w:rsidRDefault="00ED13CF" w:rsidP="0091227A">
            <w:pPr>
              <w:keepNext/>
              <w:keepLine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Musculoskeletal system</w:t>
            </w:r>
          </w:p>
        </w:tc>
        <w:tc>
          <w:tcPr>
            <w:tcW w:w="1553" w:type="dxa"/>
          </w:tcPr>
          <w:p w14:paraId="15428CC4" w14:textId="77777777" w:rsidR="00ED13CF" w:rsidRPr="003346CF" w:rsidRDefault="00ED13CF" w:rsidP="0091227A">
            <w:pPr>
              <w:keepNext/>
              <w:keepLine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Non-steroidal anti-inflammatory drugs (NSAIDS)</w:t>
            </w:r>
          </w:p>
        </w:tc>
        <w:tc>
          <w:tcPr>
            <w:tcW w:w="1701" w:type="dxa"/>
          </w:tcPr>
          <w:p w14:paraId="351F06A8" w14:textId="77777777" w:rsidR="00ED13CF" w:rsidRPr="003346CF" w:rsidRDefault="00ED13CF" w:rsidP="0091227A">
            <w:pPr>
              <w:keepNext/>
              <w:keepLines/>
              <w:cnfStyle w:val="000000000000" w:firstRow="0" w:lastRow="0" w:firstColumn="0" w:lastColumn="0" w:oddVBand="0" w:evenVBand="0" w:oddHBand="0" w:evenHBand="0" w:firstRowFirstColumn="0" w:firstRowLastColumn="0" w:lastRowFirstColumn="0" w:lastRowLastColumn="0"/>
              <w:rPr>
                <w:sz w:val="20"/>
                <w:szCs w:val="20"/>
              </w:rPr>
            </w:pPr>
          </w:p>
        </w:tc>
      </w:tr>
      <w:tr w:rsidR="00ED13CF" w:rsidRPr="003346CF" w14:paraId="0B0E15E4" w14:textId="77777777" w:rsidTr="00B4448F">
        <w:tc>
          <w:tcPr>
            <w:cnfStyle w:val="001000000000" w:firstRow="0" w:lastRow="0" w:firstColumn="1" w:lastColumn="0" w:oddVBand="0" w:evenVBand="0" w:oddHBand="0" w:evenHBand="0" w:firstRowFirstColumn="0" w:firstRowLastColumn="0" w:lastRowFirstColumn="0" w:lastRowLastColumn="0"/>
            <w:tcW w:w="7536" w:type="dxa"/>
            <w:gridSpan w:val="5"/>
          </w:tcPr>
          <w:p w14:paraId="332AC681" w14:textId="77777777" w:rsidR="00ED13CF" w:rsidRPr="009B5D0E" w:rsidRDefault="00ED13CF" w:rsidP="0091227A">
            <w:pPr>
              <w:keepNext/>
              <w:keepLines/>
              <w:rPr>
                <w:sz w:val="16"/>
                <w:szCs w:val="16"/>
              </w:rPr>
            </w:pPr>
            <w:r w:rsidRPr="003C7D97">
              <w:rPr>
                <w:b/>
                <w:sz w:val="16"/>
                <w:szCs w:val="16"/>
              </w:rPr>
              <w:t>Category C</w:t>
            </w:r>
            <w:r w:rsidRPr="003C7D97">
              <w:rPr>
                <w:sz w:val="16"/>
                <w:szCs w:val="16"/>
              </w:rPr>
              <w:t xml:space="preserve"> – </w:t>
            </w:r>
            <w:proofErr w:type="gramStart"/>
            <w:r w:rsidRPr="003C7D97">
              <w:rPr>
                <w:sz w:val="16"/>
                <w:szCs w:val="16"/>
              </w:rPr>
              <w:t>Drugs which</w:t>
            </w:r>
            <w:proofErr w:type="gramEnd"/>
            <w:r w:rsidRPr="003C7D97">
              <w:rPr>
                <w:sz w:val="16"/>
                <w:szCs w:val="16"/>
              </w:rPr>
              <w:t xml:space="preserve">, owing to their pharmacological effects, have caused or may be suspected of causing, harmful effects on the human foetus or neonate without causing malformations. These effects may be reversible. Accompanying texts </w:t>
            </w:r>
            <w:proofErr w:type="gramStart"/>
            <w:r w:rsidRPr="003C7D97">
              <w:rPr>
                <w:sz w:val="16"/>
                <w:szCs w:val="16"/>
              </w:rPr>
              <w:t>should be</w:t>
            </w:r>
            <w:r>
              <w:rPr>
                <w:sz w:val="16"/>
                <w:szCs w:val="16"/>
              </w:rPr>
              <w:t xml:space="preserve"> consulted</w:t>
            </w:r>
            <w:proofErr w:type="gramEnd"/>
            <w:r>
              <w:rPr>
                <w:sz w:val="16"/>
                <w:szCs w:val="16"/>
              </w:rPr>
              <w:t xml:space="preserve"> for further details.</w:t>
            </w:r>
          </w:p>
        </w:tc>
      </w:tr>
    </w:tbl>
    <w:p w14:paraId="366A79D6" w14:textId="4D785979" w:rsidR="00ED13CF" w:rsidRDefault="00ED13CF" w:rsidP="00ED13CF">
      <w:pPr>
        <w:pStyle w:val="ListBullet"/>
        <w:numPr>
          <w:ilvl w:val="0"/>
          <w:numId w:val="1"/>
        </w:numPr>
      </w:pPr>
      <w:r>
        <w:t>The</w:t>
      </w:r>
      <w:r w:rsidRPr="00AB7BF5">
        <w:t xml:space="preserve"> </w:t>
      </w:r>
      <w:hyperlink r:id="rId44" w:history="1">
        <w:r w:rsidR="00FF13D7" w:rsidRPr="00AB7BF5">
          <w:rPr>
            <w:rStyle w:val="Hyperlink"/>
          </w:rPr>
          <w:t>Therapeutic Goods (Medicines Advisory Statements) Specification 2019</w:t>
        </w:r>
      </w:hyperlink>
      <w:r w:rsidR="00FF13D7">
        <w:rPr>
          <w:rStyle w:val="FootnoteReference"/>
        </w:rPr>
        <w:footnoteReference w:id="30"/>
      </w:r>
      <w:r>
        <w:t xml:space="preserve"> requires</w:t>
      </w:r>
      <w:r w:rsidRPr="00A30084">
        <w:t xml:space="preserve"> the following warning statements pertaining to </w:t>
      </w:r>
      <w:r>
        <w:t>ibuprofen</w:t>
      </w:r>
      <w:r w:rsidRPr="00A30084">
        <w:t xml:space="preserve"> to be included on the labelling:</w:t>
      </w:r>
    </w:p>
    <w:tbl>
      <w:tblPr>
        <w:tblStyle w:val="TableTGAblue"/>
        <w:tblW w:w="0" w:type="auto"/>
        <w:tblInd w:w="360" w:type="dxa"/>
        <w:tblLook w:val="04A0" w:firstRow="1" w:lastRow="0" w:firstColumn="1" w:lastColumn="0" w:noHBand="0" w:noVBand="1"/>
      </w:tblPr>
      <w:tblGrid>
        <w:gridCol w:w="1869"/>
        <w:gridCol w:w="2111"/>
        <w:gridCol w:w="4710"/>
      </w:tblGrid>
      <w:tr w:rsidR="00ED13CF" w:rsidRPr="006112EA" w14:paraId="63613570" w14:textId="77777777" w:rsidTr="00B4448F">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75" w:type="dxa"/>
          </w:tcPr>
          <w:p w14:paraId="2DD0CE73" w14:textId="77777777" w:rsidR="00ED13CF" w:rsidRPr="006112EA" w:rsidRDefault="00ED13CF" w:rsidP="00B4448F">
            <w:pPr>
              <w:pStyle w:val="ListBullet"/>
              <w:keepNext w:val="0"/>
              <w:numPr>
                <w:ilvl w:val="0"/>
                <w:numId w:val="0"/>
              </w:numPr>
              <w:rPr>
                <w:sz w:val="20"/>
                <w:szCs w:val="20"/>
              </w:rPr>
            </w:pPr>
            <w:r>
              <w:rPr>
                <w:sz w:val="20"/>
                <w:szCs w:val="20"/>
              </w:rPr>
              <w:t>Substance</w:t>
            </w:r>
          </w:p>
        </w:tc>
        <w:tc>
          <w:tcPr>
            <w:tcW w:w="2117" w:type="dxa"/>
          </w:tcPr>
          <w:p w14:paraId="3E8CE519" w14:textId="77777777" w:rsidR="00ED13CF" w:rsidRPr="006112EA" w:rsidRDefault="00ED13CF" w:rsidP="00B4448F">
            <w:pPr>
              <w:pStyle w:val="ListBullet"/>
              <w:keepNext w:val="0"/>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Conditions </w:t>
            </w:r>
          </w:p>
        </w:tc>
        <w:tc>
          <w:tcPr>
            <w:tcW w:w="4734" w:type="dxa"/>
          </w:tcPr>
          <w:p w14:paraId="3E3DC952" w14:textId="77777777" w:rsidR="00ED13CF" w:rsidRPr="006112EA" w:rsidRDefault="00ED13CF" w:rsidP="00B4448F">
            <w:pPr>
              <w:pStyle w:val="ListBullet"/>
              <w:keepNext w:val="0"/>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Required Statement(s) </w:t>
            </w:r>
          </w:p>
        </w:tc>
      </w:tr>
      <w:tr w:rsidR="00ED13CF" w:rsidRPr="006112EA" w14:paraId="6B6C9DF2" w14:textId="77777777" w:rsidTr="00B4448F">
        <w:trPr>
          <w:cantSplit w:val="0"/>
        </w:trPr>
        <w:tc>
          <w:tcPr>
            <w:cnfStyle w:val="001000000000" w:firstRow="0" w:lastRow="0" w:firstColumn="1" w:lastColumn="0" w:oddVBand="0" w:evenVBand="0" w:oddHBand="0" w:evenHBand="0" w:firstRowFirstColumn="0" w:firstRowLastColumn="0" w:lastRowFirstColumn="0" w:lastRowLastColumn="0"/>
            <w:tcW w:w="1875" w:type="dxa"/>
          </w:tcPr>
          <w:p w14:paraId="3B1D057E" w14:textId="18B00DD7" w:rsidR="00ED13CF" w:rsidRPr="00B61864" w:rsidRDefault="00B4448F" w:rsidP="00B4448F">
            <w:pPr>
              <w:rPr>
                <w:sz w:val="20"/>
                <w:szCs w:val="20"/>
              </w:rPr>
            </w:pPr>
            <w:r>
              <w:rPr>
                <w:sz w:val="20"/>
                <w:szCs w:val="20"/>
              </w:rPr>
              <w:t>Ibuprofen (1 of 6)</w:t>
            </w:r>
          </w:p>
        </w:tc>
        <w:tc>
          <w:tcPr>
            <w:tcW w:w="2117" w:type="dxa"/>
          </w:tcPr>
          <w:p w14:paraId="00DC1721" w14:textId="3A593557" w:rsidR="00ED13CF" w:rsidRPr="00B61864" w:rsidRDefault="00ED13CF" w:rsidP="00B4448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shd w:val="clear" w:color="auto" w:fill="FFFFFF"/>
              </w:rPr>
              <w:t>For the purpose of exclusion from the schedules to the SUSMP, when the preparation is for oral use in adults and children aged 12 years and over.</w:t>
            </w:r>
          </w:p>
        </w:tc>
        <w:tc>
          <w:tcPr>
            <w:tcW w:w="4734" w:type="dxa"/>
          </w:tcPr>
          <w:p w14:paraId="166FF454"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en-AU"/>
              </w:rPr>
            </w:pPr>
            <w:r w:rsidRPr="00B61864">
              <w:rPr>
                <w:rFonts w:ascii="Times New Roman" w:eastAsia="Times New Roman" w:hAnsi="Times New Roman"/>
                <w:sz w:val="14"/>
                <w:szCs w:val="14"/>
                <w:lang w:eastAsia="en-AU"/>
              </w:rPr>
              <w:t> </w:t>
            </w: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if you have a stomach ulcer.</w:t>
            </w:r>
          </w:p>
          <w:p w14:paraId="5FFCFBDA"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if you have impaired kidney function. </w:t>
            </w:r>
          </w:p>
          <w:p w14:paraId="0756CE86"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if you have heart failure.</w:t>
            </w:r>
          </w:p>
          <w:p w14:paraId="283DB144"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if you are allergic to ibuprofen or other anti-inflammatory medicines. </w:t>
            </w:r>
          </w:p>
          <w:p w14:paraId="61C63539"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If you get an allergic reaction, stop taking and see your doctor immediately.</w:t>
            </w:r>
          </w:p>
          <w:p w14:paraId="0BF4BC67"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Unless a doctor has told you to, do not use if you have asthma. </w:t>
            </w:r>
          </w:p>
          <w:p w14:paraId="46EC7616"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Unless advised by your doctor or pharmacist, do not use with products containing ibuprofen, aspirin or other anti-inflammatory medicines or with medicines that you are taking regularly.</w:t>
            </w:r>
          </w:p>
          <w:p w14:paraId="787B0C72"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for more than a few days at a time unless a doctor has told you to. Do not exceed the recommended dose.  Excessive use can be harmful and increase the risk of heart attack, stroke or liver damage.</w:t>
            </w:r>
          </w:p>
          <w:p w14:paraId="2399652E" w14:textId="77777777" w:rsidR="00ED13CF" w:rsidRPr="00B61864"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B61864">
              <w:rPr>
                <w:rFonts w:ascii="Symbol" w:eastAsia="Times New Roman" w:hAnsi="Symbol"/>
                <w:sz w:val="20"/>
                <w:lang w:eastAsia="en-AU"/>
              </w:rPr>
              <w:lastRenderedPageBreak/>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Do not use if trying to become pregnant, or during the first 6 months of pregnancy, except on doctor’s advice.  Do not use at all during the last 3 months of pregnancy.</w:t>
            </w:r>
          </w:p>
          <w:p w14:paraId="4ECB619D" w14:textId="77777777" w:rsidR="00ED13CF" w:rsidRPr="007B57A0" w:rsidRDefault="00ED13CF" w:rsidP="00B4448F">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en-AU"/>
              </w:rPr>
            </w:pPr>
            <w:r w:rsidRPr="00B61864">
              <w:rPr>
                <w:rFonts w:ascii="Symbol" w:eastAsia="Times New Roman" w:hAnsi="Symbol"/>
                <w:sz w:val="20"/>
                <w:lang w:eastAsia="en-AU"/>
              </w:rPr>
              <w:t></w:t>
            </w:r>
            <w:r w:rsidRPr="00B61864">
              <w:rPr>
                <w:rFonts w:ascii="Times New Roman" w:eastAsia="Times New Roman" w:hAnsi="Times New Roman"/>
                <w:sz w:val="14"/>
                <w:szCs w:val="14"/>
                <w:lang w:eastAsia="en-AU"/>
              </w:rPr>
              <w:t>   </w:t>
            </w:r>
            <w:r w:rsidRPr="00B61864">
              <w:rPr>
                <w:rFonts w:ascii="Times New Roman" w:eastAsia="Times New Roman" w:hAnsi="Times New Roman"/>
                <w:sz w:val="20"/>
                <w:lang w:eastAsia="en-AU"/>
              </w:rPr>
              <w:t>Unless a doctor has told you to, do not use if you are aged 65 years or over.</w:t>
            </w:r>
          </w:p>
        </w:tc>
      </w:tr>
      <w:tr w:rsidR="00ED13CF" w:rsidRPr="006112EA" w14:paraId="27B10F23" w14:textId="77777777" w:rsidTr="0091227A">
        <w:tc>
          <w:tcPr>
            <w:cnfStyle w:val="001000000000" w:firstRow="0" w:lastRow="0" w:firstColumn="1" w:lastColumn="0" w:oddVBand="0" w:evenVBand="0" w:oddHBand="0" w:evenHBand="0" w:firstRowFirstColumn="0" w:firstRowLastColumn="0" w:lastRowFirstColumn="0" w:lastRowLastColumn="0"/>
            <w:tcW w:w="1875" w:type="dxa"/>
          </w:tcPr>
          <w:p w14:paraId="40F44BEB" w14:textId="77777777" w:rsidR="00ED13CF" w:rsidRPr="007B57A0" w:rsidRDefault="00ED13CF" w:rsidP="0091227A">
            <w:pPr>
              <w:rPr>
                <w:sz w:val="20"/>
                <w:szCs w:val="20"/>
              </w:rPr>
            </w:pPr>
            <w:r>
              <w:rPr>
                <w:sz w:val="20"/>
                <w:szCs w:val="20"/>
              </w:rPr>
              <w:lastRenderedPageBreak/>
              <w:t>Ibuprofen (2 of 6)</w:t>
            </w:r>
          </w:p>
        </w:tc>
        <w:tc>
          <w:tcPr>
            <w:tcW w:w="2117" w:type="dxa"/>
          </w:tcPr>
          <w:p w14:paraId="77114BB6" w14:textId="77777777" w:rsidR="00ED13CF" w:rsidRDefault="00ED13CF" w:rsidP="0091227A">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Pr>
                <w:sz w:val="20"/>
                <w:szCs w:val="20"/>
                <w:shd w:val="clear" w:color="auto" w:fill="FFFFFF"/>
              </w:rPr>
              <w:t>When included in a schedule to the SUSMP for oral use in adults and children aged 12 years and over</w:t>
            </w:r>
          </w:p>
        </w:tc>
        <w:tc>
          <w:tcPr>
            <w:tcW w:w="4734" w:type="dxa"/>
          </w:tcPr>
          <w:p w14:paraId="6D92810C"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a stomach ulcer.</w:t>
            </w:r>
          </w:p>
          <w:p w14:paraId="286D93FC"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impaired kidney function. </w:t>
            </w:r>
          </w:p>
          <w:p w14:paraId="0ED2F04F"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heart failure.</w:t>
            </w:r>
          </w:p>
          <w:p w14:paraId="4D59BE4C"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are allergic to ibuprofen or other anti-inflammatory medicines. </w:t>
            </w:r>
          </w:p>
          <w:p w14:paraId="06E63AE9"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you get an allergic reaction, stop taking and see your doctor immediately.</w:t>
            </w:r>
          </w:p>
          <w:p w14:paraId="496EB331"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have asthma. </w:t>
            </w:r>
          </w:p>
          <w:p w14:paraId="36DD41A2"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advised by your doctor or pharmacist, do not use with products containing ibuprofen, aspirin or other anti-inflammatory medicines or with medicines that you are taking regularly.</w:t>
            </w:r>
          </w:p>
          <w:p w14:paraId="612BADBB"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for more than a few days at a time unless a doctor has told you to.  Do not exceed the recommended dose.  Excessive use can be harmful and increase the risk of heart attack, stroke or liver damage.</w:t>
            </w:r>
          </w:p>
          <w:p w14:paraId="63B4BC84"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trying to become pregnant, or during the first 6 months of pregnancy, except on doctor’s advice.  Do not use at all during the last 3 months of pregnancy.</w:t>
            </w:r>
          </w:p>
        </w:tc>
      </w:tr>
      <w:tr w:rsidR="00ED13CF" w:rsidRPr="006112EA" w14:paraId="5DB10641" w14:textId="77777777" w:rsidTr="00B4448F">
        <w:trPr>
          <w:cantSplit w:val="0"/>
        </w:trPr>
        <w:tc>
          <w:tcPr>
            <w:cnfStyle w:val="001000000000" w:firstRow="0" w:lastRow="0" w:firstColumn="1" w:lastColumn="0" w:oddVBand="0" w:evenVBand="0" w:oddHBand="0" w:evenHBand="0" w:firstRowFirstColumn="0" w:firstRowLastColumn="0" w:lastRowFirstColumn="0" w:lastRowLastColumn="0"/>
            <w:tcW w:w="1875" w:type="dxa"/>
          </w:tcPr>
          <w:p w14:paraId="4E9E7CDE" w14:textId="77777777" w:rsidR="00ED13CF" w:rsidRDefault="00ED13CF" w:rsidP="0091227A">
            <w:pPr>
              <w:rPr>
                <w:sz w:val="20"/>
              </w:rPr>
            </w:pPr>
            <w:r>
              <w:rPr>
                <w:sz w:val="20"/>
                <w:szCs w:val="20"/>
              </w:rPr>
              <w:t>Ibuprofen (3 of 6)</w:t>
            </w:r>
          </w:p>
        </w:tc>
        <w:tc>
          <w:tcPr>
            <w:tcW w:w="2117" w:type="dxa"/>
          </w:tcPr>
          <w:p w14:paraId="3129319B" w14:textId="77777777" w:rsidR="00ED13CF" w:rsidRDefault="00ED13CF" w:rsidP="0091227A">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Pr>
                <w:sz w:val="20"/>
                <w:szCs w:val="20"/>
                <w:shd w:val="clear" w:color="auto" w:fill="FFFFFF"/>
              </w:rPr>
              <w:t>For the purpose of exclusion from the schedules to the SUSMP, for oral use in children under 12 years of age</w:t>
            </w:r>
          </w:p>
        </w:tc>
        <w:tc>
          <w:tcPr>
            <w:tcW w:w="4734" w:type="dxa"/>
          </w:tcPr>
          <w:p w14:paraId="1460E2CD"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a stomach ulcer.</w:t>
            </w:r>
          </w:p>
          <w:p w14:paraId="63E97DA1"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impaired kidney function. </w:t>
            </w:r>
          </w:p>
          <w:p w14:paraId="0F857B4F"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heart failure.</w:t>
            </w:r>
          </w:p>
          <w:p w14:paraId="0ED835CE"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are allergic to ibuprofen or other anti-inflammatory medicines. </w:t>
            </w:r>
          </w:p>
          <w:p w14:paraId="1794EAD8"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you get an allergic reaction, stop taking and see your doctor immediately.</w:t>
            </w:r>
          </w:p>
          <w:p w14:paraId="47020D20"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have asthma. </w:t>
            </w:r>
          </w:p>
          <w:p w14:paraId="34BE685B"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advised by your doctor or pharmacist, do not use with products containing ibuprofen, aspirin or other anti-inflammatory medicines or with medicines that you are taking regularly.</w:t>
            </w:r>
          </w:p>
          <w:p w14:paraId="07B63BD6"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for more than a few days at a time unless a doctor has told you to.  Do not exceed the recommended dose.  Excessive use can be harmful and increase the risk of heart attack, stroke or liver damage.</w:t>
            </w:r>
          </w:p>
          <w:p w14:paraId="75222CDF" w14:textId="77777777" w:rsidR="00ED13CF" w:rsidRPr="007B57A0" w:rsidRDefault="00ED13CF" w:rsidP="0091227A">
            <w:pPr>
              <w:shd w:val="clear" w:color="auto" w:fill="FFFFFF"/>
              <w:spacing w:before="60" w:after="6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trying to become pregnant, or during the first 6 months of pregnancy, except on doctor’s advice.  Do not use at all during the last 3 months of pregnancy.</w:t>
            </w:r>
          </w:p>
          <w:p w14:paraId="3B2066B1" w14:textId="77777777" w:rsidR="00ED13CF" w:rsidRPr="007B57A0" w:rsidRDefault="00ED13CF" w:rsidP="0091227A">
            <w:pPr>
              <w:shd w:val="clear" w:color="auto" w:fill="FFFFFF"/>
              <w:spacing w:before="0" w:after="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Ask your doctor or pharmacist before use of the medicine in children suffering from dehydration through diarrhoea and/or vomiting.</w:t>
            </w:r>
          </w:p>
          <w:p w14:paraId="65105B8E" w14:textId="77777777" w:rsidR="00ED13CF" w:rsidRPr="007B57A0" w:rsidRDefault="00ED13CF" w:rsidP="0091227A">
            <w:pPr>
              <w:shd w:val="clear" w:color="auto" w:fill="FFFFFF"/>
              <w:spacing w:before="0" w:after="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lastRenderedPageBreak/>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are aged 65 years or over.</w:t>
            </w:r>
          </w:p>
          <w:p w14:paraId="3F954CD3" w14:textId="77777777" w:rsidR="00ED13CF" w:rsidRPr="007B57A0" w:rsidRDefault="00ED13CF" w:rsidP="0091227A">
            <w:pPr>
              <w:shd w:val="clear" w:color="auto" w:fill="FFFFFF"/>
              <w:spacing w:before="0" w:after="0" w:line="240" w:lineRule="auto"/>
              <w:ind w:left="29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4"/>
                <w:szCs w:val="24"/>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in children 6 years of age or less.</w:t>
            </w:r>
          </w:p>
        </w:tc>
      </w:tr>
      <w:tr w:rsidR="00ED13CF" w:rsidRPr="006112EA" w14:paraId="032602A9" w14:textId="77777777" w:rsidTr="0091227A">
        <w:tc>
          <w:tcPr>
            <w:cnfStyle w:val="001000000000" w:firstRow="0" w:lastRow="0" w:firstColumn="1" w:lastColumn="0" w:oddVBand="0" w:evenVBand="0" w:oddHBand="0" w:evenHBand="0" w:firstRowFirstColumn="0" w:firstRowLastColumn="0" w:lastRowFirstColumn="0" w:lastRowLastColumn="0"/>
            <w:tcW w:w="1875" w:type="dxa"/>
          </w:tcPr>
          <w:p w14:paraId="6B49D004" w14:textId="77777777" w:rsidR="00ED13CF" w:rsidRDefault="00ED13CF" w:rsidP="0091227A">
            <w:pPr>
              <w:rPr>
                <w:sz w:val="20"/>
              </w:rPr>
            </w:pPr>
            <w:r>
              <w:rPr>
                <w:sz w:val="20"/>
              </w:rPr>
              <w:lastRenderedPageBreak/>
              <w:t>Ibuprofen (4 of 6)</w:t>
            </w:r>
          </w:p>
        </w:tc>
        <w:tc>
          <w:tcPr>
            <w:tcW w:w="2117" w:type="dxa"/>
          </w:tcPr>
          <w:p w14:paraId="09BE1295" w14:textId="77777777" w:rsidR="00ED13CF" w:rsidRDefault="00ED13CF" w:rsidP="0091227A">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Pr>
                <w:sz w:val="20"/>
                <w:szCs w:val="20"/>
                <w:shd w:val="clear" w:color="auto" w:fill="FFFFFF"/>
              </w:rPr>
              <w:t>When included in a schedule to the SUSMP for oral use in children under 12 years of age</w:t>
            </w:r>
          </w:p>
        </w:tc>
        <w:tc>
          <w:tcPr>
            <w:tcW w:w="4734" w:type="dxa"/>
          </w:tcPr>
          <w:p w14:paraId="5BDB8B9C"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a stomach ulcer.</w:t>
            </w:r>
          </w:p>
          <w:p w14:paraId="1087C354"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impaired kidney function. </w:t>
            </w:r>
          </w:p>
          <w:p w14:paraId="435D3752"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heart failure.</w:t>
            </w:r>
          </w:p>
          <w:p w14:paraId="6A201B67"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are allergic to ibuprofen or other anti-inflammatory medicines. </w:t>
            </w:r>
          </w:p>
          <w:p w14:paraId="6CC83DB8"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you get an allergic reaction, stop taking and see your doctor immediately.</w:t>
            </w:r>
          </w:p>
          <w:p w14:paraId="58F4ACFC"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have asthma. </w:t>
            </w:r>
          </w:p>
          <w:p w14:paraId="3D9D242D"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advised by your doctor or pharmacist, do not use with products containing ibuprofen, aspirin or other anti-inflammatory medicines or with medicines that you are taking regularly.</w:t>
            </w:r>
          </w:p>
          <w:p w14:paraId="5081AA03"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for more than a few days at a time unless a doctor has told you to.  Do not exceed the recommended dose.  Excessive use can be harmful and increase the risk of heart attack, stroke or liver damage.</w:t>
            </w:r>
          </w:p>
          <w:p w14:paraId="196422DD"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trying to become pregnant, or during the first 6 months of pregnancy, except on doctor’s advice.  Do not use at all during the last 3 months of pregnancy.</w:t>
            </w:r>
          </w:p>
          <w:p w14:paraId="319A2FBC" w14:textId="77777777" w:rsidR="00ED13CF" w:rsidRPr="007B57A0" w:rsidRDefault="00ED13CF" w:rsidP="0091227A">
            <w:pPr>
              <w:shd w:val="clear" w:color="auto" w:fill="FFFFFF"/>
              <w:spacing w:before="0" w:after="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Ask your doctor or pharmacist before use of the medicine in children suffering from dehydration through diarrhoea and/or vomiting.</w:t>
            </w:r>
          </w:p>
        </w:tc>
      </w:tr>
      <w:tr w:rsidR="00ED13CF" w:rsidRPr="006112EA" w14:paraId="0721B4A7" w14:textId="77777777" w:rsidTr="00B4448F">
        <w:trPr>
          <w:cantSplit w:val="0"/>
        </w:trPr>
        <w:tc>
          <w:tcPr>
            <w:cnfStyle w:val="001000000000" w:firstRow="0" w:lastRow="0" w:firstColumn="1" w:lastColumn="0" w:oddVBand="0" w:evenVBand="0" w:oddHBand="0" w:evenHBand="0" w:firstRowFirstColumn="0" w:firstRowLastColumn="0" w:lastRowFirstColumn="0" w:lastRowLastColumn="0"/>
            <w:tcW w:w="1875" w:type="dxa"/>
          </w:tcPr>
          <w:p w14:paraId="6440CC2F" w14:textId="77777777" w:rsidR="00ED13CF" w:rsidRDefault="00ED13CF" w:rsidP="0091227A">
            <w:pPr>
              <w:rPr>
                <w:sz w:val="20"/>
              </w:rPr>
            </w:pPr>
            <w:r>
              <w:rPr>
                <w:sz w:val="20"/>
              </w:rPr>
              <w:t>Ibuprofen (5 of 6)</w:t>
            </w:r>
          </w:p>
        </w:tc>
        <w:tc>
          <w:tcPr>
            <w:tcW w:w="2117" w:type="dxa"/>
          </w:tcPr>
          <w:p w14:paraId="24E60929" w14:textId="77777777" w:rsidR="00ED13CF" w:rsidRDefault="00ED13CF" w:rsidP="0091227A">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Pr>
                <w:sz w:val="20"/>
                <w:szCs w:val="20"/>
                <w:shd w:val="clear" w:color="auto" w:fill="FFFFFF"/>
              </w:rPr>
              <w:t>In combination with paracetamol, in medicines for oral use</w:t>
            </w:r>
          </w:p>
        </w:tc>
        <w:tc>
          <w:tcPr>
            <w:tcW w:w="4734" w:type="dxa"/>
          </w:tcPr>
          <w:p w14:paraId="27FA2B75"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give to children under 12 years of age.</w:t>
            </w:r>
          </w:p>
          <w:p w14:paraId="4361FEDF"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Adults: Keep to the recommended dose. Do not take this medicine for longer than a few days at a time unless advised to by a doctor.</w:t>
            </w:r>
          </w:p>
          <w:p w14:paraId="217B82E9"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Children and adolescents: Keep to the recommended dose. Do not give this medicine for longer than 48 hours at a time unless advised to by a doctor.</w:t>
            </w:r>
          </w:p>
          <w:p w14:paraId="1A59EC94"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Excessive use can be harmful and increase the risk of heart attack, stroke or liver damage.</w:t>
            </w:r>
          </w:p>
          <w:p w14:paraId="06D5ABA2"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pregnant or trying to become pregnant.</w:t>
            </w:r>
          </w:p>
          <w:p w14:paraId="4E260C5D"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a stomach ulcer.</w:t>
            </w:r>
          </w:p>
          <w:p w14:paraId="24B53390"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impaired kidney function. </w:t>
            </w:r>
          </w:p>
          <w:p w14:paraId="5687E4BE"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have heart failure.</w:t>
            </w:r>
          </w:p>
          <w:p w14:paraId="365F272A"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if you are allergic to ibuprofen or other anti-inflammatory medicines. </w:t>
            </w:r>
          </w:p>
          <w:p w14:paraId="7B6E3D70"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you get an allergic reaction, stop taking and see your doctor immediately.</w:t>
            </w:r>
          </w:p>
          <w:p w14:paraId="4F37E0F5"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have asthma. </w:t>
            </w:r>
          </w:p>
          <w:p w14:paraId="2DBDE6CE"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has told you to, do not use if you are aged 65 years or over.</w:t>
            </w:r>
          </w:p>
          <w:p w14:paraId="694C3178"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take with other products containing paracetamol, ibuprofen, aspirin or other anti-</w:t>
            </w:r>
            <w:r w:rsidRPr="007B57A0">
              <w:rPr>
                <w:rFonts w:ascii="Times New Roman" w:eastAsia="Times New Roman" w:hAnsi="Times New Roman"/>
                <w:sz w:val="20"/>
                <w:lang w:eastAsia="en-AU"/>
              </w:rPr>
              <w:lastRenderedPageBreak/>
              <w:t>inflammatory medicines or with medicines that you are taking regularly, unless advised to do so by a doctor or pharmacist.</w:t>
            </w:r>
          </w:p>
          <w:p w14:paraId="2B12B11F"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an overdose is taken or suspected, ring the Poisons Information Centre (Australia 13 11 26, New Zealand 0800 764 766) or go to hospital straight away even if you feel well because of the risk of delayed, serious liver damage.</w:t>
            </w:r>
          </w:p>
        </w:tc>
      </w:tr>
      <w:tr w:rsidR="00ED13CF" w:rsidRPr="006112EA" w14:paraId="19182684" w14:textId="77777777" w:rsidTr="00B4448F">
        <w:trPr>
          <w:cantSplit w:val="0"/>
        </w:trPr>
        <w:tc>
          <w:tcPr>
            <w:cnfStyle w:val="001000000000" w:firstRow="0" w:lastRow="0" w:firstColumn="1" w:lastColumn="0" w:oddVBand="0" w:evenVBand="0" w:oddHBand="0" w:evenHBand="0" w:firstRowFirstColumn="0" w:firstRowLastColumn="0" w:lastRowFirstColumn="0" w:lastRowLastColumn="0"/>
            <w:tcW w:w="1875" w:type="dxa"/>
          </w:tcPr>
          <w:p w14:paraId="331C1B99" w14:textId="77777777" w:rsidR="00ED13CF" w:rsidRDefault="00ED13CF" w:rsidP="0091227A">
            <w:pPr>
              <w:rPr>
                <w:sz w:val="20"/>
              </w:rPr>
            </w:pPr>
            <w:r>
              <w:rPr>
                <w:sz w:val="20"/>
              </w:rPr>
              <w:lastRenderedPageBreak/>
              <w:t>Ibuprofen (6 of 6)</w:t>
            </w:r>
          </w:p>
        </w:tc>
        <w:tc>
          <w:tcPr>
            <w:tcW w:w="2117" w:type="dxa"/>
          </w:tcPr>
          <w:p w14:paraId="585B8782" w14:textId="77777777" w:rsidR="00ED13CF" w:rsidRDefault="00ED13CF" w:rsidP="0091227A">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Pr>
                <w:sz w:val="20"/>
                <w:szCs w:val="20"/>
                <w:shd w:val="clear" w:color="auto" w:fill="FFFFFF"/>
              </w:rPr>
              <w:t>In preparations for dermal use</w:t>
            </w:r>
          </w:p>
        </w:tc>
        <w:tc>
          <w:tcPr>
            <w:tcW w:w="4734" w:type="dxa"/>
          </w:tcPr>
          <w:p w14:paraId="4A6A78A4"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Do not use [this product</w:t>
            </w:r>
            <w:r w:rsidRPr="007B57A0">
              <w:rPr>
                <w:rFonts w:ascii="Times New Roman" w:eastAsia="Times New Roman" w:hAnsi="Times New Roman"/>
                <w:i/>
                <w:iCs/>
                <w:sz w:val="20"/>
                <w:lang w:eastAsia="en-AU"/>
              </w:rPr>
              <w:t>/insert name of product</w:t>
            </w:r>
            <w:r w:rsidRPr="007B57A0">
              <w:rPr>
                <w:rFonts w:ascii="Times New Roman" w:eastAsia="Times New Roman" w:hAnsi="Times New Roman"/>
                <w:sz w:val="20"/>
                <w:lang w:eastAsia="en-AU"/>
              </w:rPr>
              <w:t>] if you are allergic to ibuprofen or other anti-inflammatory medicines.  </w:t>
            </w:r>
          </w:p>
          <w:p w14:paraId="71A3136D"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If you get an allergic reaction, stop taking and see your doctor immediately.  </w:t>
            </w:r>
          </w:p>
          <w:p w14:paraId="182D335D" w14:textId="77777777" w:rsidR="00ED13CF" w:rsidRPr="007B57A0" w:rsidRDefault="00ED13CF" w:rsidP="0091227A">
            <w:pPr>
              <w:shd w:val="clear" w:color="auto" w:fill="FFFFFF"/>
              <w:spacing w:before="60" w:after="60" w:line="240" w:lineRule="auto"/>
              <w:ind w:left="176" w:hanging="1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2"/>
                <w:lang w:eastAsia="en-AU"/>
              </w:rPr>
            </w:pPr>
            <w:r w:rsidRPr="007B57A0">
              <w:rPr>
                <w:rFonts w:ascii="Symbol" w:eastAsia="Times New Roman" w:hAnsi="Symbol"/>
                <w:sz w:val="20"/>
                <w:lang w:eastAsia="en-AU"/>
              </w:rPr>
              <w:t></w:t>
            </w:r>
            <w:r w:rsidRPr="007B57A0">
              <w:rPr>
                <w:rFonts w:ascii="Times New Roman" w:eastAsia="Times New Roman" w:hAnsi="Times New Roman"/>
                <w:sz w:val="14"/>
                <w:szCs w:val="14"/>
                <w:lang w:eastAsia="en-AU"/>
              </w:rPr>
              <w:t>   </w:t>
            </w:r>
            <w:r w:rsidRPr="007B57A0">
              <w:rPr>
                <w:rFonts w:ascii="Times New Roman" w:eastAsia="Times New Roman" w:hAnsi="Times New Roman"/>
                <w:sz w:val="20"/>
                <w:lang w:eastAsia="en-AU"/>
              </w:rPr>
              <w:t>Unless a doctor or pharmacist has told you to, do not use [this product</w:t>
            </w:r>
            <w:r w:rsidRPr="007B57A0">
              <w:rPr>
                <w:rFonts w:ascii="Times New Roman" w:eastAsia="Times New Roman" w:hAnsi="Times New Roman"/>
                <w:i/>
                <w:iCs/>
                <w:sz w:val="20"/>
                <w:lang w:eastAsia="en-AU"/>
              </w:rPr>
              <w:t>/insert name of product</w:t>
            </w:r>
            <w:r w:rsidRPr="007B57A0">
              <w:rPr>
                <w:rFonts w:ascii="Times New Roman" w:eastAsia="Times New Roman" w:hAnsi="Times New Roman"/>
                <w:sz w:val="20"/>
                <w:lang w:eastAsia="en-AU"/>
              </w:rPr>
              <w:t>] with other medicines that you are taking regularly.</w:t>
            </w:r>
          </w:p>
        </w:tc>
      </w:tr>
    </w:tbl>
    <w:p w14:paraId="2E3D83F3" w14:textId="520B62D1" w:rsidR="00ED13CF" w:rsidRPr="00A60403" w:rsidRDefault="005B1925" w:rsidP="00ED13CF">
      <w:pPr>
        <w:pStyle w:val="ListBullet"/>
        <w:numPr>
          <w:ilvl w:val="0"/>
          <w:numId w:val="1"/>
        </w:numPr>
      </w:pPr>
      <w:r>
        <w:t>Since January 2010</w:t>
      </w:r>
      <w:r w:rsidR="00ED13CF">
        <w:t xml:space="preserve">, there </w:t>
      </w:r>
      <w:r>
        <w:t>have been 748</w:t>
      </w:r>
      <w:r w:rsidR="00ED13CF" w:rsidRPr="009C55D5">
        <w:t xml:space="preserve"> reports of adverse events for products containing </w:t>
      </w:r>
      <w:r w:rsidR="00ED13CF">
        <w:t>ibuprofen</w:t>
      </w:r>
      <w:r w:rsidR="00ED13CF" w:rsidRPr="009C55D5">
        <w:t xml:space="preserve"> as an active ingredient</w:t>
      </w:r>
      <w:r w:rsidR="00ED13CF">
        <w:t xml:space="preserve"> on the </w:t>
      </w:r>
      <w:hyperlink r:id="rId45" w:history="1">
        <w:r w:rsidR="00FF13D7" w:rsidRPr="00F0449C">
          <w:rPr>
            <w:rStyle w:val="Hyperlink"/>
          </w:rPr>
          <w:t>Database of Adverse Event Notifications (DAEN)</w:t>
        </w:r>
      </w:hyperlink>
      <w:r w:rsidR="00FF13D7">
        <w:rPr>
          <w:rStyle w:val="FootnoteReference"/>
        </w:rPr>
        <w:footnoteReference w:id="31"/>
      </w:r>
      <w:r w:rsidR="00ED13CF" w:rsidRPr="00254E0B">
        <w:t>,</w:t>
      </w:r>
      <w:r w:rsidR="00ED13CF" w:rsidRPr="009C55D5">
        <w:t xml:space="preserve"> with </w:t>
      </w:r>
      <w:r>
        <w:t>491</w:t>
      </w:r>
      <w:r w:rsidR="00ED13CF" w:rsidRPr="009C55D5">
        <w:t xml:space="preserve"> reports where </w:t>
      </w:r>
      <w:r w:rsidR="00ED13CF">
        <w:t>ibuprofen</w:t>
      </w:r>
      <w:r w:rsidR="00ED13CF" w:rsidRPr="009C55D5">
        <w:t xml:space="preserve"> was the single suspected medicine. </w:t>
      </w:r>
    </w:p>
    <w:p w14:paraId="08FBBCC6" w14:textId="5848425A" w:rsidR="00ED13CF" w:rsidRDefault="00ED13CF" w:rsidP="00ED13CF">
      <w:pPr>
        <w:pStyle w:val="ListBullet"/>
        <w:numPr>
          <w:ilvl w:val="0"/>
          <w:numId w:val="1"/>
        </w:numPr>
      </w:pPr>
      <w:r>
        <w:t xml:space="preserve">As of </w:t>
      </w:r>
      <w:r w:rsidRPr="001E5060">
        <w:t>March 2021</w:t>
      </w:r>
      <w:r>
        <w:t>, t</w:t>
      </w:r>
      <w:r w:rsidRPr="00F0449C">
        <w:t xml:space="preserve">here </w:t>
      </w:r>
      <w:r>
        <w:t>were</w:t>
      </w:r>
      <w:r w:rsidRPr="00F0449C">
        <w:t xml:space="preserve"> </w:t>
      </w:r>
      <w:r w:rsidRPr="001E5060">
        <w:t>no</w:t>
      </w:r>
      <w:r w:rsidRPr="00F0449C">
        <w:t xml:space="preserve"> products containing </w:t>
      </w:r>
      <w:r>
        <w:t xml:space="preserve">ibuprofen </w:t>
      </w:r>
      <w:r w:rsidRPr="00F0449C">
        <w:t xml:space="preserve">listed on the </w:t>
      </w:r>
      <w:hyperlink r:id="rId46" w:history="1">
        <w:r w:rsidR="00FF13D7" w:rsidRPr="00F0449C">
          <w:rPr>
            <w:rStyle w:val="Hyperlink"/>
          </w:rPr>
          <w:t>Public Chemical Registration Information System Search (</w:t>
        </w:r>
        <w:proofErr w:type="spellStart"/>
        <w:r w:rsidR="00FF13D7" w:rsidRPr="00F0449C">
          <w:rPr>
            <w:rStyle w:val="Hyperlink"/>
          </w:rPr>
          <w:t>P</w:t>
        </w:r>
        <w:r w:rsidR="00FF13D7">
          <w:rPr>
            <w:rStyle w:val="Hyperlink"/>
          </w:rPr>
          <w:t>ub</w:t>
        </w:r>
        <w:r w:rsidR="00FF13D7" w:rsidRPr="00F0449C">
          <w:rPr>
            <w:rStyle w:val="Hyperlink"/>
          </w:rPr>
          <w:t>CRIS</w:t>
        </w:r>
        <w:proofErr w:type="spellEnd"/>
        <w:r w:rsidR="00FF13D7" w:rsidRPr="00F0449C">
          <w:rPr>
            <w:rStyle w:val="Hyperlink"/>
          </w:rPr>
          <w:t>)</w:t>
        </w:r>
      </w:hyperlink>
      <w:r w:rsidR="00FF13D7">
        <w:rPr>
          <w:rStyle w:val="FootnoteReference"/>
        </w:rPr>
        <w:footnoteReference w:id="32"/>
      </w:r>
      <w:r w:rsidRPr="001E5060">
        <w:rPr>
          <w:i/>
          <w:color w:val="0098F6" w:themeColor="text2" w:themeTint="99"/>
        </w:rPr>
        <w:t xml:space="preserve"> </w:t>
      </w:r>
      <w:r>
        <w:t xml:space="preserve"> </w:t>
      </w:r>
    </w:p>
    <w:p w14:paraId="3C85B3F3" w14:textId="77777777" w:rsidR="00ED13CF" w:rsidRPr="00CB687C" w:rsidRDefault="00ED13CF" w:rsidP="00ED13CF">
      <w:pPr>
        <w:pStyle w:val="Heading4"/>
      </w:pPr>
      <w:bookmarkStart w:id="40" w:name="_Toc70495051"/>
      <w:r>
        <w:t>International regulations</w:t>
      </w:r>
      <w:bookmarkEnd w:id="40"/>
    </w:p>
    <w:p w14:paraId="79B4ED67" w14:textId="77777777" w:rsidR="00FF13D7" w:rsidRDefault="00ED13CF" w:rsidP="00FF13D7">
      <w:pPr>
        <w:pStyle w:val="ListBullet"/>
        <w:numPr>
          <w:ilvl w:val="0"/>
          <w:numId w:val="22"/>
        </w:numPr>
        <w:spacing w:line="240" w:lineRule="auto"/>
      </w:pPr>
      <w:r>
        <w:t xml:space="preserve">Ibuprofen is included in the </w:t>
      </w:r>
      <w:hyperlink r:id="rId47" w:history="1">
        <w:r w:rsidR="00FF13D7" w:rsidRPr="00CC6398">
          <w:rPr>
            <w:rStyle w:val="Hyperlink"/>
          </w:rPr>
          <w:t>WHO Model List of Essential Medicines 2019</w:t>
        </w:r>
      </w:hyperlink>
      <w:r w:rsidR="00FF13D7">
        <w:rPr>
          <w:rStyle w:val="FootnoteReference"/>
        </w:rPr>
        <w:footnoteReference w:id="33"/>
      </w:r>
    </w:p>
    <w:p w14:paraId="10471112" w14:textId="5EE553CE" w:rsidR="00ED13CF" w:rsidRDefault="00ED13CF" w:rsidP="00ED13CF">
      <w:pPr>
        <w:pStyle w:val="ListBullet"/>
        <w:numPr>
          <w:ilvl w:val="0"/>
          <w:numId w:val="22"/>
        </w:numPr>
        <w:spacing w:line="240" w:lineRule="auto"/>
      </w:pPr>
      <w:r>
        <w:t xml:space="preserve">The </w:t>
      </w:r>
      <w:hyperlink r:id="rId48" w:history="1">
        <w:r w:rsidR="00FF13D7" w:rsidRPr="002150D3">
          <w:rPr>
            <w:rStyle w:val="Hyperlink"/>
          </w:rPr>
          <w:t>Health Products Regulatory Authority of Ireland</w:t>
        </w:r>
      </w:hyperlink>
      <w:r w:rsidR="00FF13D7" w:rsidRPr="00417519">
        <w:rPr>
          <w:rStyle w:val="FootnoteReference"/>
        </w:rPr>
        <w:footnoteReference w:id="34"/>
      </w:r>
      <w:r w:rsidR="00FF13D7">
        <w:rPr>
          <w:rStyle w:val="Hyperlink"/>
        </w:rPr>
        <w:t xml:space="preserve"> </w:t>
      </w:r>
      <w:r>
        <w:t>regulates ibuprofen as an over-the-counter and prescription-only medicine.</w:t>
      </w:r>
    </w:p>
    <w:p w14:paraId="11668BD3" w14:textId="017936BB" w:rsidR="00ED13CF" w:rsidRDefault="00ED13CF" w:rsidP="00ED13CF">
      <w:pPr>
        <w:pStyle w:val="ListBullet"/>
        <w:numPr>
          <w:ilvl w:val="0"/>
          <w:numId w:val="22"/>
        </w:numPr>
        <w:spacing w:line="240" w:lineRule="auto"/>
      </w:pPr>
      <w:r>
        <w:t xml:space="preserve">The </w:t>
      </w:r>
      <w:r w:rsidR="00FF13D7" w:rsidRPr="00710082">
        <w:rPr>
          <w:color w:val="0000FF"/>
          <w:u w:val="single"/>
        </w:rPr>
        <w:t>United States Food and Drug Administration Approved Drug Products</w:t>
      </w:r>
      <w:r w:rsidR="00FF13D7" w:rsidRPr="005A27ED">
        <w:t xml:space="preserve"> </w:t>
      </w:r>
      <w:r w:rsidR="00FF13D7">
        <w:t>d</w:t>
      </w:r>
      <w:r w:rsidR="00FF13D7" w:rsidRPr="005A27ED">
        <w:t>atabase (</w:t>
      </w:r>
      <w:proofErr w:type="spellStart"/>
      <w:r w:rsidR="00FF13D7" w:rsidRPr="005A27ED">
        <w:t>Drugs@FDA</w:t>
      </w:r>
      <w:proofErr w:type="spellEnd"/>
      <w:r w:rsidR="00FF13D7" w:rsidRPr="005A27ED">
        <w:t>)</w:t>
      </w:r>
      <w:r w:rsidR="00FF13D7" w:rsidRPr="00710082">
        <w:rPr>
          <w:rStyle w:val="FootnoteReference"/>
        </w:rPr>
        <w:t xml:space="preserve"> </w:t>
      </w:r>
      <w:r w:rsidR="00FF13D7" w:rsidRPr="00417519">
        <w:rPr>
          <w:rStyle w:val="FootnoteReference"/>
        </w:rPr>
        <w:footnoteReference w:id="35"/>
      </w:r>
      <w:r w:rsidR="00FF13D7">
        <w:t xml:space="preserve"> </w:t>
      </w:r>
      <w:r>
        <w:t>approve use of ibuprofen as an over-the-counter and prescription medicine.</w:t>
      </w:r>
    </w:p>
    <w:p w14:paraId="260EDE8B" w14:textId="38819AA4" w:rsidR="00ED13CF" w:rsidRDefault="00ED13CF" w:rsidP="00ED13CF">
      <w:pPr>
        <w:pStyle w:val="ListBullet"/>
        <w:numPr>
          <w:ilvl w:val="0"/>
          <w:numId w:val="22"/>
        </w:numPr>
        <w:spacing w:line="240" w:lineRule="auto"/>
      </w:pPr>
      <w:r>
        <w:t xml:space="preserve">Ibuprofen is approved for use as an over-the-counter and prescription medicine according to the </w:t>
      </w:r>
      <w:hyperlink r:id="rId49" w:history="1">
        <w:r w:rsidR="00FF13D7" w:rsidRPr="000B75D5">
          <w:rPr>
            <w:rStyle w:val="Hyperlink"/>
          </w:rPr>
          <w:t>Canadian (Health Canada) Drug Product Database</w:t>
        </w:r>
      </w:hyperlink>
      <w:r w:rsidR="00FF13D7" w:rsidRPr="00417519">
        <w:rPr>
          <w:rStyle w:val="FootnoteReference"/>
        </w:rPr>
        <w:footnoteReference w:id="36"/>
      </w:r>
    </w:p>
    <w:p w14:paraId="237C3983" w14:textId="6D6FC976" w:rsidR="00ED13CF" w:rsidRPr="00D170A1" w:rsidRDefault="00ED13CF" w:rsidP="009936E1">
      <w:pPr>
        <w:pStyle w:val="ListBullet"/>
        <w:keepNext/>
        <w:numPr>
          <w:ilvl w:val="0"/>
          <w:numId w:val="22"/>
        </w:numPr>
        <w:spacing w:line="240" w:lineRule="auto"/>
        <w:ind w:left="357" w:hanging="357"/>
      </w:pPr>
      <w:r>
        <w:lastRenderedPageBreak/>
        <w:t xml:space="preserve">According to the </w:t>
      </w:r>
      <w:hyperlink r:id="rId50" w:history="1">
        <w:r w:rsidR="00FF13D7" w:rsidRPr="000B75D5">
          <w:rPr>
            <w:rStyle w:val="Hyperlink"/>
          </w:rPr>
          <w:t>New Zealand</w:t>
        </w:r>
        <w:r w:rsidR="00FF13D7">
          <w:rPr>
            <w:rStyle w:val="Hyperlink"/>
          </w:rPr>
          <w:t xml:space="preserve"> Medicines and Medical Devices Safety Authority</w:t>
        </w:r>
        <w:r w:rsidR="00FF13D7" w:rsidRPr="000B75D5">
          <w:rPr>
            <w:rStyle w:val="Hyperlink"/>
          </w:rPr>
          <w:t xml:space="preserve"> </w:t>
        </w:r>
        <w:r w:rsidR="00FF13D7">
          <w:rPr>
            <w:rStyle w:val="Hyperlink"/>
          </w:rPr>
          <w:t>(</w:t>
        </w:r>
        <w:proofErr w:type="spellStart"/>
        <w:r w:rsidR="00FF13D7" w:rsidRPr="000B75D5">
          <w:rPr>
            <w:rStyle w:val="Hyperlink"/>
          </w:rPr>
          <w:t>MedSafe</w:t>
        </w:r>
        <w:proofErr w:type="spellEnd"/>
      </w:hyperlink>
      <w:r w:rsidR="00FF13D7">
        <w:t>)</w:t>
      </w:r>
      <w:r w:rsidR="00FF13D7">
        <w:rPr>
          <w:rStyle w:val="FootnoteReference"/>
        </w:rPr>
        <w:footnoteReference w:id="37"/>
      </w:r>
      <w:r w:rsidR="00FF13D7">
        <w:t xml:space="preserve"> </w:t>
      </w:r>
      <w:r>
        <w:t>ibuprofen is available as follows:</w:t>
      </w:r>
    </w:p>
    <w:tbl>
      <w:tblPr>
        <w:tblStyle w:val="TableTGAblue"/>
        <w:tblW w:w="5000" w:type="pct"/>
        <w:tblInd w:w="357" w:type="dxa"/>
        <w:tblLook w:val="04A0" w:firstRow="1" w:lastRow="0" w:firstColumn="1" w:lastColumn="0" w:noHBand="0" w:noVBand="1"/>
      </w:tblPr>
      <w:tblGrid>
        <w:gridCol w:w="1694"/>
        <w:gridCol w:w="5385"/>
        <w:gridCol w:w="1971"/>
      </w:tblGrid>
      <w:tr w:rsidR="00ED13CF" w14:paraId="1F9974AE" w14:textId="77777777" w:rsidTr="0091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6FB72736" w14:textId="77777777" w:rsidR="00ED13CF" w:rsidRPr="00702170" w:rsidRDefault="00ED13CF" w:rsidP="0091227A">
            <w:pPr>
              <w:pStyle w:val="ListBullet"/>
              <w:numPr>
                <w:ilvl w:val="0"/>
                <w:numId w:val="0"/>
              </w:numPr>
            </w:pPr>
            <w:r>
              <w:t>Ingredient</w:t>
            </w:r>
          </w:p>
        </w:tc>
        <w:tc>
          <w:tcPr>
            <w:tcW w:w="2975" w:type="pct"/>
          </w:tcPr>
          <w:p w14:paraId="60682D8A" w14:textId="77777777" w:rsidR="00ED13CF" w:rsidRPr="00702170" w:rsidRDefault="00ED13CF" w:rsidP="0091227A">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17A7E8C4" w14:textId="77777777" w:rsidR="00ED13CF" w:rsidRPr="00702170" w:rsidRDefault="00ED13CF" w:rsidP="0091227A">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ED13CF" w14:paraId="18C745CC"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5D1E0A01" w14:textId="77777777" w:rsidR="00ED13CF" w:rsidRPr="00702170" w:rsidRDefault="00ED13CF" w:rsidP="0091227A">
            <w:pPr>
              <w:pStyle w:val="ListBullet"/>
              <w:numPr>
                <w:ilvl w:val="0"/>
                <w:numId w:val="0"/>
              </w:numPr>
              <w:rPr>
                <w:szCs w:val="20"/>
              </w:rPr>
            </w:pPr>
            <w:r>
              <w:t>Ibuprofen</w:t>
            </w:r>
          </w:p>
        </w:tc>
        <w:tc>
          <w:tcPr>
            <w:tcW w:w="2975" w:type="pct"/>
          </w:tcPr>
          <w:p w14:paraId="6472BD8D" w14:textId="77777777" w:rsidR="00ED13CF" w:rsidRPr="00702170"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Cs w:val="20"/>
              </w:rPr>
            </w:pPr>
            <w:r w:rsidRPr="00702170">
              <w:rPr>
                <w:b/>
                <w:bCs/>
              </w:rPr>
              <w:t>except</w:t>
            </w:r>
            <w:r w:rsidRPr="00702170">
              <w:t xml:space="preserve"> when specified elsewhere in this schedule</w:t>
            </w:r>
          </w:p>
        </w:tc>
        <w:tc>
          <w:tcPr>
            <w:tcW w:w="1089" w:type="pct"/>
          </w:tcPr>
          <w:p w14:paraId="20DEA75C" w14:textId="77777777" w:rsidR="00ED13CF" w:rsidRPr="00702170"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Cs w:val="20"/>
              </w:rPr>
            </w:pPr>
            <w:r w:rsidRPr="00702170">
              <w:t>Prescription</w:t>
            </w:r>
          </w:p>
        </w:tc>
      </w:tr>
      <w:tr w:rsidR="00ED13CF" w14:paraId="506917C6"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2FCD60A0" w14:textId="77777777" w:rsidR="00ED13CF" w:rsidRPr="00702170" w:rsidRDefault="00ED13CF" w:rsidP="0091227A">
            <w:pPr>
              <w:pStyle w:val="ListBullet"/>
              <w:numPr>
                <w:ilvl w:val="0"/>
                <w:numId w:val="0"/>
              </w:numPr>
              <w:rPr>
                <w:szCs w:val="20"/>
              </w:rPr>
            </w:pPr>
            <w:r>
              <w:t>Ibuprofen</w:t>
            </w:r>
          </w:p>
        </w:tc>
        <w:tc>
          <w:tcPr>
            <w:tcW w:w="2975" w:type="pct"/>
          </w:tcPr>
          <w:p w14:paraId="7500B8D5" w14:textId="77777777" w:rsidR="00ED13CF" w:rsidRPr="00702170"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5A47A3">
              <w:t>for oral use in tablets or capsules containing up to 400 milligrams per dose form and in packs containing not more than 50 dose units and that have received the consent of the Minister or the Director-General to their distribution as restricted medicines and that are sold in the manufacturer's original pack labelled for use by adults and children over 12 years of age</w:t>
            </w:r>
          </w:p>
        </w:tc>
        <w:tc>
          <w:tcPr>
            <w:tcW w:w="1089" w:type="pct"/>
          </w:tcPr>
          <w:p w14:paraId="37BFB3FF" w14:textId="77777777" w:rsidR="00ED13CF" w:rsidRPr="00702170"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Cs w:val="20"/>
              </w:rPr>
            </w:pPr>
            <w:r>
              <w:t>Restricted</w:t>
            </w:r>
            <w:r>
              <w:rPr>
                <w:rStyle w:val="FootnoteReference"/>
                <w:sz w:val="20"/>
              </w:rPr>
              <w:footnoteReference w:id="38"/>
            </w:r>
          </w:p>
        </w:tc>
      </w:tr>
      <w:tr w:rsidR="00ED13CF" w14:paraId="4555ECC6"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6AC1F479" w14:textId="77777777" w:rsidR="00ED13CF" w:rsidRDefault="00ED13CF" w:rsidP="0091227A">
            <w:pPr>
              <w:pStyle w:val="ListBullet"/>
              <w:numPr>
                <w:ilvl w:val="0"/>
                <w:numId w:val="0"/>
              </w:numPr>
            </w:pPr>
            <w:r>
              <w:t>Ibuprofen</w:t>
            </w:r>
          </w:p>
        </w:tc>
        <w:tc>
          <w:tcPr>
            <w:tcW w:w="2975" w:type="pct"/>
          </w:tcPr>
          <w:p w14:paraId="2DCCB53A" w14:textId="77777777" w:rsidR="00ED13CF" w:rsidRPr="00D170A1"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5A47A3">
              <w:t>for oral use in liquid form with a recommended daily dose of not more than 1.2 grams for the relief of pain and reduction of fever or inflammation when sold in the manufacturer's original pack containing not more than 8 grams;</w:t>
            </w:r>
            <w:r w:rsidRPr="005A47A3">
              <w:br/>
              <w:t>for oral use in solid dose form containing not more than 200 milligrams per dose form and with a recommended daily dose of not more than 1.2 grams when sold in the manufacturer's original pack containing not more than 100 dose units;</w:t>
            </w:r>
            <w:r w:rsidRPr="005A47A3">
              <w:br/>
            </w:r>
            <w:r w:rsidRPr="005A47A3">
              <w:rPr>
                <w:b/>
                <w:bCs/>
              </w:rPr>
              <w:t>except</w:t>
            </w:r>
            <w:r w:rsidRPr="005A47A3">
              <w:t> in divided solid dosage forms for oral use containing 200 milligrams or less per dose form with a recommended daily dose of not more than 1.2 grams and when sold in the manufacturer's original pack containing not more than 25 dose units</w:t>
            </w:r>
          </w:p>
        </w:tc>
        <w:tc>
          <w:tcPr>
            <w:tcW w:w="1089" w:type="pct"/>
          </w:tcPr>
          <w:p w14:paraId="215141CC" w14:textId="77777777" w:rsidR="00ED13CF"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Pharmacy Only</w:t>
            </w:r>
          </w:p>
        </w:tc>
      </w:tr>
      <w:tr w:rsidR="00ED13CF" w14:paraId="7CCF0F57" w14:textId="77777777" w:rsidTr="0091227A">
        <w:tc>
          <w:tcPr>
            <w:cnfStyle w:val="001000000000" w:firstRow="0" w:lastRow="0" w:firstColumn="1" w:lastColumn="0" w:oddVBand="0" w:evenVBand="0" w:oddHBand="0" w:evenHBand="0" w:firstRowFirstColumn="0" w:firstRowLastColumn="0" w:lastRowFirstColumn="0" w:lastRowLastColumn="0"/>
            <w:tcW w:w="936" w:type="pct"/>
          </w:tcPr>
          <w:p w14:paraId="0C695494" w14:textId="77777777" w:rsidR="00ED13CF" w:rsidRDefault="00ED13CF" w:rsidP="0091227A">
            <w:pPr>
              <w:pStyle w:val="ListBullet"/>
              <w:numPr>
                <w:ilvl w:val="0"/>
                <w:numId w:val="0"/>
              </w:numPr>
            </w:pPr>
            <w:r>
              <w:t>Ibuprofen</w:t>
            </w:r>
          </w:p>
        </w:tc>
        <w:tc>
          <w:tcPr>
            <w:tcW w:w="2975" w:type="pct"/>
          </w:tcPr>
          <w:p w14:paraId="3FDE73C7" w14:textId="77777777" w:rsidR="00ED13CF" w:rsidRPr="00D170A1"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5A47A3">
              <w:t>for external use;</w:t>
            </w:r>
            <w:r w:rsidRPr="005A47A3">
              <w:br/>
              <w:t>in divided solid dosage forms for oral use containing 200 milligrams or less per dose form with a recommended daily dose of not more than 1.2 grams and when sold in the manufacturer's original pack containing not more than 25 dose units per pack</w:t>
            </w:r>
          </w:p>
        </w:tc>
        <w:tc>
          <w:tcPr>
            <w:tcW w:w="1089" w:type="pct"/>
          </w:tcPr>
          <w:p w14:paraId="540C741B" w14:textId="77777777" w:rsidR="00ED13CF" w:rsidRDefault="00ED13CF" w:rsidP="0091227A">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General Sale</w:t>
            </w:r>
          </w:p>
        </w:tc>
      </w:tr>
    </w:tbl>
    <w:p w14:paraId="1F8F99A4" w14:textId="77777777" w:rsidR="00D062E0" w:rsidRDefault="00D062E0" w:rsidP="00D062E0">
      <w:pPr>
        <w:pStyle w:val="Heading2"/>
        <w:pageBreakBefore w:val="0"/>
      </w:pPr>
      <w:bookmarkStart w:id="41" w:name="_Toc70495052"/>
      <w:bookmarkEnd w:id="18"/>
      <w:bookmarkEnd w:id="19"/>
      <w:r>
        <w:t>How to respond</w:t>
      </w:r>
      <w:bookmarkEnd w:id="41"/>
    </w:p>
    <w:p w14:paraId="6305ED6F" w14:textId="18499E9A" w:rsidR="00D062E0" w:rsidRDefault="00D062E0" w:rsidP="00D062E0">
      <w:pPr>
        <w:pStyle w:val="ListBullet"/>
        <w:numPr>
          <w:ilvl w:val="0"/>
          <w:numId w:val="0"/>
        </w:numPr>
      </w:pPr>
      <w:r>
        <w:t xml:space="preserve">Submissions must be provided by the closing date of </w:t>
      </w:r>
      <w:r w:rsidR="00543C72" w:rsidRPr="00611D64">
        <w:rPr>
          <w:b/>
        </w:rPr>
        <w:t>2</w:t>
      </w:r>
      <w:r w:rsidR="000D4FA3">
        <w:rPr>
          <w:b/>
        </w:rPr>
        <w:t>7</w:t>
      </w:r>
      <w:bookmarkStart w:id="42" w:name="_GoBack"/>
      <w:bookmarkEnd w:id="42"/>
      <w:r w:rsidR="00543C72" w:rsidRPr="00611D64">
        <w:rPr>
          <w:b/>
        </w:rPr>
        <w:t xml:space="preserve"> </w:t>
      </w:r>
      <w:r w:rsidR="00543C72">
        <w:rPr>
          <w:b/>
        </w:rPr>
        <w:t>May 2021</w:t>
      </w:r>
      <w:r w:rsidR="00543C72">
        <w:t xml:space="preserve"> </w:t>
      </w:r>
      <w:r w:rsidR="00543C72" w:rsidRPr="00972C2F">
        <w:t>through our </w:t>
      </w:r>
      <w:hyperlink r:id="rId51" w:history="1">
        <w:r w:rsidR="00543C72" w:rsidRPr="00611D64">
          <w:rPr>
            <w:rStyle w:val="Hyperlink"/>
          </w:rPr>
          <w:t>consultation hub</w:t>
        </w:r>
      </w:hyperlink>
      <w:r w:rsidR="00543C72" w:rsidRPr="005A614D">
        <w:t>.</w:t>
      </w:r>
      <w:r w:rsidRPr="00972C2F">
        <w:t xml:space="preserve"> Any submission about any of the proposals to amend the Poisons Standard </w:t>
      </w:r>
      <w:proofErr w:type="gramStart"/>
      <w:r w:rsidRPr="00972C2F">
        <w:t>will be considered</w:t>
      </w:r>
      <w:proofErr w:type="gramEnd"/>
      <w:r w:rsidRPr="00972C2F">
        <w:t xml:space="preserve"> at the next meeting of the </w:t>
      </w:r>
      <w:hyperlink r:id="rId52" w:history="1">
        <w:r w:rsidRPr="00972C2F">
          <w:rPr>
            <w:rStyle w:val="Hyperlink"/>
          </w:rPr>
          <w:t>Advisory Committee on Medicines Scheduling (ACMS)</w:t>
        </w:r>
      </w:hyperlink>
      <w:r w:rsidRPr="00972C2F">
        <w:t>, meeting of the </w:t>
      </w:r>
      <w:hyperlink r:id="rId53" w:history="1">
        <w:r w:rsidRPr="00972C2F">
          <w:rPr>
            <w:rStyle w:val="Hyperlink"/>
          </w:rPr>
          <w:t>Advisory Committee on Chemicals Scheduling (ACCS)</w:t>
        </w:r>
      </w:hyperlink>
      <w:r w:rsidRPr="00972C2F">
        <w:t xml:space="preserve">, or a joint </w:t>
      </w:r>
      <w:r>
        <w:t>meeting of these two committees.</w:t>
      </w:r>
    </w:p>
    <w:p w14:paraId="7572B8C0" w14:textId="77777777" w:rsidR="00D062E0" w:rsidRDefault="00D062E0" w:rsidP="00D062E0">
      <w:pPr>
        <w:pStyle w:val="Heading2"/>
        <w:pageBreakBefore w:val="0"/>
      </w:pPr>
      <w:bookmarkStart w:id="43" w:name="_Toc70495053"/>
      <w:r>
        <w:lastRenderedPageBreak/>
        <w:t>What will happen</w:t>
      </w:r>
      <w:bookmarkEnd w:id="43"/>
    </w:p>
    <w:p w14:paraId="4D26A080" w14:textId="77777777" w:rsidR="00D062E0" w:rsidRDefault="00D062E0" w:rsidP="00D062E0">
      <w:r>
        <w:t xml:space="preserve">All public submissions </w:t>
      </w:r>
      <w:proofErr w:type="gramStart"/>
      <w:r>
        <w:t xml:space="preserve">will be published on the TGA website at </w:t>
      </w:r>
      <w:hyperlink r:id="rId54" w:history="1">
        <w:r w:rsidRPr="00E25E60">
          <w:rPr>
            <w:rStyle w:val="Hyperlink"/>
          </w:rPr>
          <w:t>Public submissions on scheduling matters</w:t>
        </w:r>
      </w:hyperlink>
      <w:r>
        <w:t xml:space="preserve">, unless marked confidential or indicated otherwise in the submission coversheet (see </w:t>
      </w:r>
      <w:hyperlink w:anchor="privacy" w:history="1">
        <w:r w:rsidRPr="00E25E60">
          <w:rPr>
            <w:rStyle w:val="Hyperlink"/>
          </w:rPr>
          <w:t>Privacy information</w:t>
        </w:r>
      </w:hyperlink>
      <w:r>
        <w:t>)</w:t>
      </w:r>
      <w:proofErr w:type="gramEnd"/>
      <w:r>
        <w:t>.</w:t>
      </w:r>
    </w:p>
    <w:p w14:paraId="5DE826FD" w14:textId="77777777" w:rsidR="00D062E0" w:rsidRDefault="00D062E0" w:rsidP="00D062E0">
      <w:r>
        <w:t xml:space="preserve">Following consideration of public submissions received before the closing date and advice from the expert advisory committee/s, decisions on the proposed amendments </w:t>
      </w:r>
      <w:proofErr w:type="gramStart"/>
      <w:r>
        <w:t>will be published</w:t>
      </w:r>
      <w:proofErr w:type="gramEnd"/>
      <w:r>
        <w:t xml:space="preserve"> as interim decisions on the TGA website: </w:t>
      </w:r>
      <w:hyperlink r:id="rId55" w:history="1">
        <w:r w:rsidRPr="00E25E60">
          <w:rPr>
            <w:rStyle w:val="Hyperlink"/>
          </w:rPr>
          <w:t xml:space="preserve">Scheduling delegate's </w:t>
        </w:r>
        <w:r w:rsidRPr="00DB6580">
          <w:rPr>
            <w:rStyle w:val="Hyperlink"/>
          </w:rPr>
          <w:t>interim decisions</w:t>
        </w:r>
        <w:r w:rsidRPr="00E25E60">
          <w:rPr>
            <w:rStyle w:val="Hyperlink"/>
          </w:rPr>
          <w:t xml:space="preserve"> &amp; invitations for further comment</w:t>
        </w:r>
      </w:hyperlink>
      <w:r>
        <w:t xml:space="preserve"> in </w:t>
      </w:r>
      <w:r w:rsidRPr="00F12125">
        <w:rPr>
          <w:b/>
        </w:rPr>
        <w:t>September</w:t>
      </w:r>
      <w:r w:rsidRPr="00F12125">
        <w:t xml:space="preserve"> </w:t>
      </w:r>
      <w:r w:rsidRPr="00F12125">
        <w:rPr>
          <w:b/>
        </w:rPr>
        <w:t>2021</w:t>
      </w:r>
      <w:r>
        <w:t>.</w:t>
      </w:r>
    </w:p>
    <w:p w14:paraId="2E2CA59B" w14:textId="77777777" w:rsidR="00D062E0" w:rsidRDefault="00D062E0" w:rsidP="00D062E0">
      <w:pPr>
        <w:pStyle w:val="Heading2"/>
        <w:pageBreakBefore w:val="0"/>
      </w:pPr>
      <w:bookmarkStart w:id="44" w:name="_Toc70495054"/>
      <w:r>
        <w:t>Enquiries</w:t>
      </w:r>
      <w:bookmarkEnd w:id="44"/>
    </w:p>
    <w:p w14:paraId="3D544DBF" w14:textId="19AF7BAC" w:rsidR="003E3D34" w:rsidRPr="009401F6" w:rsidRDefault="00D062E0" w:rsidP="007A0507">
      <w:pPr>
        <w:sectPr w:rsidR="003E3D34" w:rsidRPr="009401F6" w:rsidSect="0074066C">
          <w:headerReference w:type="default" r:id="rId56"/>
          <w:footerReference w:type="default" r:id="rId57"/>
          <w:headerReference w:type="first" r:id="rId58"/>
          <w:footnotePr>
            <w:numRestart w:val="eachSect"/>
          </w:footnotePr>
          <w:type w:val="continuous"/>
          <w:pgSz w:w="11906" w:h="16838" w:code="9"/>
          <w:pgMar w:top="1530" w:right="1418" w:bottom="1361" w:left="1418" w:header="998" w:footer="283" w:gutter="0"/>
          <w:cols w:space="708"/>
          <w:titlePg/>
          <w:docGrid w:linePitch="360"/>
        </w:sectPr>
      </w:pPr>
      <w:r>
        <w:t xml:space="preserve">Any questions relating to submissions </w:t>
      </w:r>
      <w:proofErr w:type="gramStart"/>
      <w:r>
        <w:t>should be directed</w:t>
      </w:r>
      <w:proofErr w:type="gramEnd"/>
      <w:r>
        <w:t xml:space="preserve"> by email to </w:t>
      </w:r>
      <w:hyperlink r:id="rId59" w:history="1">
        <w:r w:rsidR="00D31FF5">
          <w:rPr>
            <w:rStyle w:val="Hyperlink"/>
          </w:rPr>
          <w:t>medicines.scheduling@health.gov.au</w:t>
        </w:r>
      </w:hyperlink>
    </w:p>
    <w:p w14:paraId="6BDF0E41" w14:textId="77777777" w:rsidR="0084580B" w:rsidRPr="009401F6" w:rsidRDefault="0084580B" w:rsidP="00F8404D">
      <w:pPr>
        <w:pStyle w:val="Footer"/>
      </w:pPr>
    </w:p>
    <w:sectPr w:rsidR="0084580B" w:rsidRPr="009401F6" w:rsidSect="00F8404D">
      <w:headerReference w:type="first" r:id="rId60"/>
      <w:footerReference w:type="first" r:id="rId61"/>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AFC5" w14:textId="77777777" w:rsidR="00D21DFA" w:rsidRDefault="00D21DFA" w:rsidP="00C40A36">
      <w:pPr>
        <w:spacing w:after="0"/>
      </w:pPr>
      <w:r>
        <w:separator/>
      </w:r>
    </w:p>
    <w:p w14:paraId="428D1C97" w14:textId="77777777" w:rsidR="00D21DFA" w:rsidRDefault="00D21DFA"/>
  </w:endnote>
  <w:endnote w:type="continuationSeparator" w:id="0">
    <w:p w14:paraId="0DEE48B8" w14:textId="77777777" w:rsidR="00D21DFA" w:rsidRDefault="00D21DFA" w:rsidP="00C40A36">
      <w:pPr>
        <w:spacing w:after="0"/>
      </w:pPr>
      <w:r>
        <w:continuationSeparator/>
      </w:r>
    </w:p>
    <w:p w14:paraId="09686D93" w14:textId="77777777" w:rsidR="00D21DFA" w:rsidRDefault="00D2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F41B" w14:textId="77777777" w:rsidR="00D21DFA" w:rsidRDefault="00D21DFA"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D21DFA" w:rsidRPr="00257138" w14:paraId="2ED96BC6" w14:textId="77777777" w:rsidTr="00A3654F">
      <w:trPr>
        <w:trHeight w:val="423"/>
      </w:trPr>
      <w:tc>
        <w:tcPr>
          <w:tcW w:w="4360" w:type="dxa"/>
          <w:tcBorders>
            <w:top w:val="single" w:sz="4" w:space="0" w:color="auto"/>
          </w:tcBorders>
        </w:tcPr>
        <w:p w14:paraId="3DD17199" w14:textId="77777777" w:rsidR="00D21DFA" w:rsidRDefault="00D21DFA" w:rsidP="008D4740">
          <w:pPr>
            <w:pStyle w:val="Footer"/>
          </w:pPr>
        </w:p>
        <w:p w14:paraId="26FFC07E" w14:textId="77777777" w:rsidR="00D21DFA" w:rsidRPr="00257138" w:rsidRDefault="00D21DFA"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14:paraId="3C88674F" w14:textId="77777777" w:rsidR="00D21DFA" w:rsidRDefault="00D21DFA" w:rsidP="008D4740">
              <w:pPr>
                <w:pStyle w:val="Footer"/>
                <w:jc w:val="right"/>
              </w:pPr>
            </w:p>
            <w:p w14:paraId="57F00AC1" w14:textId="74EA3E6D" w:rsidR="00D21DFA" w:rsidRPr="00257138" w:rsidRDefault="00D21DFA"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31</w:t>
                </w:r>
              </w:fldSimple>
            </w:p>
          </w:sdtContent>
        </w:sdt>
      </w:tc>
    </w:tr>
    <w:tr w:rsidR="00D21DFA" w:rsidRPr="00257138" w14:paraId="5FF2DDB5" w14:textId="77777777" w:rsidTr="00A3654F">
      <w:trPr>
        <w:trHeight w:val="263"/>
      </w:trPr>
      <w:tc>
        <w:tcPr>
          <w:tcW w:w="4360" w:type="dxa"/>
        </w:tcPr>
        <w:p w14:paraId="660866B7" w14:textId="77777777" w:rsidR="00D21DFA" w:rsidRPr="00257138" w:rsidRDefault="00D21DFA" w:rsidP="008D4740">
          <w:pPr>
            <w:pStyle w:val="Footer"/>
          </w:pPr>
          <w:r w:rsidRPr="00257138">
            <w:t xml:space="preserve">V1.0 </w:t>
          </w:r>
          <w:r>
            <w:t>Month</w:t>
          </w:r>
          <w:r w:rsidRPr="00257138">
            <w:t xml:space="preserve"> 201</w:t>
          </w:r>
          <w:r>
            <w:t>2</w:t>
          </w:r>
        </w:p>
      </w:tc>
      <w:tc>
        <w:tcPr>
          <w:tcW w:w="4360" w:type="dxa"/>
        </w:tcPr>
        <w:p w14:paraId="6B5967E0" w14:textId="77777777" w:rsidR="00D21DFA" w:rsidRPr="00257138" w:rsidRDefault="00D21DFA" w:rsidP="008D4740">
          <w:pPr>
            <w:pStyle w:val="Footer"/>
            <w:jc w:val="right"/>
          </w:pPr>
        </w:p>
      </w:tc>
    </w:tr>
  </w:tbl>
  <w:p w14:paraId="033040CC" w14:textId="77777777" w:rsidR="00D21DFA" w:rsidRPr="00826007" w:rsidRDefault="00D21DFA"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9C01" w14:textId="77777777" w:rsidR="00D21DFA" w:rsidRDefault="00D21DFA"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D21DFA" w:rsidRPr="00257138" w14:paraId="11EF2070" w14:textId="77777777" w:rsidTr="00D433BD">
      <w:trPr>
        <w:trHeight w:val="423"/>
      </w:trPr>
      <w:tc>
        <w:tcPr>
          <w:tcW w:w="7479" w:type="dxa"/>
        </w:tcPr>
        <w:p w14:paraId="668E2FA3" w14:textId="479D7A2C" w:rsidR="00D21DFA" w:rsidRPr="00257138" w:rsidRDefault="00D21DFA" w:rsidP="005026FE">
          <w:pPr>
            <w:pStyle w:val="Footer"/>
            <w:spacing w:before="120" w:after="120"/>
          </w:pPr>
          <w:r>
            <w:t>Consultation: Proposed amendments to the Poisons Standard –ACMS, June 2021</w:t>
          </w:r>
        </w:p>
      </w:tc>
      <w:tc>
        <w:tcPr>
          <w:tcW w:w="1593" w:type="dxa"/>
        </w:tcPr>
        <w:sdt>
          <w:sdtPr>
            <w:id w:val="3702141"/>
            <w:docPartObj>
              <w:docPartGallery w:val="Page Numbers (Top of Page)"/>
              <w:docPartUnique/>
            </w:docPartObj>
          </w:sdtPr>
          <w:sdtEndPr/>
          <w:sdtContent>
            <w:p w14:paraId="77C66A76" w14:textId="529D057F" w:rsidR="00D21DFA" w:rsidRPr="00257138" w:rsidRDefault="00D21DFA" w:rsidP="00EE1482">
              <w:pPr>
                <w:pStyle w:val="Footer"/>
                <w:spacing w:before="120" w:after="120"/>
                <w:jc w:val="right"/>
              </w:pPr>
              <w:r w:rsidRPr="00257138">
                <w:t xml:space="preserve">Page </w:t>
              </w:r>
              <w:r>
                <w:fldChar w:fldCharType="begin"/>
              </w:r>
              <w:r>
                <w:instrText xml:space="preserve"> PAGE </w:instrText>
              </w:r>
              <w:r>
                <w:fldChar w:fldCharType="separate"/>
              </w:r>
              <w:r w:rsidR="000D4FA3">
                <w:rPr>
                  <w:noProof/>
                </w:rPr>
                <w:t>21</w:t>
              </w:r>
              <w:r>
                <w:rPr>
                  <w:noProof/>
                </w:rPr>
                <w:fldChar w:fldCharType="end"/>
              </w:r>
              <w:r w:rsidRPr="00257138">
                <w:t xml:space="preserve"> of </w:t>
              </w:r>
              <w:fldSimple w:instr=" NUMPAGES  ">
                <w:r w:rsidR="000D4FA3">
                  <w:rPr>
                    <w:noProof/>
                  </w:rPr>
                  <w:t>22</w:t>
                </w:r>
              </w:fldSimple>
            </w:p>
          </w:sdtContent>
        </w:sdt>
      </w:tc>
    </w:tr>
  </w:tbl>
  <w:p w14:paraId="1DBC2E00" w14:textId="77777777" w:rsidR="00D21DFA" w:rsidRPr="00826007" w:rsidRDefault="00D21DFA"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368C" w14:textId="77777777" w:rsidR="00D21DFA" w:rsidRPr="00F8404D" w:rsidRDefault="00D21DFA"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7177" w14:textId="77777777" w:rsidR="00D21DFA" w:rsidRDefault="00D21DFA" w:rsidP="00FE1941">
      <w:pPr>
        <w:spacing w:after="0"/>
      </w:pPr>
      <w:r>
        <w:separator/>
      </w:r>
    </w:p>
  </w:footnote>
  <w:footnote w:type="continuationSeparator" w:id="0">
    <w:p w14:paraId="0238C5D0" w14:textId="77777777" w:rsidR="00D21DFA" w:rsidRDefault="00D21DFA" w:rsidP="00C40A36">
      <w:pPr>
        <w:spacing w:after="0"/>
      </w:pPr>
      <w:r>
        <w:continuationSeparator/>
      </w:r>
    </w:p>
    <w:p w14:paraId="57096D44" w14:textId="77777777" w:rsidR="00D21DFA" w:rsidRDefault="00D21DFA"/>
  </w:footnote>
  <w:footnote w:id="1">
    <w:p w14:paraId="35BE264F" w14:textId="77777777" w:rsidR="00D21DFA" w:rsidRDefault="00D21DFA" w:rsidP="00664626">
      <w:pPr>
        <w:pStyle w:val="FootnoteText"/>
      </w:pPr>
      <w:r>
        <w:rPr>
          <w:rStyle w:val="FootnoteReference"/>
        </w:rPr>
        <w:footnoteRef/>
      </w:r>
      <w:r>
        <w:t xml:space="preserve"> </w:t>
      </w:r>
      <w:r w:rsidRPr="00C81411">
        <w:t>TGA Ingredient Database</w:t>
      </w:r>
      <w:r>
        <w:t xml:space="preserve"> </w:t>
      </w:r>
      <w:hyperlink r:id="rId1" w:history="1">
        <w:r w:rsidRPr="00C81411">
          <w:rPr>
            <w:rStyle w:val="Hyperlink"/>
            <w:color w:val="002C47" w:themeColor="text2"/>
          </w:rPr>
          <w:t>https://www.ebs.tga.gov.au/</w:t>
        </w:r>
      </w:hyperlink>
    </w:p>
  </w:footnote>
  <w:footnote w:id="2">
    <w:p w14:paraId="50C98C96" w14:textId="77777777" w:rsidR="00D21DFA" w:rsidRDefault="00D21DFA" w:rsidP="00664626">
      <w:pPr>
        <w:pStyle w:val="FootnoteText"/>
      </w:pPr>
      <w:r>
        <w:rPr>
          <w:rStyle w:val="FootnoteReference"/>
        </w:rPr>
        <w:footnoteRef/>
      </w:r>
      <w:r>
        <w:t xml:space="preserve"> ARTG database </w:t>
      </w:r>
      <w:hyperlink r:id="rId2" w:history="1">
        <w:r w:rsidRPr="00025BAA">
          <w:rPr>
            <w:rStyle w:val="Hyperlink"/>
          </w:rPr>
          <w:t>https://www.tga.gov.au/artg</w:t>
        </w:r>
      </w:hyperlink>
      <w:r>
        <w:t xml:space="preserve"> </w:t>
      </w:r>
    </w:p>
  </w:footnote>
  <w:footnote w:id="3">
    <w:p w14:paraId="1D2D4853" w14:textId="77777777" w:rsidR="00D21DFA" w:rsidRDefault="00D21DFA" w:rsidP="00664626">
      <w:pPr>
        <w:pStyle w:val="FootnoteText"/>
      </w:pPr>
      <w:r>
        <w:rPr>
          <w:rStyle w:val="FootnoteReference"/>
        </w:rPr>
        <w:footnoteRef/>
      </w:r>
      <w:r>
        <w:t xml:space="preserve"> </w:t>
      </w:r>
      <w:r w:rsidRPr="007F3638">
        <w:t>Therapeutic Goods (Permissible Ingredients) Determination</w:t>
      </w:r>
      <w:r>
        <w:t xml:space="preserve"> </w:t>
      </w:r>
      <w:hyperlink r:id="rId3" w:history="1">
        <w:r w:rsidRPr="00C51833">
          <w:rPr>
            <w:rStyle w:val="Hyperlink"/>
          </w:rPr>
          <w:t>https://www.legislation.gov.au/Search/Therapeutic%20Goods%20$LB$Permissible%20Ingredients$RB$%20Determination</w:t>
        </w:r>
      </w:hyperlink>
      <w:r>
        <w:t xml:space="preserve"> </w:t>
      </w:r>
    </w:p>
  </w:footnote>
  <w:footnote w:id="4">
    <w:p w14:paraId="4D7D30D5" w14:textId="77777777" w:rsidR="00D21DFA" w:rsidRPr="002F1C5C" w:rsidRDefault="00D21DFA" w:rsidP="00664626">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4" w:history="1">
        <w:r w:rsidRPr="00E974A4">
          <w:rPr>
            <w:rStyle w:val="Hyperlink"/>
            <w:szCs w:val="16"/>
          </w:rPr>
          <w:t>https://www.tga.gov.au/prescribing-medicines-pregnancy-database</w:t>
        </w:r>
      </w:hyperlink>
      <w:r>
        <w:rPr>
          <w:szCs w:val="16"/>
        </w:rPr>
        <w:t xml:space="preserve"> </w:t>
      </w:r>
    </w:p>
  </w:footnote>
  <w:footnote w:id="5">
    <w:p w14:paraId="51D995EC" w14:textId="77777777" w:rsidR="00D21DFA" w:rsidRDefault="00D21DFA" w:rsidP="00664626">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5" w:history="1">
        <w:r w:rsidRPr="00FC5165">
          <w:rPr>
            <w:rStyle w:val="Hyperlink"/>
          </w:rPr>
          <w:t>https://www.legislation.gov.au/Details/F2019L00213</w:t>
        </w:r>
      </w:hyperlink>
      <w:r>
        <w:t xml:space="preserve"> </w:t>
      </w:r>
    </w:p>
  </w:footnote>
  <w:footnote w:id="6">
    <w:p w14:paraId="2AF1FBB5" w14:textId="6CEDCCBA" w:rsidR="00D21DFA" w:rsidRDefault="00D21DFA" w:rsidP="008D1EEC">
      <w:pPr>
        <w:pStyle w:val="FootnoteText"/>
      </w:pPr>
      <w:r>
        <w:rPr>
          <w:rStyle w:val="FootnoteReference"/>
        </w:rPr>
        <w:footnoteRef/>
      </w:r>
      <w:r>
        <w:t xml:space="preserve"> Database of Adverse Event Notifications – medicines</w:t>
      </w:r>
    </w:p>
    <w:p w14:paraId="2214B614" w14:textId="457BA39C" w:rsidR="00D21DFA" w:rsidRPr="00BB3154" w:rsidRDefault="000D4FA3" w:rsidP="008D1EEC">
      <w:pPr>
        <w:pStyle w:val="FootnoteText"/>
        <w:rPr>
          <w:rStyle w:val="Hyperlink"/>
        </w:rPr>
      </w:pPr>
      <w:hyperlink r:id="rId6" w:history="1">
        <w:r w:rsidR="00D21DFA" w:rsidRPr="00BB3154">
          <w:rPr>
            <w:rStyle w:val="Hyperlink"/>
          </w:rPr>
          <w:t>https://apps.tga.gov.au/Prod/daen/daen-entry.aspx</w:t>
        </w:r>
      </w:hyperlink>
    </w:p>
  </w:footnote>
  <w:footnote w:id="7">
    <w:p w14:paraId="076054EB" w14:textId="200D6C4E" w:rsidR="00D21DFA" w:rsidRDefault="00D21DFA" w:rsidP="003B6119">
      <w:pPr>
        <w:pStyle w:val="FootnoteText"/>
      </w:pPr>
      <w:r>
        <w:rPr>
          <w:rStyle w:val="FootnoteReference"/>
        </w:rPr>
        <w:footnoteRef/>
      </w:r>
      <w:r>
        <w:t xml:space="preserve"> WHO model list of essential medicines – 21</w:t>
      </w:r>
      <w:r w:rsidRPr="003B6119">
        <w:rPr>
          <w:vertAlign w:val="superscript"/>
        </w:rPr>
        <w:t>st</w:t>
      </w:r>
      <w:r>
        <w:t xml:space="preserve"> list, 2019 </w:t>
      </w:r>
      <w:r>
        <w:rPr>
          <w:rStyle w:val="Hyperlink"/>
        </w:rPr>
        <w:t xml:space="preserve"> </w:t>
      </w:r>
      <w:hyperlink r:id="rId7" w:history="1">
        <w:r w:rsidRPr="00054C51">
          <w:rPr>
            <w:rStyle w:val="Hyperlink"/>
          </w:rPr>
          <w:t>www.who.int/publications/i/item/WHOMVPEMPIAU2019.06</w:t>
        </w:r>
      </w:hyperlink>
    </w:p>
  </w:footnote>
  <w:footnote w:id="8">
    <w:p w14:paraId="14063303" w14:textId="22711B6F" w:rsidR="00D21DFA" w:rsidRPr="00710082" w:rsidRDefault="00D21DFA" w:rsidP="00710082">
      <w:pPr>
        <w:pStyle w:val="FootnoteText"/>
        <w:rPr>
          <w:rStyle w:val="Hyperlink"/>
        </w:rPr>
      </w:pPr>
      <w:r>
        <w:rPr>
          <w:rStyle w:val="FootnoteReference"/>
        </w:rPr>
        <w:footnoteRef/>
      </w:r>
      <w:r>
        <w:t xml:space="preserve"> </w:t>
      </w:r>
      <w:r w:rsidRPr="002A4D44">
        <w:t>FDA Approved Drug Products</w:t>
      </w:r>
      <w:r>
        <w:t xml:space="preserve"> Database </w:t>
      </w:r>
      <w:hyperlink r:id="rId8" w:history="1">
        <w:r w:rsidRPr="00FC7DB7">
          <w:rPr>
            <w:rStyle w:val="Hyperlink"/>
          </w:rPr>
          <w:t>https://www.accessdata.fda.gov/scripts/cder/daf/</w:t>
        </w:r>
      </w:hyperlink>
      <w:r>
        <w:t xml:space="preserve">  </w:t>
      </w:r>
    </w:p>
  </w:footnote>
  <w:footnote w:id="9">
    <w:p w14:paraId="3B9E3796" w14:textId="191709F0" w:rsidR="00D21DFA" w:rsidRDefault="00D21DFA" w:rsidP="00710082">
      <w:pPr>
        <w:pStyle w:val="FootnoteText"/>
        <w:rPr>
          <w:rStyle w:val="Hyperlink"/>
        </w:rPr>
      </w:pPr>
      <w:r>
        <w:rPr>
          <w:rStyle w:val="FootnoteReference"/>
        </w:rPr>
        <w:footnoteRef/>
      </w:r>
      <w:r>
        <w:t xml:space="preserve"> </w:t>
      </w:r>
      <w:r w:rsidRPr="00622181">
        <w:t>European Commission database for information on cosmetic substances and ingredients database</w:t>
      </w:r>
      <w:r>
        <w:rPr>
          <w:rStyle w:val="Hyperlink"/>
        </w:rPr>
        <w:t xml:space="preserve"> </w:t>
      </w:r>
    </w:p>
    <w:p w14:paraId="24327580" w14:textId="31F914C2" w:rsidR="00D21DFA" w:rsidRPr="00622181" w:rsidRDefault="00D21DFA" w:rsidP="00710082">
      <w:pPr>
        <w:pStyle w:val="FootnoteText"/>
        <w:rPr>
          <w:rStyle w:val="Hyperlink"/>
        </w:rPr>
      </w:pPr>
      <w:r w:rsidRPr="00622181">
        <w:rPr>
          <w:rStyle w:val="Hyperlink"/>
        </w:rPr>
        <w:t>https://ec.europa.eu/growth/tools-databases/cosing/</w:t>
      </w:r>
    </w:p>
  </w:footnote>
  <w:footnote w:id="10">
    <w:p w14:paraId="43DC277A" w14:textId="77777777" w:rsidR="00D21DFA" w:rsidRDefault="00D21DFA" w:rsidP="00710082">
      <w:pPr>
        <w:pStyle w:val="FootnoteText"/>
      </w:pPr>
      <w:r>
        <w:rPr>
          <w:rStyle w:val="FootnoteReference"/>
        </w:rPr>
        <w:footnoteRef/>
      </w:r>
      <w:r>
        <w:t xml:space="preserve"> </w:t>
      </w:r>
      <w:r w:rsidRPr="00B47755">
        <w:t>Canadian (Health Canada) Drug Product Database</w:t>
      </w:r>
      <w:r>
        <w:t xml:space="preserve"> </w:t>
      </w:r>
      <w:hyperlink r:id="rId9" w:history="1">
        <w:r w:rsidRPr="00FC7DB7">
          <w:rPr>
            <w:rStyle w:val="Hyperlink"/>
          </w:rPr>
          <w:t>https://health-products.canada.ca/dpd-bdpp/index-eng.jsp</w:t>
        </w:r>
      </w:hyperlink>
      <w:r>
        <w:t xml:space="preserve"> </w:t>
      </w:r>
    </w:p>
  </w:footnote>
  <w:footnote w:id="11">
    <w:p w14:paraId="2DC5F151" w14:textId="77777777" w:rsidR="00D21DFA" w:rsidRDefault="00D21DFA" w:rsidP="008D08E6">
      <w:pPr>
        <w:pStyle w:val="FootnoteText"/>
      </w:pPr>
      <w:r>
        <w:rPr>
          <w:rStyle w:val="FootnoteReference"/>
        </w:rPr>
        <w:footnoteRef/>
      </w:r>
      <w:r>
        <w:t xml:space="preserve"> Health Products Regulatory Authority (HPRA)</w:t>
      </w:r>
    </w:p>
    <w:p w14:paraId="74B72EA9" w14:textId="1D1B86FE" w:rsidR="00D21DFA" w:rsidRDefault="000D4FA3" w:rsidP="008D08E6">
      <w:pPr>
        <w:pStyle w:val="FootnoteText"/>
      </w:pPr>
      <w:hyperlink r:id="rId10" w:history="1">
        <w:r w:rsidR="00D21DFA" w:rsidRPr="00054C51">
          <w:rPr>
            <w:rStyle w:val="Hyperlink"/>
          </w:rPr>
          <w:t>https://www.hpra.ie/homepage/medicines/medicines-information/find-a-medicine/results?query=&amp;field</w:t>
        </w:r>
      </w:hyperlink>
      <w:r w:rsidR="00D21DFA" w:rsidRPr="005A27ED">
        <w:t>=</w:t>
      </w:r>
    </w:p>
  </w:footnote>
  <w:footnote w:id="12">
    <w:p w14:paraId="2B47CD30" w14:textId="77777777" w:rsidR="00D21DFA" w:rsidRDefault="00D21DFA" w:rsidP="0086679C">
      <w:pPr>
        <w:pStyle w:val="FootnoteText"/>
      </w:pPr>
      <w:r>
        <w:rPr>
          <w:rStyle w:val="FootnoteReference"/>
        </w:rPr>
        <w:footnoteRef/>
      </w:r>
      <w:r>
        <w:t xml:space="preserve"> </w:t>
      </w:r>
      <w:r w:rsidRPr="00B47755">
        <w:t>New Zealand Inventory of Chemicals (</w:t>
      </w:r>
      <w:proofErr w:type="spellStart"/>
      <w:r w:rsidRPr="00B47755">
        <w:t>NZIoC</w:t>
      </w:r>
      <w:proofErr w:type="spellEnd"/>
      <w:r w:rsidRPr="00B47755">
        <w:t>)</w:t>
      </w:r>
    </w:p>
    <w:p w14:paraId="15A5A294" w14:textId="3B0A549A" w:rsidR="00D21DFA" w:rsidRDefault="000D4FA3" w:rsidP="0086679C">
      <w:pPr>
        <w:pStyle w:val="FootnoteText"/>
      </w:pPr>
      <w:hyperlink r:id="rId11" w:history="1">
        <w:r w:rsidR="00D21DFA" w:rsidRPr="00054C51">
          <w:rPr>
            <w:rStyle w:val="Hyperlink"/>
          </w:rPr>
          <w:t>https://www.epa.govt.nz/database-search/new-zealand-inventory-of-chemicals-nzioc/DatabaseSearchForm/?SiteDatabaseSearchFilters=36&amp;Keyword=acequinocyl&amp;DatabaseType=NZIOC</w:t>
        </w:r>
      </w:hyperlink>
      <w:r w:rsidR="00D21DFA">
        <w:rPr>
          <w:rStyle w:val="Hyperlink"/>
        </w:rPr>
        <w:t xml:space="preserve"> </w:t>
      </w:r>
    </w:p>
  </w:footnote>
  <w:footnote w:id="13">
    <w:p w14:paraId="080BF174" w14:textId="77777777" w:rsidR="00D21DFA" w:rsidRDefault="00D21DFA" w:rsidP="00584D0D">
      <w:pPr>
        <w:pStyle w:val="FootnoteText"/>
      </w:pPr>
      <w:r>
        <w:rPr>
          <w:rStyle w:val="FootnoteReference"/>
        </w:rPr>
        <w:footnoteRef/>
      </w:r>
      <w:r>
        <w:t xml:space="preserve"> </w:t>
      </w:r>
      <w:r w:rsidRPr="00B47755">
        <w:t>New Zealand Medicines and Medical Devices Safety Authority (</w:t>
      </w:r>
      <w:proofErr w:type="spellStart"/>
      <w:r w:rsidRPr="00B47755">
        <w:t>MedSafe</w:t>
      </w:r>
      <w:proofErr w:type="spellEnd"/>
      <w:r w:rsidRPr="00B47755">
        <w:t>)</w:t>
      </w:r>
      <w:r>
        <w:t xml:space="preserve"> </w:t>
      </w:r>
      <w:hyperlink r:id="rId12" w:history="1">
        <w:r w:rsidRPr="00FC7DB7">
          <w:rPr>
            <w:rStyle w:val="Hyperlink"/>
          </w:rPr>
          <w:t>https://www.medsafe.govt.nz/profs/class/classintro.asp</w:t>
        </w:r>
      </w:hyperlink>
      <w:r>
        <w:t xml:space="preserve">  </w:t>
      </w:r>
    </w:p>
  </w:footnote>
  <w:footnote w:id="14">
    <w:p w14:paraId="2237C5B2" w14:textId="77777777" w:rsidR="00D21DFA" w:rsidRDefault="00D21DFA" w:rsidP="00E24165">
      <w:pPr>
        <w:pStyle w:val="FootnoteText"/>
      </w:pPr>
      <w:r>
        <w:rPr>
          <w:rStyle w:val="FootnoteReference"/>
        </w:rPr>
        <w:footnoteRef/>
      </w:r>
      <w:r>
        <w:t xml:space="preserve"> </w:t>
      </w:r>
      <w:r w:rsidRPr="00C81411">
        <w:t>TGA Ingredient Database</w:t>
      </w:r>
      <w:r>
        <w:t xml:space="preserve"> </w:t>
      </w:r>
      <w:hyperlink r:id="rId13" w:history="1">
        <w:r w:rsidRPr="00C81411">
          <w:rPr>
            <w:rStyle w:val="Hyperlink"/>
            <w:color w:val="002C47" w:themeColor="text2"/>
          </w:rPr>
          <w:t>https://www.ebs.tga.gov.au/</w:t>
        </w:r>
      </w:hyperlink>
    </w:p>
  </w:footnote>
  <w:footnote w:id="15">
    <w:p w14:paraId="14EC1B21" w14:textId="77777777" w:rsidR="00D21DFA" w:rsidRDefault="00D21DFA" w:rsidP="00E24165">
      <w:pPr>
        <w:pStyle w:val="FootnoteText"/>
      </w:pPr>
      <w:r>
        <w:rPr>
          <w:rStyle w:val="FootnoteReference"/>
        </w:rPr>
        <w:footnoteRef/>
      </w:r>
      <w:r>
        <w:t xml:space="preserve"> ARTG database </w:t>
      </w:r>
      <w:hyperlink r:id="rId14" w:history="1">
        <w:r w:rsidRPr="00025BAA">
          <w:rPr>
            <w:rStyle w:val="Hyperlink"/>
          </w:rPr>
          <w:t>https://www.tga.gov.au/artg</w:t>
        </w:r>
      </w:hyperlink>
      <w:r>
        <w:t xml:space="preserve"> </w:t>
      </w:r>
    </w:p>
  </w:footnote>
  <w:footnote w:id="16">
    <w:p w14:paraId="2B954257" w14:textId="77777777" w:rsidR="00D21DFA" w:rsidRDefault="00D21DFA" w:rsidP="00D233D5">
      <w:pPr>
        <w:pStyle w:val="FootnoteText"/>
      </w:pPr>
      <w:r>
        <w:rPr>
          <w:rStyle w:val="FootnoteReference"/>
        </w:rPr>
        <w:footnoteRef/>
      </w:r>
      <w:r>
        <w:t xml:space="preserve"> </w:t>
      </w:r>
      <w:r w:rsidRPr="007F3638">
        <w:t>Therapeutic Goods (Permissible Ingredients) Determination</w:t>
      </w:r>
      <w:r>
        <w:t xml:space="preserve"> </w:t>
      </w:r>
      <w:hyperlink r:id="rId15" w:history="1">
        <w:r w:rsidRPr="00C51833">
          <w:rPr>
            <w:rStyle w:val="Hyperlink"/>
          </w:rPr>
          <w:t>https://www.legislation.gov.au/Search/Therapeutic%20Goods%20$LB$Permissible%20Ingredients$RB$%20Determination</w:t>
        </w:r>
      </w:hyperlink>
      <w:r>
        <w:t xml:space="preserve"> </w:t>
      </w:r>
    </w:p>
  </w:footnote>
  <w:footnote w:id="17">
    <w:p w14:paraId="2D3BF128" w14:textId="77777777" w:rsidR="00D21DFA" w:rsidRPr="002F1C5C" w:rsidRDefault="00D21DFA" w:rsidP="00D233D5">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6" w:history="1">
        <w:r w:rsidRPr="00E974A4">
          <w:rPr>
            <w:rStyle w:val="Hyperlink"/>
            <w:szCs w:val="16"/>
          </w:rPr>
          <w:t>https://www.tga.gov.au/prescribing-medicines-pregnancy-database</w:t>
        </w:r>
      </w:hyperlink>
      <w:r>
        <w:rPr>
          <w:szCs w:val="16"/>
        </w:rPr>
        <w:t xml:space="preserve"> </w:t>
      </w:r>
    </w:p>
  </w:footnote>
  <w:footnote w:id="18">
    <w:p w14:paraId="2C353434" w14:textId="77777777" w:rsidR="00D21DFA" w:rsidRDefault="00D21DFA" w:rsidP="00D233D5">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7" w:history="1">
        <w:r w:rsidRPr="00FC5165">
          <w:rPr>
            <w:rStyle w:val="Hyperlink"/>
          </w:rPr>
          <w:t>https://www.legislation.gov.au/Details/F2019L00213</w:t>
        </w:r>
      </w:hyperlink>
      <w:r>
        <w:t xml:space="preserve"> </w:t>
      </w:r>
    </w:p>
  </w:footnote>
  <w:footnote w:id="19">
    <w:p w14:paraId="41DF2975" w14:textId="5FC3ADF7" w:rsidR="00D21DFA" w:rsidRPr="00BB3154" w:rsidRDefault="00D21DFA" w:rsidP="009F14FA">
      <w:pPr>
        <w:pStyle w:val="FootnoteText"/>
        <w:rPr>
          <w:rStyle w:val="Hyperlink"/>
        </w:rPr>
      </w:pPr>
      <w:r>
        <w:rPr>
          <w:rStyle w:val="FootnoteReference"/>
        </w:rPr>
        <w:footnoteRef/>
      </w:r>
      <w:r>
        <w:t xml:space="preserve"> Database of Adverse Event Notifications – medicines </w:t>
      </w:r>
      <w:hyperlink r:id="rId18" w:history="1">
        <w:r w:rsidRPr="00BB3154">
          <w:rPr>
            <w:rStyle w:val="Hyperlink"/>
          </w:rPr>
          <w:t>https://apps.tga.gov.au/Prod/daen/daen-entry.aspx</w:t>
        </w:r>
      </w:hyperlink>
    </w:p>
  </w:footnote>
  <w:footnote w:id="20">
    <w:p w14:paraId="71B56B6F" w14:textId="0CCE1C8D" w:rsidR="00D21DFA" w:rsidRPr="00BB3154" w:rsidRDefault="00D21DFA" w:rsidP="009F14FA">
      <w:pPr>
        <w:pStyle w:val="FootnoteText"/>
        <w:rPr>
          <w:rStyle w:val="Hyperlink"/>
        </w:rPr>
      </w:pPr>
      <w:r>
        <w:rPr>
          <w:rStyle w:val="FootnoteReference"/>
        </w:rPr>
        <w:footnoteRef/>
      </w:r>
      <w:r>
        <w:t xml:space="preserve"> Database of Adverse Event Notifications – medicines </w:t>
      </w:r>
      <w:hyperlink r:id="rId19" w:history="1">
        <w:r w:rsidRPr="009F14FA">
          <w:rPr>
            <w:rStyle w:val="Hyperlink"/>
          </w:rPr>
          <w:t>https://portal.apvma.gov.au/pubcris</w:t>
        </w:r>
      </w:hyperlink>
    </w:p>
  </w:footnote>
  <w:footnote w:id="21">
    <w:p w14:paraId="5113617B" w14:textId="77777777" w:rsidR="00D21DFA" w:rsidRDefault="00D21DFA" w:rsidP="00CA332B">
      <w:pPr>
        <w:pStyle w:val="FootnoteText"/>
      </w:pPr>
      <w:r>
        <w:rPr>
          <w:rStyle w:val="FootnoteReference"/>
        </w:rPr>
        <w:footnoteRef/>
      </w:r>
      <w:r>
        <w:t xml:space="preserve"> WHO model list of essential medicines – 21</w:t>
      </w:r>
      <w:r w:rsidRPr="003B6119">
        <w:rPr>
          <w:vertAlign w:val="superscript"/>
        </w:rPr>
        <w:t>st</w:t>
      </w:r>
      <w:r>
        <w:t xml:space="preserve"> list, 2019 </w:t>
      </w:r>
      <w:r>
        <w:rPr>
          <w:rStyle w:val="Hyperlink"/>
        </w:rPr>
        <w:t xml:space="preserve"> </w:t>
      </w:r>
      <w:hyperlink r:id="rId20" w:history="1">
        <w:r w:rsidRPr="00054C51">
          <w:rPr>
            <w:rStyle w:val="Hyperlink"/>
          </w:rPr>
          <w:t>www.who.int/publications/i/item/WHOMVPEMPIAU2019.06</w:t>
        </w:r>
      </w:hyperlink>
    </w:p>
  </w:footnote>
  <w:footnote w:id="22">
    <w:p w14:paraId="7F3D10AA" w14:textId="77777777" w:rsidR="00D21DFA" w:rsidRDefault="00D21DFA" w:rsidP="00CA332B">
      <w:pPr>
        <w:pStyle w:val="FootnoteText"/>
      </w:pPr>
      <w:r>
        <w:rPr>
          <w:rStyle w:val="FootnoteReference"/>
        </w:rPr>
        <w:footnoteRef/>
      </w:r>
      <w:r>
        <w:t xml:space="preserve"> Health Products Regulatory Authority (HPRA)</w:t>
      </w:r>
    </w:p>
    <w:p w14:paraId="64B5447D" w14:textId="77777777" w:rsidR="00D21DFA" w:rsidRDefault="000D4FA3" w:rsidP="00CA332B">
      <w:pPr>
        <w:pStyle w:val="FootnoteText"/>
      </w:pPr>
      <w:hyperlink r:id="rId21" w:history="1">
        <w:r w:rsidR="00D21DFA" w:rsidRPr="00054C51">
          <w:rPr>
            <w:rStyle w:val="Hyperlink"/>
          </w:rPr>
          <w:t>https://www.hpra.ie/homepage/medicines/medicines-information/find-a-medicine/results?query=&amp;field</w:t>
        </w:r>
      </w:hyperlink>
      <w:r w:rsidR="00D21DFA" w:rsidRPr="005A27ED">
        <w:t>=</w:t>
      </w:r>
    </w:p>
  </w:footnote>
  <w:footnote w:id="23">
    <w:p w14:paraId="7123A2F7" w14:textId="77777777" w:rsidR="00D21DFA" w:rsidRPr="00710082" w:rsidRDefault="00D21DFA" w:rsidP="00CA332B">
      <w:pPr>
        <w:pStyle w:val="FootnoteText"/>
        <w:rPr>
          <w:rStyle w:val="Hyperlink"/>
        </w:rPr>
      </w:pPr>
      <w:r>
        <w:rPr>
          <w:rStyle w:val="FootnoteReference"/>
        </w:rPr>
        <w:footnoteRef/>
      </w:r>
      <w:r>
        <w:t xml:space="preserve"> </w:t>
      </w:r>
      <w:r w:rsidRPr="002A4D44">
        <w:t>FDA Approved Drug Products</w:t>
      </w:r>
      <w:r>
        <w:t xml:space="preserve"> Database </w:t>
      </w:r>
      <w:hyperlink r:id="rId22" w:history="1">
        <w:r w:rsidRPr="00FC7DB7">
          <w:rPr>
            <w:rStyle w:val="Hyperlink"/>
          </w:rPr>
          <w:t>https://www.accessdata.fda.gov/scripts/cder/daf/</w:t>
        </w:r>
      </w:hyperlink>
      <w:r>
        <w:t xml:space="preserve">  </w:t>
      </w:r>
    </w:p>
  </w:footnote>
  <w:footnote w:id="24">
    <w:p w14:paraId="35443A2D" w14:textId="77777777" w:rsidR="00D21DFA" w:rsidRDefault="00D21DFA" w:rsidP="00B74321">
      <w:pPr>
        <w:pStyle w:val="FootnoteText"/>
      </w:pPr>
      <w:r>
        <w:rPr>
          <w:rStyle w:val="FootnoteReference"/>
        </w:rPr>
        <w:footnoteRef/>
      </w:r>
      <w:r>
        <w:t xml:space="preserve"> </w:t>
      </w:r>
      <w:r w:rsidRPr="00B47755">
        <w:t>Canadian (Health Canada) Drug Product Database</w:t>
      </w:r>
      <w:r>
        <w:t xml:space="preserve"> </w:t>
      </w:r>
      <w:hyperlink r:id="rId23" w:history="1">
        <w:r w:rsidRPr="00FC7DB7">
          <w:rPr>
            <w:rStyle w:val="Hyperlink"/>
          </w:rPr>
          <w:t>https://health-products.canada.ca/dpd-bdpp/index-eng.jsp</w:t>
        </w:r>
      </w:hyperlink>
      <w:r>
        <w:t xml:space="preserve"> </w:t>
      </w:r>
    </w:p>
  </w:footnote>
  <w:footnote w:id="25">
    <w:p w14:paraId="5682FB42" w14:textId="77777777" w:rsidR="00D21DFA" w:rsidRDefault="00D21DFA" w:rsidP="00643DF9">
      <w:pPr>
        <w:pStyle w:val="FootnoteText"/>
      </w:pPr>
      <w:r>
        <w:rPr>
          <w:rStyle w:val="FootnoteReference"/>
        </w:rPr>
        <w:footnoteRef/>
      </w:r>
      <w:r>
        <w:t xml:space="preserve"> </w:t>
      </w:r>
      <w:r w:rsidRPr="00B47755">
        <w:t>New Zealand Medicines and Medical Devices Safety Authority (</w:t>
      </w:r>
      <w:proofErr w:type="spellStart"/>
      <w:r w:rsidRPr="00B47755">
        <w:t>MedSafe</w:t>
      </w:r>
      <w:proofErr w:type="spellEnd"/>
      <w:r w:rsidRPr="00B47755">
        <w:t>)</w:t>
      </w:r>
      <w:r>
        <w:t xml:space="preserve"> </w:t>
      </w:r>
      <w:hyperlink r:id="rId24" w:history="1">
        <w:r w:rsidRPr="00FC7DB7">
          <w:rPr>
            <w:rStyle w:val="Hyperlink"/>
          </w:rPr>
          <w:t>https://www.medsafe.govt.nz/profs/class/classintro.asp</w:t>
        </w:r>
      </w:hyperlink>
      <w:r>
        <w:t xml:space="preserve">  </w:t>
      </w:r>
    </w:p>
  </w:footnote>
  <w:footnote w:id="26">
    <w:p w14:paraId="1969FAD0" w14:textId="3D066E96" w:rsidR="00D21DFA" w:rsidRDefault="00D21DFA" w:rsidP="005955FB">
      <w:pPr>
        <w:pStyle w:val="FootnoteText"/>
      </w:pPr>
      <w:r>
        <w:rPr>
          <w:rStyle w:val="FootnoteReference"/>
        </w:rPr>
        <w:footnoteRef/>
      </w:r>
      <w:r>
        <w:t xml:space="preserve"> </w:t>
      </w:r>
      <w:r w:rsidRPr="00C81411">
        <w:t>TGA Ingredient Database</w:t>
      </w:r>
      <w:r>
        <w:t xml:space="preserve"> </w:t>
      </w:r>
      <w:hyperlink r:id="rId25" w:history="1">
        <w:r w:rsidRPr="00C81411">
          <w:rPr>
            <w:rStyle w:val="Hyperlink"/>
            <w:color w:val="002C47" w:themeColor="text2"/>
          </w:rPr>
          <w:t>https://www.ebs.tga.gov.au/</w:t>
        </w:r>
      </w:hyperlink>
    </w:p>
  </w:footnote>
  <w:footnote w:id="27">
    <w:p w14:paraId="5AE2B728" w14:textId="77777777" w:rsidR="00D21DFA" w:rsidRDefault="00D21DFA" w:rsidP="00E24165">
      <w:pPr>
        <w:pStyle w:val="FootnoteText"/>
      </w:pPr>
      <w:r>
        <w:rPr>
          <w:rStyle w:val="FootnoteReference"/>
        </w:rPr>
        <w:footnoteRef/>
      </w:r>
      <w:r>
        <w:t xml:space="preserve"> ARTG database </w:t>
      </w:r>
      <w:hyperlink r:id="rId26" w:history="1">
        <w:r w:rsidRPr="00025BAA">
          <w:rPr>
            <w:rStyle w:val="Hyperlink"/>
          </w:rPr>
          <w:t>https://www.tga.gov.au/artg</w:t>
        </w:r>
      </w:hyperlink>
      <w:r>
        <w:t xml:space="preserve"> </w:t>
      </w:r>
    </w:p>
  </w:footnote>
  <w:footnote w:id="28">
    <w:p w14:paraId="06377228" w14:textId="77777777" w:rsidR="00D21DFA" w:rsidRDefault="00D21DFA" w:rsidP="00FF13D7">
      <w:pPr>
        <w:pStyle w:val="FootnoteText"/>
      </w:pPr>
      <w:r>
        <w:rPr>
          <w:rStyle w:val="FootnoteReference"/>
        </w:rPr>
        <w:footnoteRef/>
      </w:r>
      <w:r>
        <w:t xml:space="preserve"> </w:t>
      </w:r>
      <w:r w:rsidRPr="007F3638">
        <w:t>Therapeutic Goods (Permissible Ingredients) Determination</w:t>
      </w:r>
      <w:r>
        <w:t xml:space="preserve"> </w:t>
      </w:r>
      <w:hyperlink r:id="rId27" w:history="1">
        <w:r w:rsidRPr="00C51833">
          <w:rPr>
            <w:rStyle w:val="Hyperlink"/>
          </w:rPr>
          <w:t>https://www.legislation.gov.au/Search/Therapeutic%20Goods%20$LB$Permissible%20Ingredients$RB$%20Determination</w:t>
        </w:r>
      </w:hyperlink>
      <w:r>
        <w:t xml:space="preserve"> </w:t>
      </w:r>
    </w:p>
  </w:footnote>
  <w:footnote w:id="29">
    <w:p w14:paraId="7B329096" w14:textId="77777777" w:rsidR="00D21DFA" w:rsidRPr="002F1C5C" w:rsidRDefault="00D21DFA" w:rsidP="00ED13CF">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28" w:history="1">
        <w:r w:rsidRPr="00E974A4">
          <w:rPr>
            <w:rStyle w:val="Hyperlink"/>
            <w:szCs w:val="16"/>
          </w:rPr>
          <w:t>https://www.tga.gov.au/prescribing-medicines-pregnancy-database</w:t>
        </w:r>
      </w:hyperlink>
      <w:r>
        <w:rPr>
          <w:szCs w:val="16"/>
        </w:rPr>
        <w:t xml:space="preserve"> </w:t>
      </w:r>
    </w:p>
  </w:footnote>
  <w:footnote w:id="30">
    <w:p w14:paraId="1D0D56B8" w14:textId="77777777" w:rsidR="00D21DFA" w:rsidRDefault="00D21DFA" w:rsidP="00FF13D7">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29" w:history="1">
        <w:r w:rsidRPr="00FC5165">
          <w:rPr>
            <w:rStyle w:val="Hyperlink"/>
          </w:rPr>
          <w:t>https://www.legislation.gov.au/Details/F2019L00213</w:t>
        </w:r>
      </w:hyperlink>
      <w:r>
        <w:t xml:space="preserve"> </w:t>
      </w:r>
    </w:p>
  </w:footnote>
  <w:footnote w:id="31">
    <w:p w14:paraId="6A20DEFF" w14:textId="77777777" w:rsidR="00D21DFA" w:rsidRDefault="00D21DFA" w:rsidP="00FF13D7">
      <w:pPr>
        <w:pStyle w:val="FootnoteText"/>
      </w:pPr>
      <w:r>
        <w:rPr>
          <w:rStyle w:val="FootnoteReference"/>
        </w:rPr>
        <w:footnoteRef/>
      </w:r>
      <w:r>
        <w:t xml:space="preserve"> Database of Adverse Event Notifications – medicines</w:t>
      </w:r>
    </w:p>
    <w:p w14:paraId="0A17CB02" w14:textId="77777777" w:rsidR="00D21DFA" w:rsidRPr="00BB3154" w:rsidRDefault="000D4FA3" w:rsidP="00FF13D7">
      <w:pPr>
        <w:pStyle w:val="FootnoteText"/>
        <w:rPr>
          <w:rStyle w:val="Hyperlink"/>
        </w:rPr>
      </w:pPr>
      <w:hyperlink r:id="rId30" w:history="1">
        <w:r w:rsidR="00D21DFA" w:rsidRPr="00BB3154">
          <w:rPr>
            <w:rStyle w:val="Hyperlink"/>
          </w:rPr>
          <w:t>https://apps.tga.gov.au/Prod/daen/daen-entry.aspx</w:t>
        </w:r>
      </w:hyperlink>
    </w:p>
  </w:footnote>
  <w:footnote w:id="32">
    <w:p w14:paraId="672655A1" w14:textId="77777777" w:rsidR="00D21DFA" w:rsidRPr="00BB3154" w:rsidRDefault="00D21DFA" w:rsidP="00FF13D7">
      <w:pPr>
        <w:pStyle w:val="FootnoteText"/>
        <w:rPr>
          <w:rStyle w:val="Hyperlink"/>
        </w:rPr>
      </w:pPr>
      <w:r>
        <w:rPr>
          <w:rStyle w:val="FootnoteReference"/>
        </w:rPr>
        <w:footnoteRef/>
      </w:r>
      <w:r>
        <w:t xml:space="preserve"> Database of Adverse Event Notifications – medicines </w:t>
      </w:r>
      <w:hyperlink r:id="rId31" w:history="1">
        <w:r w:rsidRPr="009F14FA">
          <w:rPr>
            <w:rStyle w:val="Hyperlink"/>
          </w:rPr>
          <w:t>https://portal.apvma.gov.au/pubcris</w:t>
        </w:r>
      </w:hyperlink>
    </w:p>
  </w:footnote>
  <w:footnote w:id="33">
    <w:p w14:paraId="2D047ECE" w14:textId="77777777" w:rsidR="00D21DFA" w:rsidRDefault="00D21DFA" w:rsidP="00FF13D7">
      <w:pPr>
        <w:pStyle w:val="FootnoteText"/>
      </w:pPr>
      <w:r>
        <w:rPr>
          <w:rStyle w:val="FootnoteReference"/>
        </w:rPr>
        <w:footnoteRef/>
      </w:r>
      <w:r>
        <w:t xml:space="preserve"> WHO model list of essential medicines – 21</w:t>
      </w:r>
      <w:r w:rsidRPr="003B6119">
        <w:rPr>
          <w:vertAlign w:val="superscript"/>
        </w:rPr>
        <w:t>st</w:t>
      </w:r>
      <w:r>
        <w:t xml:space="preserve"> list, 2019 </w:t>
      </w:r>
      <w:r>
        <w:rPr>
          <w:rStyle w:val="Hyperlink"/>
        </w:rPr>
        <w:t xml:space="preserve"> </w:t>
      </w:r>
      <w:hyperlink r:id="rId32" w:history="1">
        <w:r w:rsidRPr="00054C51">
          <w:rPr>
            <w:rStyle w:val="Hyperlink"/>
          </w:rPr>
          <w:t>www.who.int/publications/i/item/WHOMVPEMPIAU2019.06</w:t>
        </w:r>
      </w:hyperlink>
    </w:p>
  </w:footnote>
  <w:footnote w:id="34">
    <w:p w14:paraId="47F023F9" w14:textId="77777777" w:rsidR="00D21DFA" w:rsidRDefault="00D21DFA" w:rsidP="00FF13D7">
      <w:pPr>
        <w:pStyle w:val="FootnoteText"/>
      </w:pPr>
      <w:r>
        <w:rPr>
          <w:rStyle w:val="FootnoteReference"/>
        </w:rPr>
        <w:footnoteRef/>
      </w:r>
      <w:r>
        <w:t xml:space="preserve"> Health Products Regulatory Authority (HPRA)</w:t>
      </w:r>
    </w:p>
    <w:p w14:paraId="62A0F4B3" w14:textId="77777777" w:rsidR="00D21DFA" w:rsidRDefault="000D4FA3" w:rsidP="00FF13D7">
      <w:pPr>
        <w:pStyle w:val="FootnoteText"/>
      </w:pPr>
      <w:hyperlink r:id="rId33" w:history="1">
        <w:r w:rsidR="00D21DFA" w:rsidRPr="00054C51">
          <w:rPr>
            <w:rStyle w:val="Hyperlink"/>
          </w:rPr>
          <w:t>https://www.hpra.ie/homepage/medicines/medicines-information/find-a-medicine/results?query=&amp;field</w:t>
        </w:r>
      </w:hyperlink>
      <w:r w:rsidR="00D21DFA" w:rsidRPr="005A27ED">
        <w:t>=</w:t>
      </w:r>
    </w:p>
  </w:footnote>
  <w:footnote w:id="35">
    <w:p w14:paraId="35F9FCD0" w14:textId="77777777" w:rsidR="00D21DFA" w:rsidRPr="00710082" w:rsidRDefault="00D21DFA" w:rsidP="00FF13D7">
      <w:pPr>
        <w:pStyle w:val="FootnoteText"/>
        <w:rPr>
          <w:rStyle w:val="Hyperlink"/>
        </w:rPr>
      </w:pPr>
      <w:r>
        <w:rPr>
          <w:rStyle w:val="FootnoteReference"/>
        </w:rPr>
        <w:footnoteRef/>
      </w:r>
      <w:r>
        <w:t xml:space="preserve"> </w:t>
      </w:r>
      <w:r w:rsidRPr="002A4D44">
        <w:t>FDA Approved Drug Products</w:t>
      </w:r>
      <w:r>
        <w:t xml:space="preserve"> Database </w:t>
      </w:r>
      <w:hyperlink r:id="rId34" w:history="1">
        <w:r w:rsidRPr="00FC7DB7">
          <w:rPr>
            <w:rStyle w:val="Hyperlink"/>
          </w:rPr>
          <w:t>https://www.accessdata.fda.gov/scripts/cder/daf/</w:t>
        </w:r>
      </w:hyperlink>
      <w:r>
        <w:t xml:space="preserve">  </w:t>
      </w:r>
    </w:p>
  </w:footnote>
  <w:footnote w:id="36">
    <w:p w14:paraId="5F165C45" w14:textId="77777777" w:rsidR="00D21DFA" w:rsidRDefault="00D21DFA" w:rsidP="00FF13D7">
      <w:pPr>
        <w:pStyle w:val="FootnoteText"/>
      </w:pPr>
      <w:r>
        <w:rPr>
          <w:rStyle w:val="FootnoteReference"/>
        </w:rPr>
        <w:footnoteRef/>
      </w:r>
      <w:r>
        <w:t xml:space="preserve"> </w:t>
      </w:r>
      <w:r w:rsidRPr="00B47755">
        <w:t>Canadian (Health Canada) Drug Product Database</w:t>
      </w:r>
      <w:r>
        <w:t xml:space="preserve"> </w:t>
      </w:r>
      <w:hyperlink r:id="rId35" w:history="1">
        <w:r w:rsidRPr="00FC7DB7">
          <w:rPr>
            <w:rStyle w:val="Hyperlink"/>
          </w:rPr>
          <w:t>https://health-products.canada.ca/dpd-bdpp/index-eng.jsp</w:t>
        </w:r>
      </w:hyperlink>
      <w:r>
        <w:t xml:space="preserve"> </w:t>
      </w:r>
    </w:p>
  </w:footnote>
  <w:footnote w:id="37">
    <w:p w14:paraId="07F956CA" w14:textId="77777777" w:rsidR="00D21DFA" w:rsidRDefault="00D21DFA" w:rsidP="00FF13D7">
      <w:pPr>
        <w:pStyle w:val="FootnoteText"/>
      </w:pPr>
      <w:r>
        <w:rPr>
          <w:rStyle w:val="FootnoteReference"/>
        </w:rPr>
        <w:footnoteRef/>
      </w:r>
      <w:r>
        <w:t xml:space="preserve"> </w:t>
      </w:r>
      <w:r w:rsidRPr="00B47755">
        <w:t>New Zealand Medicines and Medical Devices Safety Authority (</w:t>
      </w:r>
      <w:proofErr w:type="spellStart"/>
      <w:r w:rsidRPr="00B47755">
        <w:t>MedSafe</w:t>
      </w:r>
      <w:proofErr w:type="spellEnd"/>
      <w:r w:rsidRPr="00B47755">
        <w:t>)</w:t>
      </w:r>
      <w:r>
        <w:t xml:space="preserve"> </w:t>
      </w:r>
      <w:hyperlink r:id="rId36" w:history="1">
        <w:r w:rsidRPr="00FC7DB7">
          <w:rPr>
            <w:rStyle w:val="Hyperlink"/>
          </w:rPr>
          <w:t>https://www.medsafe.govt.nz/profs/class/classintro.asp</w:t>
        </w:r>
      </w:hyperlink>
      <w:r>
        <w:t xml:space="preserve">  </w:t>
      </w:r>
    </w:p>
  </w:footnote>
  <w:footnote w:id="38">
    <w:p w14:paraId="30025D7C" w14:textId="77777777" w:rsidR="00D21DFA" w:rsidRDefault="00D21DFA" w:rsidP="00ED13CF">
      <w:pPr>
        <w:pStyle w:val="FootnoteText"/>
      </w:pPr>
      <w:r>
        <w:rPr>
          <w:rStyle w:val="FootnoteReference"/>
        </w:rPr>
        <w:footnoteRef/>
      </w:r>
      <w:r>
        <w:t xml:space="preserve"> Restricted medicines in NZ </w:t>
      </w:r>
      <w:proofErr w:type="gramStart"/>
      <w:r>
        <w:t>are also referred</w:t>
      </w:r>
      <w:proofErr w:type="gramEnd"/>
      <w:r>
        <w:t xml:space="preserve"> to as Pharmacist Only medicines. See </w:t>
      </w:r>
      <w:hyperlink r:id="rId37" w:history="1">
        <w:r w:rsidRPr="00A60801">
          <w:rPr>
            <w:rStyle w:val="Hyperlink"/>
          </w:rPr>
          <w:t>https://www.medsafe.govt.nz/Consumers/PharmOnly.asp</w:t>
        </w:r>
      </w:hyperlink>
      <w:r>
        <w:t xml:space="preserv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9259" w14:textId="77777777" w:rsidR="00D21DFA" w:rsidRPr="00920FF4" w:rsidRDefault="00D21DFA"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20D8" w14:textId="77777777" w:rsidR="00D21DFA" w:rsidRPr="00E32326" w:rsidRDefault="00D21DFA" w:rsidP="00F202AB">
    <w:r w:rsidRPr="00F3255D">
      <w:rPr>
        <w:noProof/>
        <w:lang w:eastAsia="en-AU"/>
      </w:rPr>
      <w:drawing>
        <wp:anchor distT="0" distB="0" distL="114300" distR="114300" simplePos="0" relativeHeight="251659264" behindDoc="0" locked="0" layoutInCell="1" allowOverlap="1" wp14:anchorId="2AC3292E" wp14:editId="1C0F873B">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D21DFA" w:rsidRPr="00FF7B50" w14:paraId="68E41C3B" w14:textId="77777777" w:rsidTr="003C02CB">
      <w:trPr>
        <w:trHeight w:hRule="exact" w:val="8845"/>
      </w:trPr>
      <w:tc>
        <w:tcPr>
          <w:tcW w:w="11964" w:type="dxa"/>
        </w:tcPr>
        <w:p w14:paraId="4E45DAB4" w14:textId="77777777" w:rsidR="00D21DFA" w:rsidRPr="00FF7B50" w:rsidRDefault="000D4FA3" w:rsidP="00AE0320">
          <w:pPr>
            <w:pStyle w:val="Header"/>
            <w:ind w:left="-57"/>
            <w:jc w:val="left"/>
            <w:rPr>
              <w:noProof/>
              <w:lang w:eastAsia="en-AU"/>
            </w:rPr>
          </w:pPr>
          <w:sdt>
            <w:sdtPr>
              <w:rPr>
                <w:noProof/>
                <w:lang w:eastAsia="en-AU"/>
              </w:rPr>
              <w:id w:val="3702145"/>
              <w:showingPlcHdr/>
              <w:picture/>
            </w:sdtPr>
            <w:sdtEndPr/>
            <w:sdtContent>
              <w:r w:rsidR="00D21DFA" w:rsidRPr="00FF7B50">
                <w:rPr>
                  <w:noProof/>
                  <w:lang w:eastAsia="en-AU"/>
                </w:rPr>
                <w:drawing>
                  <wp:inline distT="0" distB="0" distL="0" distR="0" wp14:anchorId="1AC39AC8" wp14:editId="5D15B4E9">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121BF268" w14:textId="77777777" w:rsidR="00D21DFA" w:rsidRPr="00E32326" w:rsidRDefault="00D21DFA" w:rsidP="00F202AB">
    <w:r>
      <w:rPr>
        <w:noProof/>
        <w:lang w:eastAsia="en-AU"/>
      </w:rPr>
      <w:drawing>
        <wp:anchor distT="0" distB="0" distL="114300" distR="114300" simplePos="0" relativeHeight="251657216" behindDoc="0" locked="0" layoutInCell="0" allowOverlap="1" wp14:anchorId="24CA28B6" wp14:editId="7A888E54">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5CE7" w14:textId="77777777" w:rsidR="00D21DFA" w:rsidRPr="00920FF4" w:rsidRDefault="00D21DFA"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1DD3" w14:textId="77777777" w:rsidR="00D21DFA" w:rsidRPr="00920FF4" w:rsidRDefault="00D21DFA"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6CCF" w14:textId="77777777" w:rsidR="00D21DFA" w:rsidRPr="009401F6" w:rsidRDefault="00D21DFA" w:rsidP="0047772E"/>
  <w:p w14:paraId="26CF139F" w14:textId="77777777" w:rsidR="00D21DFA" w:rsidRPr="002B0C2E" w:rsidRDefault="00D21DFA"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F11"/>
    <w:multiLevelType w:val="multilevel"/>
    <w:tmpl w:val="575CEDBE"/>
    <w:styleLink w:val="NumberBullet"/>
    <w:lvl w:ilvl="0">
      <w:start w:val="1"/>
      <w:numFmt w:val="decimal"/>
      <w:pStyle w:val="Numberbullet0"/>
      <w:lvlText w:val="%1."/>
      <w:lvlJc w:val="left"/>
      <w:pPr>
        <w:ind w:left="17349" w:hanging="425"/>
      </w:pPr>
      <w:rPr>
        <w:rFonts w:ascii="Cambria" w:hAnsi="Cambria" w:hint="default"/>
      </w:rPr>
    </w:lvl>
    <w:lvl w:ilvl="1">
      <w:start w:val="1"/>
      <w:numFmt w:val="lowerLetter"/>
      <w:pStyle w:val="Numberbullet2"/>
      <w:lvlText w:val="%2."/>
      <w:lvlJc w:val="left"/>
      <w:pPr>
        <w:ind w:left="17775" w:hanging="426"/>
      </w:pPr>
      <w:rPr>
        <w:rFonts w:hint="default"/>
      </w:rPr>
    </w:lvl>
    <w:lvl w:ilvl="2">
      <w:start w:val="1"/>
      <w:numFmt w:val="lowerRoman"/>
      <w:lvlText w:val="%3."/>
      <w:lvlJc w:val="left"/>
      <w:pPr>
        <w:ind w:left="18200" w:hanging="425"/>
      </w:pPr>
      <w:rPr>
        <w:rFonts w:hint="default"/>
      </w:rPr>
    </w:lvl>
    <w:lvl w:ilvl="3">
      <w:start w:val="1"/>
      <w:numFmt w:val="none"/>
      <w:lvlText w:val=""/>
      <w:lvlJc w:val="left"/>
      <w:pPr>
        <w:ind w:left="18200" w:hanging="425"/>
      </w:pPr>
      <w:rPr>
        <w:rFonts w:hint="default"/>
      </w:rPr>
    </w:lvl>
    <w:lvl w:ilvl="4">
      <w:start w:val="1"/>
      <w:numFmt w:val="none"/>
      <w:lvlText w:val=""/>
      <w:lvlJc w:val="left"/>
      <w:pPr>
        <w:ind w:left="18200" w:hanging="425"/>
      </w:pPr>
      <w:rPr>
        <w:rFonts w:hint="default"/>
      </w:rPr>
    </w:lvl>
    <w:lvl w:ilvl="5">
      <w:start w:val="1"/>
      <w:numFmt w:val="none"/>
      <w:lvlText w:val=""/>
      <w:lvlJc w:val="left"/>
      <w:pPr>
        <w:ind w:left="18200" w:hanging="425"/>
      </w:pPr>
      <w:rPr>
        <w:rFonts w:hint="default"/>
      </w:rPr>
    </w:lvl>
    <w:lvl w:ilvl="6">
      <w:start w:val="1"/>
      <w:numFmt w:val="none"/>
      <w:lvlText w:val="%7"/>
      <w:lvlJc w:val="left"/>
      <w:pPr>
        <w:ind w:left="18200" w:hanging="425"/>
      </w:pPr>
      <w:rPr>
        <w:rFonts w:hint="default"/>
      </w:rPr>
    </w:lvl>
    <w:lvl w:ilvl="7">
      <w:start w:val="1"/>
      <w:numFmt w:val="none"/>
      <w:lvlText w:val=""/>
      <w:lvlJc w:val="left"/>
      <w:pPr>
        <w:ind w:left="18200" w:hanging="425"/>
      </w:pPr>
      <w:rPr>
        <w:rFonts w:hint="default"/>
      </w:rPr>
    </w:lvl>
    <w:lvl w:ilvl="8">
      <w:start w:val="1"/>
      <w:numFmt w:val="none"/>
      <w:lvlText w:val=""/>
      <w:lvlJc w:val="left"/>
      <w:pPr>
        <w:ind w:left="18200" w:hanging="425"/>
      </w:pPr>
      <w:rPr>
        <w:rFonts w:hint="default"/>
      </w:rPr>
    </w:lvl>
  </w:abstractNum>
  <w:abstractNum w:abstractNumId="1" w15:restartNumberingAfterBreak="0">
    <w:nsid w:val="11A81D8D"/>
    <w:multiLevelType w:val="hybridMultilevel"/>
    <w:tmpl w:val="CCD0BBDA"/>
    <w:lvl w:ilvl="0" w:tplc="AFD05C3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F13E9"/>
    <w:multiLevelType w:val="multilevel"/>
    <w:tmpl w:val="B00C62D4"/>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A3A4615"/>
    <w:multiLevelType w:val="hybridMultilevel"/>
    <w:tmpl w:val="1D4A0D70"/>
    <w:lvl w:ilvl="0" w:tplc="EE3AC95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EB1BE1"/>
    <w:multiLevelType w:val="hybridMultilevel"/>
    <w:tmpl w:val="8DFA1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4B2F84"/>
    <w:multiLevelType w:val="hybridMultilevel"/>
    <w:tmpl w:val="C3E23354"/>
    <w:lvl w:ilvl="0" w:tplc="9F527474">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B05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44AE0ED5"/>
    <w:multiLevelType w:val="hybridMultilevel"/>
    <w:tmpl w:val="69880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CB1466"/>
    <w:multiLevelType w:val="hybridMultilevel"/>
    <w:tmpl w:val="FB48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125856"/>
    <w:multiLevelType w:val="hybridMultilevel"/>
    <w:tmpl w:val="256621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488087E"/>
    <w:multiLevelType w:val="hybridMultilevel"/>
    <w:tmpl w:val="8AC6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652609"/>
    <w:multiLevelType w:val="hybridMultilevel"/>
    <w:tmpl w:val="9A1A7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527DE"/>
    <w:multiLevelType w:val="hybridMultilevel"/>
    <w:tmpl w:val="5E9C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901B9B"/>
    <w:multiLevelType w:val="hybridMultilevel"/>
    <w:tmpl w:val="5B52E68E"/>
    <w:lvl w:ilvl="0" w:tplc="6772DBF2">
      <w:start w:val="68"/>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lvl w:ilvl="0">
        <w:start w:val="4"/>
        <w:numFmt w:val="bullet"/>
        <w:pStyle w:val="ListBullet"/>
        <w:lvlText w:val="•"/>
        <w:lvlJc w:val="left"/>
        <w:pPr>
          <w:ind w:left="360" w:hanging="360"/>
        </w:pPr>
        <w:rPr>
          <w:rFonts w:ascii="Arial" w:eastAsia="Cambria" w:hAnsi="Arial" w:hint="default"/>
          <w:color w:val="auto"/>
        </w:rPr>
      </w:lvl>
    </w:lvlOverride>
  </w:num>
  <w:num w:numId="2">
    <w:abstractNumId w:val="0"/>
  </w:num>
  <w:num w:numId="3">
    <w:abstractNumId w:val="2"/>
    <w:lvlOverride w:ilvl="0">
      <w:lvl w:ilvl="0">
        <w:start w:val="4"/>
        <w:numFmt w:val="bullet"/>
        <w:pStyle w:val="ListBullet"/>
        <w:lvlText w:val="•"/>
        <w:lvlJc w:val="left"/>
        <w:pPr>
          <w:ind w:left="360" w:hanging="360"/>
        </w:pPr>
        <w:rPr>
          <w:rFonts w:ascii="Arial" w:eastAsia="Cambria" w:hAnsi="Arial" w:hint="default"/>
          <w:color w:val="auto"/>
        </w:rPr>
      </w:lvl>
    </w:lvlOverride>
  </w:num>
  <w:num w:numId="4">
    <w:abstractNumId w:val="0"/>
  </w:num>
  <w:num w:numId="5">
    <w:abstractNumId w:val="9"/>
  </w:num>
  <w:num w:numId="6">
    <w:abstractNumId w:val="17"/>
  </w:num>
  <w:num w:numId="7">
    <w:abstractNumId w:val="1"/>
  </w:num>
  <w:num w:numId="8">
    <w:abstractNumId w:val="15"/>
  </w:num>
  <w:num w:numId="9">
    <w:abstractNumId w:val="13"/>
  </w:num>
  <w:num w:numId="10">
    <w:abstractNumId w:val="6"/>
  </w:num>
  <w:num w:numId="11">
    <w:abstractNumId w:val="12"/>
  </w:num>
  <w:num w:numId="12">
    <w:abstractNumId w:val="16"/>
  </w:num>
  <w:num w:numId="13">
    <w:abstractNumId w:val="11"/>
  </w:num>
  <w:num w:numId="14">
    <w:abstractNumId w:val="5"/>
  </w:num>
  <w:num w:numId="15">
    <w:abstractNumId w:val="8"/>
  </w:num>
  <w:num w:numId="16">
    <w:abstractNumId w:val="4"/>
  </w:num>
  <w:num w:numId="17">
    <w:abstractNumId w:val="18"/>
  </w:num>
  <w:num w:numId="18">
    <w:abstractNumId w:val="2"/>
    <w:lvlOverride w:ilvl="0">
      <w:lvl w:ilvl="0">
        <w:start w:val="1"/>
        <w:numFmt w:val="bullet"/>
        <w:pStyle w:val="ListBullet"/>
        <w:lvlText w:val=""/>
        <w:lvlJc w:val="left"/>
        <w:pPr>
          <w:ind w:left="360" w:hanging="360"/>
        </w:pPr>
        <w:rPr>
          <w:rFonts w:ascii="Symbol" w:hAnsi="Symbol" w:hint="default"/>
          <w:color w:val="auto"/>
        </w:rPr>
      </w:lvl>
    </w:lvlOverride>
  </w:num>
  <w:num w:numId="19">
    <w:abstractNumId w:val="10"/>
    <w:lvlOverride w:ilvl="0">
      <w:startOverride w:val="1"/>
    </w:lvlOverride>
  </w:num>
  <w:num w:numId="20">
    <w:abstractNumId w:val="10"/>
  </w:num>
  <w:num w:numId="21">
    <w:abstractNumId w:val="7"/>
  </w:num>
  <w:num w:numId="22">
    <w:abstractNumId w:val="2"/>
    <w:lvlOverride w:ilvl="0">
      <w:lvl w:ilvl="0">
        <w:start w:val="1"/>
        <w:numFmt w:val="bullet"/>
        <w:pStyle w:val="ListBullet"/>
        <w:lvlText w:val="•"/>
        <w:lvlJc w:val="left"/>
        <w:pPr>
          <w:ind w:left="360" w:hanging="360"/>
        </w:pPr>
        <w:rPr>
          <w:rFonts w:ascii="Arial" w:hAnsi="Arial" w:hint="default"/>
          <w:color w:val="auto"/>
        </w:rPr>
      </w:lvl>
    </w:lvlOverride>
    <w:lvlOverride w:ilvl="1">
      <w:lvl w:ilvl="1" w:tentative="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3">
    <w:abstractNumId w:val="3"/>
  </w:num>
  <w:num w:numId="24">
    <w:abstractNumId w:val="8"/>
    <w:lvlOverride w:ilvl="0">
      <w:startOverride w:val="1"/>
    </w:lvlOverride>
  </w:num>
  <w:num w:numId="25">
    <w:abstractNumId w:val="8"/>
    <w:lvlOverride w:ilvl="0">
      <w:startOverride w:val="1"/>
    </w:lvlOverride>
  </w:num>
  <w:num w:numId="26">
    <w:abstractNumId w:val="14"/>
  </w:num>
  <w:num w:numId="27">
    <w:abstractNumId w:val="8"/>
    <w:lvlOverride w:ilvl="0">
      <w:startOverride w:val="1"/>
    </w:lvlOverride>
  </w:num>
  <w:num w:numId="28">
    <w:abstractNumId w:val="8"/>
    <w:lvlOverride w:ilvl="0">
      <w:startOverride w:val="1"/>
    </w:lvlOverride>
  </w:num>
  <w:num w:numId="29">
    <w:abstractNumId w:val="2"/>
  </w:num>
  <w:num w:numId="30">
    <w:abstractNumId w:val="2"/>
  </w:num>
  <w:num w:numId="31">
    <w:abstractNumId w:val="2"/>
    <w:lvlOverride w:ilvl="1">
      <w:lvl w:ilvl="1">
        <w:start w:val="1"/>
        <w:numFmt w:val="bullet"/>
        <w:pStyle w:val="ListBullet2"/>
        <w:lvlText w:val="–"/>
        <w:lvlJc w:val="left"/>
        <w:pPr>
          <w:ind w:left="720" w:hanging="360"/>
        </w:pPr>
        <w:rPr>
          <w:rFonts w:ascii="Arial" w:hAnsi="Arial" w:hint="default"/>
          <w:color w:val="auto"/>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5"/>
    <w:rsid w:val="00002031"/>
    <w:rsid w:val="000029AF"/>
    <w:rsid w:val="00004734"/>
    <w:rsid w:val="00006B22"/>
    <w:rsid w:val="00010117"/>
    <w:rsid w:val="0001276A"/>
    <w:rsid w:val="0002026C"/>
    <w:rsid w:val="000246AE"/>
    <w:rsid w:val="00025C67"/>
    <w:rsid w:val="0003306D"/>
    <w:rsid w:val="000344D7"/>
    <w:rsid w:val="000356CE"/>
    <w:rsid w:val="00040C56"/>
    <w:rsid w:val="00055129"/>
    <w:rsid w:val="000554B4"/>
    <w:rsid w:val="0005559E"/>
    <w:rsid w:val="00061E51"/>
    <w:rsid w:val="00063028"/>
    <w:rsid w:val="00066638"/>
    <w:rsid w:val="00071199"/>
    <w:rsid w:val="00077775"/>
    <w:rsid w:val="00083EC2"/>
    <w:rsid w:val="00090471"/>
    <w:rsid w:val="000958DF"/>
    <w:rsid w:val="00095D56"/>
    <w:rsid w:val="0009662B"/>
    <w:rsid w:val="000A0965"/>
    <w:rsid w:val="000A09AA"/>
    <w:rsid w:val="000B0A5D"/>
    <w:rsid w:val="000B3532"/>
    <w:rsid w:val="000B3A75"/>
    <w:rsid w:val="000B7084"/>
    <w:rsid w:val="000C1C08"/>
    <w:rsid w:val="000C5A31"/>
    <w:rsid w:val="000D391B"/>
    <w:rsid w:val="000D3D6D"/>
    <w:rsid w:val="000D4FA3"/>
    <w:rsid w:val="000D4FC7"/>
    <w:rsid w:val="000E4228"/>
    <w:rsid w:val="000F031A"/>
    <w:rsid w:val="000F4869"/>
    <w:rsid w:val="000F5B42"/>
    <w:rsid w:val="000F6B0B"/>
    <w:rsid w:val="000F6E6F"/>
    <w:rsid w:val="000F789C"/>
    <w:rsid w:val="001003F2"/>
    <w:rsid w:val="0010601F"/>
    <w:rsid w:val="001066EB"/>
    <w:rsid w:val="00107378"/>
    <w:rsid w:val="00110EA5"/>
    <w:rsid w:val="001119DF"/>
    <w:rsid w:val="00115240"/>
    <w:rsid w:val="00125091"/>
    <w:rsid w:val="00125318"/>
    <w:rsid w:val="00126758"/>
    <w:rsid w:val="001305A2"/>
    <w:rsid w:val="0013202A"/>
    <w:rsid w:val="00132294"/>
    <w:rsid w:val="00133238"/>
    <w:rsid w:val="00134C40"/>
    <w:rsid w:val="00140FE3"/>
    <w:rsid w:val="0014197B"/>
    <w:rsid w:val="00142547"/>
    <w:rsid w:val="001447CD"/>
    <w:rsid w:val="001516B1"/>
    <w:rsid w:val="001525B4"/>
    <w:rsid w:val="00156316"/>
    <w:rsid w:val="00160006"/>
    <w:rsid w:val="001610DD"/>
    <w:rsid w:val="00162083"/>
    <w:rsid w:val="00165389"/>
    <w:rsid w:val="00170CED"/>
    <w:rsid w:val="0017693F"/>
    <w:rsid w:val="0018110E"/>
    <w:rsid w:val="00181684"/>
    <w:rsid w:val="001843C6"/>
    <w:rsid w:val="001850E0"/>
    <w:rsid w:val="0018693C"/>
    <w:rsid w:val="00186D37"/>
    <w:rsid w:val="0019255A"/>
    <w:rsid w:val="001935C3"/>
    <w:rsid w:val="001A4704"/>
    <w:rsid w:val="001A525F"/>
    <w:rsid w:val="001A5E54"/>
    <w:rsid w:val="001A69AB"/>
    <w:rsid w:val="001A6FC9"/>
    <w:rsid w:val="001B09F9"/>
    <w:rsid w:val="001B6448"/>
    <w:rsid w:val="001C12AF"/>
    <w:rsid w:val="001D06F4"/>
    <w:rsid w:val="001D19E0"/>
    <w:rsid w:val="001D480A"/>
    <w:rsid w:val="001D5449"/>
    <w:rsid w:val="001D58AF"/>
    <w:rsid w:val="001D6B75"/>
    <w:rsid w:val="001E00C7"/>
    <w:rsid w:val="001E07CF"/>
    <w:rsid w:val="001E59F1"/>
    <w:rsid w:val="001F49EB"/>
    <w:rsid w:val="001F4A2F"/>
    <w:rsid w:val="001F6CBA"/>
    <w:rsid w:val="001F78B9"/>
    <w:rsid w:val="00201D4E"/>
    <w:rsid w:val="00204049"/>
    <w:rsid w:val="00204F19"/>
    <w:rsid w:val="00207515"/>
    <w:rsid w:val="00207FDD"/>
    <w:rsid w:val="00211C7B"/>
    <w:rsid w:val="00213ED2"/>
    <w:rsid w:val="00220B8A"/>
    <w:rsid w:val="002232C2"/>
    <w:rsid w:val="002257F3"/>
    <w:rsid w:val="002261EB"/>
    <w:rsid w:val="002302EC"/>
    <w:rsid w:val="002303B0"/>
    <w:rsid w:val="002314E8"/>
    <w:rsid w:val="002317F6"/>
    <w:rsid w:val="002321FA"/>
    <w:rsid w:val="00232B6A"/>
    <w:rsid w:val="00233456"/>
    <w:rsid w:val="0023397F"/>
    <w:rsid w:val="002339A5"/>
    <w:rsid w:val="00234889"/>
    <w:rsid w:val="00244517"/>
    <w:rsid w:val="002452E7"/>
    <w:rsid w:val="00245F98"/>
    <w:rsid w:val="00246194"/>
    <w:rsid w:val="002479A0"/>
    <w:rsid w:val="002538AE"/>
    <w:rsid w:val="002541E7"/>
    <w:rsid w:val="00257138"/>
    <w:rsid w:val="00257848"/>
    <w:rsid w:val="00260B72"/>
    <w:rsid w:val="002619FF"/>
    <w:rsid w:val="002662F8"/>
    <w:rsid w:val="00266EBE"/>
    <w:rsid w:val="0027084A"/>
    <w:rsid w:val="00271109"/>
    <w:rsid w:val="00277EF5"/>
    <w:rsid w:val="0028082E"/>
    <w:rsid w:val="002825FB"/>
    <w:rsid w:val="00286434"/>
    <w:rsid w:val="00286C59"/>
    <w:rsid w:val="00293E70"/>
    <w:rsid w:val="002942D1"/>
    <w:rsid w:val="0029763B"/>
    <w:rsid w:val="002A0556"/>
    <w:rsid w:val="002A6A60"/>
    <w:rsid w:val="002A6D89"/>
    <w:rsid w:val="002A6EE1"/>
    <w:rsid w:val="002B0C2E"/>
    <w:rsid w:val="002B1638"/>
    <w:rsid w:val="002B706C"/>
    <w:rsid w:val="002B7851"/>
    <w:rsid w:val="002C1070"/>
    <w:rsid w:val="002C1D7D"/>
    <w:rsid w:val="002C2511"/>
    <w:rsid w:val="002D1EDF"/>
    <w:rsid w:val="002E4C9A"/>
    <w:rsid w:val="002F11F8"/>
    <w:rsid w:val="002F3F56"/>
    <w:rsid w:val="002F44B5"/>
    <w:rsid w:val="002F4F94"/>
    <w:rsid w:val="00303C95"/>
    <w:rsid w:val="00311AC0"/>
    <w:rsid w:val="003129CE"/>
    <w:rsid w:val="003204DD"/>
    <w:rsid w:val="00322261"/>
    <w:rsid w:val="003269F2"/>
    <w:rsid w:val="00331DBB"/>
    <w:rsid w:val="0033257F"/>
    <w:rsid w:val="00332680"/>
    <w:rsid w:val="00332B94"/>
    <w:rsid w:val="003474F4"/>
    <w:rsid w:val="003521E8"/>
    <w:rsid w:val="003621E8"/>
    <w:rsid w:val="00362F3A"/>
    <w:rsid w:val="00365DDD"/>
    <w:rsid w:val="003664BF"/>
    <w:rsid w:val="003728F3"/>
    <w:rsid w:val="003778F6"/>
    <w:rsid w:val="00390900"/>
    <w:rsid w:val="0039620B"/>
    <w:rsid w:val="003A13F0"/>
    <w:rsid w:val="003A2631"/>
    <w:rsid w:val="003A3323"/>
    <w:rsid w:val="003A35BD"/>
    <w:rsid w:val="003A62A6"/>
    <w:rsid w:val="003B00C5"/>
    <w:rsid w:val="003B09FD"/>
    <w:rsid w:val="003B38F6"/>
    <w:rsid w:val="003B443E"/>
    <w:rsid w:val="003B5800"/>
    <w:rsid w:val="003B6119"/>
    <w:rsid w:val="003B7E39"/>
    <w:rsid w:val="003C02CB"/>
    <w:rsid w:val="003C18DC"/>
    <w:rsid w:val="003C2255"/>
    <w:rsid w:val="003C30DC"/>
    <w:rsid w:val="003C58DC"/>
    <w:rsid w:val="003C7461"/>
    <w:rsid w:val="003D0CD9"/>
    <w:rsid w:val="003E1B09"/>
    <w:rsid w:val="003E3208"/>
    <w:rsid w:val="003E3D34"/>
    <w:rsid w:val="003E4FCC"/>
    <w:rsid w:val="003E7EAA"/>
    <w:rsid w:val="003F0B04"/>
    <w:rsid w:val="003F5652"/>
    <w:rsid w:val="003F6F7D"/>
    <w:rsid w:val="0040134E"/>
    <w:rsid w:val="004034EB"/>
    <w:rsid w:val="00410839"/>
    <w:rsid w:val="00414410"/>
    <w:rsid w:val="0041452B"/>
    <w:rsid w:val="004169A8"/>
    <w:rsid w:val="00430686"/>
    <w:rsid w:val="004352F8"/>
    <w:rsid w:val="00440A2D"/>
    <w:rsid w:val="00440CEE"/>
    <w:rsid w:val="004414E4"/>
    <w:rsid w:val="00455A6F"/>
    <w:rsid w:val="004564A7"/>
    <w:rsid w:val="004617BF"/>
    <w:rsid w:val="004634F1"/>
    <w:rsid w:val="00465E72"/>
    <w:rsid w:val="00465E90"/>
    <w:rsid w:val="0047772E"/>
    <w:rsid w:val="00477BB1"/>
    <w:rsid w:val="004923FF"/>
    <w:rsid w:val="00494E60"/>
    <w:rsid w:val="00496BAC"/>
    <w:rsid w:val="004A3F2D"/>
    <w:rsid w:val="004A401F"/>
    <w:rsid w:val="004B28E6"/>
    <w:rsid w:val="004B4CB5"/>
    <w:rsid w:val="004B4FF4"/>
    <w:rsid w:val="004B5A6B"/>
    <w:rsid w:val="004B744F"/>
    <w:rsid w:val="004B772D"/>
    <w:rsid w:val="004B7B76"/>
    <w:rsid w:val="004C0070"/>
    <w:rsid w:val="004C2E29"/>
    <w:rsid w:val="004C40C4"/>
    <w:rsid w:val="004C4AD6"/>
    <w:rsid w:val="004D3B35"/>
    <w:rsid w:val="004D51A6"/>
    <w:rsid w:val="004E20C8"/>
    <w:rsid w:val="004E6267"/>
    <w:rsid w:val="004F0F38"/>
    <w:rsid w:val="004F1A46"/>
    <w:rsid w:val="004F32F6"/>
    <w:rsid w:val="004F4D12"/>
    <w:rsid w:val="00500087"/>
    <w:rsid w:val="00501921"/>
    <w:rsid w:val="005026FE"/>
    <w:rsid w:val="005059CD"/>
    <w:rsid w:val="00507A51"/>
    <w:rsid w:val="00511904"/>
    <w:rsid w:val="00512DE9"/>
    <w:rsid w:val="00522A0C"/>
    <w:rsid w:val="005234E9"/>
    <w:rsid w:val="00530354"/>
    <w:rsid w:val="00531B11"/>
    <w:rsid w:val="00531DA4"/>
    <w:rsid w:val="005413CD"/>
    <w:rsid w:val="005434C6"/>
    <w:rsid w:val="00543B39"/>
    <w:rsid w:val="00543C72"/>
    <w:rsid w:val="00544D11"/>
    <w:rsid w:val="0054583D"/>
    <w:rsid w:val="005477E7"/>
    <w:rsid w:val="00550096"/>
    <w:rsid w:val="00552571"/>
    <w:rsid w:val="0055532D"/>
    <w:rsid w:val="00557F9D"/>
    <w:rsid w:val="00557FF9"/>
    <w:rsid w:val="00576378"/>
    <w:rsid w:val="00577279"/>
    <w:rsid w:val="00577E38"/>
    <w:rsid w:val="00582848"/>
    <w:rsid w:val="00584D0D"/>
    <w:rsid w:val="00585322"/>
    <w:rsid w:val="00591EB2"/>
    <w:rsid w:val="00593AD1"/>
    <w:rsid w:val="00594D03"/>
    <w:rsid w:val="005955FB"/>
    <w:rsid w:val="0059669D"/>
    <w:rsid w:val="00597877"/>
    <w:rsid w:val="005A07E4"/>
    <w:rsid w:val="005A1131"/>
    <w:rsid w:val="005A27ED"/>
    <w:rsid w:val="005A2F3C"/>
    <w:rsid w:val="005A614D"/>
    <w:rsid w:val="005A61CE"/>
    <w:rsid w:val="005B1925"/>
    <w:rsid w:val="005C4582"/>
    <w:rsid w:val="005C4CFA"/>
    <w:rsid w:val="005C5570"/>
    <w:rsid w:val="005C79A4"/>
    <w:rsid w:val="005D135B"/>
    <w:rsid w:val="005D49B8"/>
    <w:rsid w:val="005D4EA1"/>
    <w:rsid w:val="005D5442"/>
    <w:rsid w:val="005E6592"/>
    <w:rsid w:val="0060254C"/>
    <w:rsid w:val="00604A31"/>
    <w:rsid w:val="00611B57"/>
    <w:rsid w:val="006134AE"/>
    <w:rsid w:val="00617EAC"/>
    <w:rsid w:val="00622181"/>
    <w:rsid w:val="006239CD"/>
    <w:rsid w:val="00625FB9"/>
    <w:rsid w:val="006334B1"/>
    <w:rsid w:val="00635A08"/>
    <w:rsid w:val="00640190"/>
    <w:rsid w:val="006405A9"/>
    <w:rsid w:val="00640FC3"/>
    <w:rsid w:val="006417B0"/>
    <w:rsid w:val="00642020"/>
    <w:rsid w:val="00643964"/>
    <w:rsid w:val="00643DF9"/>
    <w:rsid w:val="006454FF"/>
    <w:rsid w:val="0064634E"/>
    <w:rsid w:val="0064747C"/>
    <w:rsid w:val="00651C87"/>
    <w:rsid w:val="0065337B"/>
    <w:rsid w:val="00653FBF"/>
    <w:rsid w:val="0065419D"/>
    <w:rsid w:val="006604D8"/>
    <w:rsid w:val="00664626"/>
    <w:rsid w:val="00664A5B"/>
    <w:rsid w:val="00665F8C"/>
    <w:rsid w:val="00667942"/>
    <w:rsid w:val="00667B4F"/>
    <w:rsid w:val="00680C08"/>
    <w:rsid w:val="00685AA6"/>
    <w:rsid w:val="0068741A"/>
    <w:rsid w:val="00691723"/>
    <w:rsid w:val="006931B1"/>
    <w:rsid w:val="00693CDB"/>
    <w:rsid w:val="006948A8"/>
    <w:rsid w:val="00695066"/>
    <w:rsid w:val="006978FC"/>
    <w:rsid w:val="006A15C0"/>
    <w:rsid w:val="006A4975"/>
    <w:rsid w:val="006A4C59"/>
    <w:rsid w:val="006B188D"/>
    <w:rsid w:val="006B25C7"/>
    <w:rsid w:val="006C1F3B"/>
    <w:rsid w:val="006C3E2A"/>
    <w:rsid w:val="006C4815"/>
    <w:rsid w:val="006C5893"/>
    <w:rsid w:val="006C626D"/>
    <w:rsid w:val="006C642F"/>
    <w:rsid w:val="006C6A4A"/>
    <w:rsid w:val="006C6EDB"/>
    <w:rsid w:val="006C758F"/>
    <w:rsid w:val="006D039E"/>
    <w:rsid w:val="006D03E5"/>
    <w:rsid w:val="006D0C3B"/>
    <w:rsid w:val="006D1DCB"/>
    <w:rsid w:val="006D22F9"/>
    <w:rsid w:val="006D5A11"/>
    <w:rsid w:val="006D5D3E"/>
    <w:rsid w:val="006E08B3"/>
    <w:rsid w:val="006E0C60"/>
    <w:rsid w:val="006E5AB4"/>
    <w:rsid w:val="006F14A5"/>
    <w:rsid w:val="006F25FE"/>
    <w:rsid w:val="006F572E"/>
    <w:rsid w:val="007046D6"/>
    <w:rsid w:val="00705DB0"/>
    <w:rsid w:val="00706AFE"/>
    <w:rsid w:val="00710082"/>
    <w:rsid w:val="00713D09"/>
    <w:rsid w:val="0071612C"/>
    <w:rsid w:val="0072056C"/>
    <w:rsid w:val="00725A8B"/>
    <w:rsid w:val="0073064B"/>
    <w:rsid w:val="0073140F"/>
    <w:rsid w:val="0074066C"/>
    <w:rsid w:val="00742004"/>
    <w:rsid w:val="0074253D"/>
    <w:rsid w:val="0074429B"/>
    <w:rsid w:val="00747748"/>
    <w:rsid w:val="007477D6"/>
    <w:rsid w:val="007477F8"/>
    <w:rsid w:val="00747F63"/>
    <w:rsid w:val="00754B28"/>
    <w:rsid w:val="007615BC"/>
    <w:rsid w:val="00762F05"/>
    <w:rsid w:val="00763336"/>
    <w:rsid w:val="00764EB9"/>
    <w:rsid w:val="007652FF"/>
    <w:rsid w:val="00765383"/>
    <w:rsid w:val="00766F39"/>
    <w:rsid w:val="00771329"/>
    <w:rsid w:val="00773EF7"/>
    <w:rsid w:val="00774E1D"/>
    <w:rsid w:val="0077675A"/>
    <w:rsid w:val="00780355"/>
    <w:rsid w:val="00785721"/>
    <w:rsid w:val="00787170"/>
    <w:rsid w:val="00793A59"/>
    <w:rsid w:val="007A0404"/>
    <w:rsid w:val="007A0507"/>
    <w:rsid w:val="007A2162"/>
    <w:rsid w:val="007A654C"/>
    <w:rsid w:val="007B302B"/>
    <w:rsid w:val="007B43ED"/>
    <w:rsid w:val="007B4BF9"/>
    <w:rsid w:val="007C0F3D"/>
    <w:rsid w:val="007C1AF7"/>
    <w:rsid w:val="007C7A6D"/>
    <w:rsid w:val="007C7B5B"/>
    <w:rsid w:val="007E1661"/>
    <w:rsid w:val="007E4324"/>
    <w:rsid w:val="007E4E71"/>
    <w:rsid w:val="007E62A9"/>
    <w:rsid w:val="007E7BF8"/>
    <w:rsid w:val="007F2FF0"/>
    <w:rsid w:val="008035EE"/>
    <w:rsid w:val="008048BB"/>
    <w:rsid w:val="00810598"/>
    <w:rsid w:val="00811166"/>
    <w:rsid w:val="00814492"/>
    <w:rsid w:val="00821776"/>
    <w:rsid w:val="00826007"/>
    <w:rsid w:val="00827777"/>
    <w:rsid w:val="008321F5"/>
    <w:rsid w:val="00832369"/>
    <w:rsid w:val="00834660"/>
    <w:rsid w:val="00834C8E"/>
    <w:rsid w:val="00836BC2"/>
    <w:rsid w:val="0084156C"/>
    <w:rsid w:val="0084580B"/>
    <w:rsid w:val="00845BCA"/>
    <w:rsid w:val="00853189"/>
    <w:rsid w:val="00853C8F"/>
    <w:rsid w:val="0085451D"/>
    <w:rsid w:val="00854F57"/>
    <w:rsid w:val="0085641B"/>
    <w:rsid w:val="00857136"/>
    <w:rsid w:val="00864511"/>
    <w:rsid w:val="0086679C"/>
    <w:rsid w:val="00870B12"/>
    <w:rsid w:val="0087509C"/>
    <w:rsid w:val="008752CE"/>
    <w:rsid w:val="008821AA"/>
    <w:rsid w:val="00885548"/>
    <w:rsid w:val="008855B8"/>
    <w:rsid w:val="0088703A"/>
    <w:rsid w:val="00887747"/>
    <w:rsid w:val="00887D65"/>
    <w:rsid w:val="008932F3"/>
    <w:rsid w:val="008959D5"/>
    <w:rsid w:val="00896018"/>
    <w:rsid w:val="008A07FF"/>
    <w:rsid w:val="008A2B9D"/>
    <w:rsid w:val="008A4E36"/>
    <w:rsid w:val="008A5E0B"/>
    <w:rsid w:val="008A5E18"/>
    <w:rsid w:val="008A6D59"/>
    <w:rsid w:val="008B2D31"/>
    <w:rsid w:val="008B2D4F"/>
    <w:rsid w:val="008B4B03"/>
    <w:rsid w:val="008B596F"/>
    <w:rsid w:val="008C159F"/>
    <w:rsid w:val="008C1623"/>
    <w:rsid w:val="008C51A9"/>
    <w:rsid w:val="008C56D9"/>
    <w:rsid w:val="008D08E6"/>
    <w:rsid w:val="008D161D"/>
    <w:rsid w:val="008D1EEC"/>
    <w:rsid w:val="008D2B09"/>
    <w:rsid w:val="008D4740"/>
    <w:rsid w:val="008E1FFC"/>
    <w:rsid w:val="008E285D"/>
    <w:rsid w:val="008E7B83"/>
    <w:rsid w:val="008E7CBC"/>
    <w:rsid w:val="008F1CCC"/>
    <w:rsid w:val="008F2967"/>
    <w:rsid w:val="008F407A"/>
    <w:rsid w:val="008F5BF3"/>
    <w:rsid w:val="0090354E"/>
    <w:rsid w:val="00907ACE"/>
    <w:rsid w:val="0091227A"/>
    <w:rsid w:val="00913318"/>
    <w:rsid w:val="00915CC5"/>
    <w:rsid w:val="00917673"/>
    <w:rsid w:val="00920330"/>
    <w:rsid w:val="00920FF4"/>
    <w:rsid w:val="009219D7"/>
    <w:rsid w:val="00922560"/>
    <w:rsid w:val="00922830"/>
    <w:rsid w:val="00922D53"/>
    <w:rsid w:val="00923B70"/>
    <w:rsid w:val="00925DC5"/>
    <w:rsid w:val="0092600B"/>
    <w:rsid w:val="00930237"/>
    <w:rsid w:val="00934397"/>
    <w:rsid w:val="009401F6"/>
    <w:rsid w:val="00940F44"/>
    <w:rsid w:val="00941988"/>
    <w:rsid w:val="00952562"/>
    <w:rsid w:val="00955BFE"/>
    <w:rsid w:val="0095792A"/>
    <w:rsid w:val="00963C08"/>
    <w:rsid w:val="00973DCF"/>
    <w:rsid w:val="00977E45"/>
    <w:rsid w:val="00991135"/>
    <w:rsid w:val="00991A64"/>
    <w:rsid w:val="009936E1"/>
    <w:rsid w:val="00997420"/>
    <w:rsid w:val="009A09AA"/>
    <w:rsid w:val="009A09C1"/>
    <w:rsid w:val="009A474D"/>
    <w:rsid w:val="009A4CED"/>
    <w:rsid w:val="009B15F1"/>
    <w:rsid w:val="009B1D12"/>
    <w:rsid w:val="009B416B"/>
    <w:rsid w:val="009B5713"/>
    <w:rsid w:val="009C4BD5"/>
    <w:rsid w:val="009D1F2D"/>
    <w:rsid w:val="009D2E04"/>
    <w:rsid w:val="009D416F"/>
    <w:rsid w:val="009D7B65"/>
    <w:rsid w:val="009D7B77"/>
    <w:rsid w:val="009E0BB0"/>
    <w:rsid w:val="009E3FBB"/>
    <w:rsid w:val="009E5BD4"/>
    <w:rsid w:val="009E71F4"/>
    <w:rsid w:val="009F018D"/>
    <w:rsid w:val="009F14FA"/>
    <w:rsid w:val="009F1ACF"/>
    <w:rsid w:val="009F2211"/>
    <w:rsid w:val="009F49C1"/>
    <w:rsid w:val="009F7D61"/>
    <w:rsid w:val="00A052B5"/>
    <w:rsid w:val="00A1235B"/>
    <w:rsid w:val="00A13E05"/>
    <w:rsid w:val="00A14DF7"/>
    <w:rsid w:val="00A14F77"/>
    <w:rsid w:val="00A23DEB"/>
    <w:rsid w:val="00A23F3C"/>
    <w:rsid w:val="00A26FAA"/>
    <w:rsid w:val="00A3246D"/>
    <w:rsid w:val="00A3381A"/>
    <w:rsid w:val="00A34C1C"/>
    <w:rsid w:val="00A3654F"/>
    <w:rsid w:val="00A36949"/>
    <w:rsid w:val="00A36FA7"/>
    <w:rsid w:val="00A45B5B"/>
    <w:rsid w:val="00A475B7"/>
    <w:rsid w:val="00A47AF7"/>
    <w:rsid w:val="00A47C3E"/>
    <w:rsid w:val="00A50226"/>
    <w:rsid w:val="00A539AC"/>
    <w:rsid w:val="00A56488"/>
    <w:rsid w:val="00A5676B"/>
    <w:rsid w:val="00A60BAD"/>
    <w:rsid w:val="00A61BA0"/>
    <w:rsid w:val="00A64387"/>
    <w:rsid w:val="00A736F3"/>
    <w:rsid w:val="00A73A8D"/>
    <w:rsid w:val="00A8290F"/>
    <w:rsid w:val="00A84503"/>
    <w:rsid w:val="00A85B04"/>
    <w:rsid w:val="00A87334"/>
    <w:rsid w:val="00A93EE0"/>
    <w:rsid w:val="00AA20F3"/>
    <w:rsid w:val="00AB26F7"/>
    <w:rsid w:val="00AB60EB"/>
    <w:rsid w:val="00AB6F47"/>
    <w:rsid w:val="00AC2B40"/>
    <w:rsid w:val="00AC2BB2"/>
    <w:rsid w:val="00AC2C3C"/>
    <w:rsid w:val="00AC34FB"/>
    <w:rsid w:val="00AC3BD9"/>
    <w:rsid w:val="00AC62E7"/>
    <w:rsid w:val="00AC7EB0"/>
    <w:rsid w:val="00AD082A"/>
    <w:rsid w:val="00AE0320"/>
    <w:rsid w:val="00AE65EB"/>
    <w:rsid w:val="00AF1D94"/>
    <w:rsid w:val="00AF60C5"/>
    <w:rsid w:val="00AF641B"/>
    <w:rsid w:val="00B009C6"/>
    <w:rsid w:val="00B01548"/>
    <w:rsid w:val="00B21D29"/>
    <w:rsid w:val="00B21FC5"/>
    <w:rsid w:val="00B21FEE"/>
    <w:rsid w:val="00B25034"/>
    <w:rsid w:val="00B31089"/>
    <w:rsid w:val="00B33002"/>
    <w:rsid w:val="00B33863"/>
    <w:rsid w:val="00B368F4"/>
    <w:rsid w:val="00B37D17"/>
    <w:rsid w:val="00B40C62"/>
    <w:rsid w:val="00B4175E"/>
    <w:rsid w:val="00B4448F"/>
    <w:rsid w:val="00B510E1"/>
    <w:rsid w:val="00B53302"/>
    <w:rsid w:val="00B54C25"/>
    <w:rsid w:val="00B600DA"/>
    <w:rsid w:val="00B6256E"/>
    <w:rsid w:val="00B64F68"/>
    <w:rsid w:val="00B7161C"/>
    <w:rsid w:val="00B73EF1"/>
    <w:rsid w:val="00B74321"/>
    <w:rsid w:val="00B74823"/>
    <w:rsid w:val="00B75A74"/>
    <w:rsid w:val="00B76B91"/>
    <w:rsid w:val="00B76D94"/>
    <w:rsid w:val="00B80EFA"/>
    <w:rsid w:val="00B81579"/>
    <w:rsid w:val="00B92C72"/>
    <w:rsid w:val="00BA1F55"/>
    <w:rsid w:val="00BA6FF1"/>
    <w:rsid w:val="00BB01FB"/>
    <w:rsid w:val="00BB0909"/>
    <w:rsid w:val="00BB29EA"/>
    <w:rsid w:val="00BB3154"/>
    <w:rsid w:val="00BB6529"/>
    <w:rsid w:val="00BC13BC"/>
    <w:rsid w:val="00BC1CAB"/>
    <w:rsid w:val="00BC622A"/>
    <w:rsid w:val="00BD1D38"/>
    <w:rsid w:val="00BD6F8A"/>
    <w:rsid w:val="00BE0A78"/>
    <w:rsid w:val="00BE79F0"/>
    <w:rsid w:val="00BF046D"/>
    <w:rsid w:val="00BF5D04"/>
    <w:rsid w:val="00C076CE"/>
    <w:rsid w:val="00C13563"/>
    <w:rsid w:val="00C1405E"/>
    <w:rsid w:val="00C15409"/>
    <w:rsid w:val="00C155ED"/>
    <w:rsid w:val="00C204D2"/>
    <w:rsid w:val="00C22A4F"/>
    <w:rsid w:val="00C3326C"/>
    <w:rsid w:val="00C339C6"/>
    <w:rsid w:val="00C34011"/>
    <w:rsid w:val="00C404A6"/>
    <w:rsid w:val="00C40A36"/>
    <w:rsid w:val="00C44419"/>
    <w:rsid w:val="00C45E7B"/>
    <w:rsid w:val="00C471B1"/>
    <w:rsid w:val="00C52BEE"/>
    <w:rsid w:val="00C534D8"/>
    <w:rsid w:val="00C55683"/>
    <w:rsid w:val="00C55C83"/>
    <w:rsid w:val="00C6316B"/>
    <w:rsid w:val="00C634A9"/>
    <w:rsid w:val="00C73D6C"/>
    <w:rsid w:val="00C772FF"/>
    <w:rsid w:val="00C77BC8"/>
    <w:rsid w:val="00C801AF"/>
    <w:rsid w:val="00C80256"/>
    <w:rsid w:val="00C918C4"/>
    <w:rsid w:val="00C94993"/>
    <w:rsid w:val="00C949CB"/>
    <w:rsid w:val="00C95650"/>
    <w:rsid w:val="00CA332B"/>
    <w:rsid w:val="00CA77CC"/>
    <w:rsid w:val="00CB0B54"/>
    <w:rsid w:val="00CB6BC0"/>
    <w:rsid w:val="00CC1B7C"/>
    <w:rsid w:val="00CC727F"/>
    <w:rsid w:val="00CD2699"/>
    <w:rsid w:val="00CD3CD5"/>
    <w:rsid w:val="00CD7871"/>
    <w:rsid w:val="00CE2E2D"/>
    <w:rsid w:val="00CE5BB0"/>
    <w:rsid w:val="00CF15C3"/>
    <w:rsid w:val="00CF2B6F"/>
    <w:rsid w:val="00CF3409"/>
    <w:rsid w:val="00D008A6"/>
    <w:rsid w:val="00D017ED"/>
    <w:rsid w:val="00D062E0"/>
    <w:rsid w:val="00D07FED"/>
    <w:rsid w:val="00D153B1"/>
    <w:rsid w:val="00D218B9"/>
    <w:rsid w:val="00D21DFA"/>
    <w:rsid w:val="00D224FE"/>
    <w:rsid w:val="00D229BA"/>
    <w:rsid w:val="00D233D5"/>
    <w:rsid w:val="00D26B84"/>
    <w:rsid w:val="00D26D35"/>
    <w:rsid w:val="00D30EE7"/>
    <w:rsid w:val="00D31FF5"/>
    <w:rsid w:val="00D342A6"/>
    <w:rsid w:val="00D41755"/>
    <w:rsid w:val="00D433BD"/>
    <w:rsid w:val="00D5001C"/>
    <w:rsid w:val="00D52A8B"/>
    <w:rsid w:val="00D5616E"/>
    <w:rsid w:val="00D5635D"/>
    <w:rsid w:val="00D56B08"/>
    <w:rsid w:val="00D634FE"/>
    <w:rsid w:val="00D6493E"/>
    <w:rsid w:val="00D66AFF"/>
    <w:rsid w:val="00D67128"/>
    <w:rsid w:val="00D71D7E"/>
    <w:rsid w:val="00D74639"/>
    <w:rsid w:val="00D8047D"/>
    <w:rsid w:val="00D81C28"/>
    <w:rsid w:val="00D85AC0"/>
    <w:rsid w:val="00D873A3"/>
    <w:rsid w:val="00D87D0C"/>
    <w:rsid w:val="00D94801"/>
    <w:rsid w:val="00D96C63"/>
    <w:rsid w:val="00DA1124"/>
    <w:rsid w:val="00DA1B06"/>
    <w:rsid w:val="00DA1DEF"/>
    <w:rsid w:val="00DA2B8F"/>
    <w:rsid w:val="00DA3043"/>
    <w:rsid w:val="00DB2920"/>
    <w:rsid w:val="00DB6F22"/>
    <w:rsid w:val="00DC74CD"/>
    <w:rsid w:val="00DD4C9F"/>
    <w:rsid w:val="00DD5496"/>
    <w:rsid w:val="00DD6264"/>
    <w:rsid w:val="00DD75A3"/>
    <w:rsid w:val="00DD7A91"/>
    <w:rsid w:val="00DE02AE"/>
    <w:rsid w:val="00DE6A0C"/>
    <w:rsid w:val="00DE6C04"/>
    <w:rsid w:val="00DE75AC"/>
    <w:rsid w:val="00DF1D7F"/>
    <w:rsid w:val="00E01FF5"/>
    <w:rsid w:val="00E02472"/>
    <w:rsid w:val="00E02FB4"/>
    <w:rsid w:val="00E1340C"/>
    <w:rsid w:val="00E20571"/>
    <w:rsid w:val="00E21651"/>
    <w:rsid w:val="00E235F7"/>
    <w:rsid w:val="00E239D4"/>
    <w:rsid w:val="00E24165"/>
    <w:rsid w:val="00E25B60"/>
    <w:rsid w:val="00E32070"/>
    <w:rsid w:val="00E32326"/>
    <w:rsid w:val="00E33CB6"/>
    <w:rsid w:val="00E346DC"/>
    <w:rsid w:val="00E40B22"/>
    <w:rsid w:val="00E43463"/>
    <w:rsid w:val="00E4588F"/>
    <w:rsid w:val="00E46DA3"/>
    <w:rsid w:val="00E51164"/>
    <w:rsid w:val="00E54042"/>
    <w:rsid w:val="00E55725"/>
    <w:rsid w:val="00E5699E"/>
    <w:rsid w:val="00E615F8"/>
    <w:rsid w:val="00E65CAA"/>
    <w:rsid w:val="00E8120B"/>
    <w:rsid w:val="00E873D1"/>
    <w:rsid w:val="00EA16DE"/>
    <w:rsid w:val="00EA406B"/>
    <w:rsid w:val="00EA453A"/>
    <w:rsid w:val="00EB0798"/>
    <w:rsid w:val="00EB182C"/>
    <w:rsid w:val="00EB19F8"/>
    <w:rsid w:val="00EB2CA1"/>
    <w:rsid w:val="00EB40AD"/>
    <w:rsid w:val="00EB586E"/>
    <w:rsid w:val="00EB5FC8"/>
    <w:rsid w:val="00EB6F5B"/>
    <w:rsid w:val="00EC1271"/>
    <w:rsid w:val="00EC2A18"/>
    <w:rsid w:val="00EC3915"/>
    <w:rsid w:val="00EC67E5"/>
    <w:rsid w:val="00ED0C8B"/>
    <w:rsid w:val="00ED13CF"/>
    <w:rsid w:val="00ED5A41"/>
    <w:rsid w:val="00ED7C5D"/>
    <w:rsid w:val="00EE1184"/>
    <w:rsid w:val="00EE1482"/>
    <w:rsid w:val="00EE1824"/>
    <w:rsid w:val="00EE1C29"/>
    <w:rsid w:val="00EE255A"/>
    <w:rsid w:val="00EF0EAB"/>
    <w:rsid w:val="00EF1D96"/>
    <w:rsid w:val="00EF2296"/>
    <w:rsid w:val="00EF400B"/>
    <w:rsid w:val="00EF47F3"/>
    <w:rsid w:val="00EF578B"/>
    <w:rsid w:val="00F033EC"/>
    <w:rsid w:val="00F04F68"/>
    <w:rsid w:val="00F0627D"/>
    <w:rsid w:val="00F07609"/>
    <w:rsid w:val="00F07C5A"/>
    <w:rsid w:val="00F11A17"/>
    <w:rsid w:val="00F12125"/>
    <w:rsid w:val="00F12670"/>
    <w:rsid w:val="00F14B27"/>
    <w:rsid w:val="00F16DE9"/>
    <w:rsid w:val="00F202AB"/>
    <w:rsid w:val="00F3148D"/>
    <w:rsid w:val="00F3255D"/>
    <w:rsid w:val="00F35298"/>
    <w:rsid w:val="00F35299"/>
    <w:rsid w:val="00F3529E"/>
    <w:rsid w:val="00F36C32"/>
    <w:rsid w:val="00F372DC"/>
    <w:rsid w:val="00F40F73"/>
    <w:rsid w:val="00F412B8"/>
    <w:rsid w:val="00F4305F"/>
    <w:rsid w:val="00F44B0D"/>
    <w:rsid w:val="00F46166"/>
    <w:rsid w:val="00F4663D"/>
    <w:rsid w:val="00F467A6"/>
    <w:rsid w:val="00F46F0C"/>
    <w:rsid w:val="00F47E37"/>
    <w:rsid w:val="00F52545"/>
    <w:rsid w:val="00F54A41"/>
    <w:rsid w:val="00F560BB"/>
    <w:rsid w:val="00F623FD"/>
    <w:rsid w:val="00F63C0D"/>
    <w:rsid w:val="00F640B6"/>
    <w:rsid w:val="00F67B16"/>
    <w:rsid w:val="00F67BBC"/>
    <w:rsid w:val="00F7049F"/>
    <w:rsid w:val="00F724AB"/>
    <w:rsid w:val="00F72C5E"/>
    <w:rsid w:val="00F72EE8"/>
    <w:rsid w:val="00F730CE"/>
    <w:rsid w:val="00F739D1"/>
    <w:rsid w:val="00F74E92"/>
    <w:rsid w:val="00F80E40"/>
    <w:rsid w:val="00F8365F"/>
    <w:rsid w:val="00F8404D"/>
    <w:rsid w:val="00F87B87"/>
    <w:rsid w:val="00FA2D0F"/>
    <w:rsid w:val="00FA2EF0"/>
    <w:rsid w:val="00FA4D6D"/>
    <w:rsid w:val="00FA5B82"/>
    <w:rsid w:val="00FA639E"/>
    <w:rsid w:val="00FA6A3D"/>
    <w:rsid w:val="00FB59CE"/>
    <w:rsid w:val="00FC03C8"/>
    <w:rsid w:val="00FC25E4"/>
    <w:rsid w:val="00FC260C"/>
    <w:rsid w:val="00FC4EF7"/>
    <w:rsid w:val="00FC62BC"/>
    <w:rsid w:val="00FC6B18"/>
    <w:rsid w:val="00FC73DF"/>
    <w:rsid w:val="00FD170D"/>
    <w:rsid w:val="00FE1941"/>
    <w:rsid w:val="00FE1DEE"/>
    <w:rsid w:val="00FE5909"/>
    <w:rsid w:val="00FF13D7"/>
    <w:rsid w:val="00FF1DE1"/>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14747D4"/>
  <w15:docId w15:val="{68D64852-22D2-4B89-8202-FE97CA8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2C1070"/>
    <w:pPr>
      <w:keepNext/>
      <w:keepLines/>
      <w:pageBreakBefore/>
      <w:numPr>
        <w:numId w:val="14"/>
      </w:numPr>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numPr>
        <w:ilvl w:val="1"/>
        <w:numId w:val="14"/>
      </w:numPr>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numPr>
        <w:ilvl w:val="5"/>
        <w:numId w:val="14"/>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numPr>
        <w:ilvl w:val="6"/>
        <w:numId w:val="14"/>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3C02CB"/>
    <w:pPr>
      <w:keepNext/>
      <w:keepLines/>
      <w:numPr>
        <w:ilvl w:val="7"/>
        <w:numId w:val="14"/>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3C02CB"/>
    <w:pPr>
      <w:keepNext/>
      <w:keepLines/>
      <w:numPr>
        <w:ilvl w:val="8"/>
        <w:numId w:val="14"/>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2C1070"/>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aliases w:val="OECD 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8932F3"/>
    <w:pPr>
      <w:numPr>
        <w:numId w:val="3"/>
      </w:numPr>
    </w:pPr>
  </w:style>
  <w:style w:type="paragraph" w:styleId="ListBullet2">
    <w:name w:val="List Bullet 2"/>
    <w:basedOn w:val="Normal"/>
    <w:uiPriority w:val="2"/>
    <w:qFormat/>
    <w:rsid w:val="004B5A6B"/>
    <w:pPr>
      <w:numPr>
        <w:ilvl w:val="1"/>
        <w:numId w:val="3"/>
      </w:numPr>
      <w:ind w:left="850" w:hanging="425"/>
    </w:pPr>
  </w:style>
  <w:style w:type="paragraph" w:styleId="ListBullet3">
    <w:name w:val="List Bullet 3"/>
    <w:basedOn w:val="Normal"/>
    <w:uiPriority w:val="2"/>
    <w:qFormat/>
    <w:rsid w:val="002B706C"/>
    <w:pPr>
      <w:numPr>
        <w:numId w:val="5"/>
      </w:numPr>
      <w:ind w:left="1276" w:hanging="425"/>
    </w:pPr>
  </w:style>
  <w:style w:type="numbering" w:customStyle="1" w:styleId="ListBullets">
    <w:name w:val="ListBullets"/>
    <w:uiPriority w:val="99"/>
    <w:locked/>
    <w:rsid w:val="00F3148D"/>
    <w:pPr>
      <w:numPr>
        <w:numId w:val="29"/>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E1482"/>
    <w:pPr>
      <w:numPr>
        <w:numId w:val="4"/>
      </w:numPr>
    </w:pPr>
  </w:style>
  <w:style w:type="paragraph" w:customStyle="1" w:styleId="Numberbullet2">
    <w:name w:val="Number bullet 2"/>
    <w:basedOn w:val="ListBullet2"/>
    <w:qFormat/>
    <w:rsid w:val="00EE1482"/>
    <w:pPr>
      <w:numPr>
        <w:numId w:val="4"/>
      </w:numPr>
    </w:pPr>
  </w:style>
  <w:style w:type="paragraph" w:customStyle="1" w:styleId="Numberbullet3">
    <w:name w:val="Number bullet 3"/>
    <w:basedOn w:val="Normal"/>
    <w:qFormat/>
    <w:rsid w:val="004B4CB5"/>
    <w:pPr>
      <w:numPr>
        <w:numId w:val="6"/>
      </w:numPr>
      <w:ind w:left="1361" w:hanging="397"/>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4"/>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ListParagraph">
    <w:name w:val="List Paragraph"/>
    <w:basedOn w:val="Normal"/>
    <w:uiPriority w:val="34"/>
    <w:qFormat/>
    <w:rsid w:val="00854F57"/>
    <w:pPr>
      <w:ind w:left="720"/>
      <w:contextualSpacing/>
    </w:pPr>
  </w:style>
  <w:style w:type="character" w:customStyle="1" w:styleId="Heading8Char">
    <w:name w:val="Heading 8 Char"/>
    <w:basedOn w:val="DefaultParagraphFont"/>
    <w:link w:val="Heading8"/>
    <w:uiPriority w:val="9"/>
    <w:semiHidden/>
    <w:rsid w:val="003C02CB"/>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3C02CB"/>
    <w:rPr>
      <w:rFonts w:asciiTheme="majorHAnsi" w:eastAsiaTheme="majorEastAsia" w:hAnsiTheme="majorHAnsi" w:cstheme="majorBidi"/>
      <w:i/>
      <w:iCs/>
      <w:color w:val="0070B5" w:themeColor="text1" w:themeTint="BF"/>
      <w:lang w:eastAsia="en-US"/>
    </w:rPr>
  </w:style>
  <w:style w:type="table" w:styleId="LightList-Accent1">
    <w:name w:val="Light List Accent 1"/>
    <w:basedOn w:val="TableNormal"/>
    <w:uiPriority w:val="61"/>
    <w:rsid w:val="003C02CB"/>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3C02CB"/>
    <w:pPr>
      <w:spacing w:after="100"/>
      <w:ind w:left="1760"/>
    </w:pPr>
  </w:style>
  <w:style w:type="paragraph" w:customStyle="1" w:styleId="TableTitle0">
    <w:name w:val="Table Title"/>
    <w:basedOn w:val="Normal"/>
    <w:next w:val="Normal"/>
    <w:qFormat/>
    <w:rsid w:val="003C02CB"/>
    <w:pPr>
      <w:spacing w:before="180"/>
    </w:pPr>
    <w:rPr>
      <w:b/>
    </w:rPr>
  </w:style>
  <w:style w:type="character" w:styleId="Strong">
    <w:name w:val="Strong"/>
    <w:basedOn w:val="DefaultParagraphFont"/>
    <w:uiPriority w:val="22"/>
    <w:qFormat/>
    <w:rsid w:val="003C02CB"/>
    <w:rPr>
      <w:b/>
      <w:bCs/>
    </w:rPr>
  </w:style>
  <w:style w:type="paragraph" w:customStyle="1" w:styleId="Default">
    <w:name w:val="Default"/>
    <w:rsid w:val="003C02CB"/>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3C02CB"/>
    <w:rPr>
      <w:rFonts w:ascii="Cambria" w:hAnsi="Cambria" w:hint="default"/>
      <w:b w:val="0"/>
      <w:bCs w:val="0"/>
      <w:i w:val="0"/>
      <w:iCs w:val="0"/>
      <w:color w:val="000000"/>
      <w:sz w:val="22"/>
      <w:szCs w:val="22"/>
    </w:rPr>
  </w:style>
  <w:style w:type="character" w:customStyle="1" w:styleId="fontstyle21">
    <w:name w:val="fontstyle21"/>
    <w:basedOn w:val="DefaultParagraphFont"/>
    <w:rsid w:val="003C02CB"/>
    <w:rPr>
      <w:rFonts w:ascii="Cambria-Bold" w:hAnsi="Cambria-Bold" w:hint="default"/>
      <w:b/>
      <w:bCs/>
      <w:i w:val="0"/>
      <w:iCs w:val="0"/>
      <w:color w:val="000000"/>
      <w:sz w:val="22"/>
      <w:szCs w:val="22"/>
    </w:rPr>
  </w:style>
  <w:style w:type="paragraph" w:styleId="Revision">
    <w:name w:val="Revision"/>
    <w:hidden/>
    <w:uiPriority w:val="99"/>
    <w:semiHidden/>
    <w:rsid w:val="003C02CB"/>
    <w:rPr>
      <w:sz w:val="22"/>
      <w:lang w:eastAsia="en-US"/>
    </w:rPr>
  </w:style>
  <w:style w:type="paragraph" w:customStyle="1" w:styleId="ListBulleta">
    <w:name w:val="List Bullet a)"/>
    <w:basedOn w:val="ListBullet"/>
    <w:uiPriority w:val="1"/>
    <w:qFormat/>
    <w:rsid w:val="003C02CB"/>
    <w:pPr>
      <w:numPr>
        <w:numId w:val="15"/>
      </w:numPr>
    </w:pPr>
  </w:style>
  <w:style w:type="paragraph" w:customStyle="1" w:styleId="ListBulleti">
    <w:name w:val="List Bullet i)"/>
    <w:basedOn w:val="ListBullet"/>
    <w:uiPriority w:val="1"/>
    <w:qFormat/>
    <w:rsid w:val="003C02CB"/>
    <w:pPr>
      <w:numPr>
        <w:numId w:val="16"/>
      </w:numPr>
    </w:pPr>
  </w:style>
  <w:style w:type="character" w:customStyle="1" w:styleId="Style1">
    <w:name w:val="Style1"/>
    <w:basedOn w:val="DefaultParagraphFont"/>
    <w:uiPriority w:val="1"/>
    <w:rsid w:val="003C02CB"/>
    <w:rPr>
      <w:rFonts w:ascii="Cambria" w:hAnsi="Cambria"/>
      <w:sz w:val="22"/>
    </w:rPr>
  </w:style>
  <w:style w:type="paragraph" w:styleId="NormalWeb">
    <w:name w:val="Normal (Web)"/>
    <w:basedOn w:val="Normal"/>
    <w:uiPriority w:val="99"/>
    <w:semiHidden/>
    <w:unhideWhenUsed/>
    <w:rsid w:val="003C02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hanging">
    <w:name w:val="Normal - hanging"/>
    <w:basedOn w:val="Normal"/>
    <w:next w:val="Normal"/>
    <w:qFormat/>
    <w:rsid w:val="00D87D0C"/>
    <w:pPr>
      <w:spacing w:before="0" w:after="0"/>
      <w:ind w:left="397" w:hanging="397"/>
    </w:pPr>
    <w:rPr>
      <w:rFonts w:ascii="Times New Roman" w:hAnsi="Times New Roman"/>
    </w:rPr>
  </w:style>
  <w:style w:type="character" w:styleId="Emphasis">
    <w:name w:val="Emphasis"/>
    <w:basedOn w:val="DefaultParagraphFont"/>
    <w:uiPriority w:val="20"/>
    <w:qFormat/>
    <w:rsid w:val="00DD5496"/>
    <w:rPr>
      <w:i/>
      <w:iCs/>
    </w:rPr>
  </w:style>
  <w:style w:type="paragraph" w:customStyle="1" w:styleId="tabletext">
    <w:name w:val="tabletext"/>
    <w:basedOn w:val="Normal"/>
    <w:rsid w:val="00EC2A1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umberbullet20">
    <w:name w:val="numberbullet2"/>
    <w:basedOn w:val="Normal"/>
    <w:rsid w:val="008F5BF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lement-invisible">
    <w:name w:val="element-invisible"/>
    <w:basedOn w:val="DefaultParagraphFont"/>
    <w:rsid w:val="00D56B08"/>
  </w:style>
  <w:style w:type="paragraph" w:customStyle="1" w:styleId="acthead2">
    <w:name w:val="acthead2"/>
    <w:basedOn w:val="Normal"/>
    <w:rsid w:val="00D6712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partno">
    <w:name w:val="charpartno"/>
    <w:basedOn w:val="DefaultParagraphFont"/>
    <w:rsid w:val="00D67128"/>
  </w:style>
  <w:style w:type="paragraph" w:customStyle="1" w:styleId="notetext">
    <w:name w:val="notetext"/>
    <w:basedOn w:val="Normal"/>
    <w:rsid w:val="00D6712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D67128"/>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7611">
      <w:bodyDiv w:val="1"/>
      <w:marLeft w:val="0"/>
      <w:marRight w:val="0"/>
      <w:marTop w:val="0"/>
      <w:marBottom w:val="0"/>
      <w:divBdr>
        <w:top w:val="none" w:sz="0" w:space="0" w:color="auto"/>
        <w:left w:val="none" w:sz="0" w:space="0" w:color="auto"/>
        <w:bottom w:val="none" w:sz="0" w:space="0" w:color="auto"/>
        <w:right w:val="none" w:sz="0" w:space="0" w:color="auto"/>
      </w:divBdr>
    </w:div>
    <w:div w:id="425154727">
      <w:bodyDiv w:val="1"/>
      <w:marLeft w:val="0"/>
      <w:marRight w:val="0"/>
      <w:marTop w:val="0"/>
      <w:marBottom w:val="0"/>
      <w:divBdr>
        <w:top w:val="none" w:sz="0" w:space="0" w:color="auto"/>
        <w:left w:val="none" w:sz="0" w:space="0" w:color="auto"/>
        <w:bottom w:val="none" w:sz="0" w:space="0" w:color="auto"/>
        <w:right w:val="none" w:sz="0" w:space="0" w:color="auto"/>
      </w:divBdr>
    </w:div>
    <w:div w:id="478544604">
      <w:bodyDiv w:val="1"/>
      <w:marLeft w:val="0"/>
      <w:marRight w:val="0"/>
      <w:marTop w:val="0"/>
      <w:marBottom w:val="0"/>
      <w:divBdr>
        <w:top w:val="none" w:sz="0" w:space="0" w:color="auto"/>
        <w:left w:val="none" w:sz="0" w:space="0" w:color="auto"/>
        <w:bottom w:val="none" w:sz="0" w:space="0" w:color="auto"/>
        <w:right w:val="none" w:sz="0" w:space="0" w:color="auto"/>
      </w:divBdr>
    </w:div>
    <w:div w:id="503982957">
      <w:bodyDiv w:val="1"/>
      <w:marLeft w:val="0"/>
      <w:marRight w:val="0"/>
      <w:marTop w:val="0"/>
      <w:marBottom w:val="0"/>
      <w:divBdr>
        <w:top w:val="none" w:sz="0" w:space="0" w:color="auto"/>
        <w:left w:val="none" w:sz="0" w:space="0" w:color="auto"/>
        <w:bottom w:val="none" w:sz="0" w:space="0" w:color="auto"/>
        <w:right w:val="none" w:sz="0" w:space="0" w:color="auto"/>
      </w:divBdr>
    </w:div>
    <w:div w:id="508494547">
      <w:bodyDiv w:val="1"/>
      <w:marLeft w:val="0"/>
      <w:marRight w:val="0"/>
      <w:marTop w:val="0"/>
      <w:marBottom w:val="0"/>
      <w:divBdr>
        <w:top w:val="none" w:sz="0" w:space="0" w:color="auto"/>
        <w:left w:val="none" w:sz="0" w:space="0" w:color="auto"/>
        <w:bottom w:val="none" w:sz="0" w:space="0" w:color="auto"/>
        <w:right w:val="none" w:sz="0" w:space="0" w:color="auto"/>
      </w:divBdr>
    </w:div>
    <w:div w:id="569735614">
      <w:bodyDiv w:val="1"/>
      <w:marLeft w:val="0"/>
      <w:marRight w:val="0"/>
      <w:marTop w:val="0"/>
      <w:marBottom w:val="0"/>
      <w:divBdr>
        <w:top w:val="none" w:sz="0" w:space="0" w:color="auto"/>
        <w:left w:val="none" w:sz="0" w:space="0" w:color="auto"/>
        <w:bottom w:val="none" w:sz="0" w:space="0" w:color="auto"/>
        <w:right w:val="none" w:sz="0" w:space="0" w:color="auto"/>
      </w:divBdr>
    </w:div>
    <w:div w:id="876698893">
      <w:bodyDiv w:val="1"/>
      <w:marLeft w:val="0"/>
      <w:marRight w:val="0"/>
      <w:marTop w:val="0"/>
      <w:marBottom w:val="0"/>
      <w:divBdr>
        <w:top w:val="none" w:sz="0" w:space="0" w:color="auto"/>
        <w:left w:val="none" w:sz="0" w:space="0" w:color="auto"/>
        <w:bottom w:val="none" w:sz="0" w:space="0" w:color="auto"/>
        <w:right w:val="none" w:sz="0" w:space="0" w:color="auto"/>
      </w:divBdr>
      <w:divsChild>
        <w:div w:id="2136755203">
          <w:marLeft w:val="0"/>
          <w:marRight w:val="0"/>
          <w:marTop w:val="0"/>
          <w:marBottom w:val="0"/>
          <w:divBdr>
            <w:top w:val="none" w:sz="0" w:space="0" w:color="auto"/>
            <w:left w:val="none" w:sz="0" w:space="0" w:color="auto"/>
            <w:bottom w:val="none" w:sz="0" w:space="0" w:color="auto"/>
            <w:right w:val="none" w:sz="0" w:space="0" w:color="auto"/>
          </w:divBdr>
          <w:divsChild>
            <w:div w:id="1480464242">
              <w:marLeft w:val="0"/>
              <w:marRight w:val="0"/>
              <w:marTop w:val="0"/>
              <w:marBottom w:val="0"/>
              <w:divBdr>
                <w:top w:val="none" w:sz="0" w:space="0" w:color="auto"/>
                <w:left w:val="none" w:sz="0" w:space="0" w:color="auto"/>
                <w:bottom w:val="none" w:sz="0" w:space="0" w:color="auto"/>
                <w:right w:val="none" w:sz="0" w:space="0" w:color="auto"/>
              </w:divBdr>
              <w:divsChild>
                <w:div w:id="1653676263">
                  <w:marLeft w:val="0"/>
                  <w:marRight w:val="0"/>
                  <w:marTop w:val="0"/>
                  <w:marBottom w:val="0"/>
                  <w:divBdr>
                    <w:top w:val="none" w:sz="0" w:space="0" w:color="auto"/>
                    <w:left w:val="none" w:sz="0" w:space="0" w:color="auto"/>
                    <w:bottom w:val="none" w:sz="0" w:space="0" w:color="auto"/>
                    <w:right w:val="none" w:sz="0" w:space="0" w:color="auto"/>
                  </w:divBdr>
                  <w:divsChild>
                    <w:div w:id="447554919">
                      <w:marLeft w:val="0"/>
                      <w:marRight w:val="0"/>
                      <w:marTop w:val="0"/>
                      <w:marBottom w:val="0"/>
                      <w:divBdr>
                        <w:top w:val="none" w:sz="0" w:space="0" w:color="auto"/>
                        <w:left w:val="none" w:sz="0" w:space="0" w:color="auto"/>
                        <w:bottom w:val="none" w:sz="0" w:space="0" w:color="auto"/>
                        <w:right w:val="none" w:sz="0" w:space="0" w:color="auto"/>
                      </w:divBdr>
                      <w:divsChild>
                        <w:div w:id="908922605">
                          <w:marLeft w:val="0"/>
                          <w:marRight w:val="0"/>
                          <w:marTop w:val="0"/>
                          <w:marBottom w:val="0"/>
                          <w:divBdr>
                            <w:top w:val="none" w:sz="0" w:space="0" w:color="auto"/>
                            <w:left w:val="none" w:sz="0" w:space="0" w:color="auto"/>
                            <w:bottom w:val="none" w:sz="0" w:space="0" w:color="auto"/>
                            <w:right w:val="none" w:sz="0" w:space="0" w:color="auto"/>
                          </w:divBdr>
                          <w:divsChild>
                            <w:div w:id="1046835449">
                              <w:marLeft w:val="0"/>
                              <w:marRight w:val="0"/>
                              <w:marTop w:val="0"/>
                              <w:marBottom w:val="0"/>
                              <w:divBdr>
                                <w:top w:val="none" w:sz="0" w:space="0" w:color="auto"/>
                                <w:left w:val="none" w:sz="0" w:space="0" w:color="auto"/>
                                <w:bottom w:val="none" w:sz="0" w:space="0" w:color="auto"/>
                                <w:right w:val="none" w:sz="0" w:space="0" w:color="auto"/>
                              </w:divBdr>
                              <w:divsChild>
                                <w:div w:id="473789997">
                                  <w:marLeft w:val="0"/>
                                  <w:marRight w:val="0"/>
                                  <w:marTop w:val="0"/>
                                  <w:marBottom w:val="0"/>
                                  <w:divBdr>
                                    <w:top w:val="none" w:sz="0" w:space="0" w:color="auto"/>
                                    <w:left w:val="none" w:sz="0" w:space="0" w:color="auto"/>
                                    <w:bottom w:val="none" w:sz="0" w:space="0" w:color="auto"/>
                                    <w:right w:val="none" w:sz="0" w:space="0" w:color="auto"/>
                                  </w:divBdr>
                                  <w:divsChild>
                                    <w:div w:id="1596935488">
                                      <w:marLeft w:val="0"/>
                                      <w:marRight w:val="0"/>
                                      <w:marTop w:val="0"/>
                                      <w:marBottom w:val="0"/>
                                      <w:divBdr>
                                        <w:top w:val="none" w:sz="0" w:space="0" w:color="auto"/>
                                        <w:left w:val="none" w:sz="0" w:space="0" w:color="auto"/>
                                        <w:bottom w:val="none" w:sz="0" w:space="0" w:color="auto"/>
                                        <w:right w:val="none" w:sz="0" w:space="0" w:color="auto"/>
                                      </w:divBdr>
                                      <w:divsChild>
                                        <w:div w:id="1037269960">
                                          <w:marLeft w:val="0"/>
                                          <w:marRight w:val="0"/>
                                          <w:marTop w:val="0"/>
                                          <w:marBottom w:val="0"/>
                                          <w:divBdr>
                                            <w:top w:val="none" w:sz="0" w:space="0" w:color="auto"/>
                                            <w:left w:val="none" w:sz="0" w:space="0" w:color="auto"/>
                                            <w:bottom w:val="none" w:sz="0" w:space="0" w:color="auto"/>
                                            <w:right w:val="none" w:sz="0" w:space="0" w:color="auto"/>
                                          </w:divBdr>
                                          <w:divsChild>
                                            <w:div w:id="1360007648">
                                              <w:marLeft w:val="0"/>
                                              <w:marRight w:val="0"/>
                                              <w:marTop w:val="0"/>
                                              <w:marBottom w:val="0"/>
                                              <w:divBdr>
                                                <w:top w:val="none" w:sz="0" w:space="0" w:color="auto"/>
                                                <w:left w:val="none" w:sz="0" w:space="0" w:color="auto"/>
                                                <w:bottom w:val="none" w:sz="0" w:space="0" w:color="auto"/>
                                                <w:right w:val="none" w:sz="0" w:space="0" w:color="auto"/>
                                              </w:divBdr>
                                              <w:divsChild>
                                                <w:div w:id="1765304766">
                                                  <w:marLeft w:val="0"/>
                                                  <w:marRight w:val="0"/>
                                                  <w:marTop w:val="0"/>
                                                  <w:marBottom w:val="0"/>
                                                  <w:divBdr>
                                                    <w:top w:val="none" w:sz="0" w:space="0" w:color="auto"/>
                                                    <w:left w:val="none" w:sz="0" w:space="0" w:color="auto"/>
                                                    <w:bottom w:val="none" w:sz="0" w:space="0" w:color="auto"/>
                                                    <w:right w:val="none" w:sz="0" w:space="0" w:color="auto"/>
                                                  </w:divBdr>
                                                  <w:divsChild>
                                                    <w:div w:id="635838926">
                                                      <w:marLeft w:val="0"/>
                                                      <w:marRight w:val="0"/>
                                                      <w:marTop w:val="0"/>
                                                      <w:marBottom w:val="0"/>
                                                      <w:divBdr>
                                                        <w:top w:val="none" w:sz="0" w:space="0" w:color="auto"/>
                                                        <w:left w:val="none" w:sz="0" w:space="0" w:color="auto"/>
                                                        <w:bottom w:val="none" w:sz="0" w:space="0" w:color="auto"/>
                                                        <w:right w:val="none" w:sz="0" w:space="0" w:color="auto"/>
                                                      </w:divBdr>
                                                      <w:divsChild>
                                                        <w:div w:id="3915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294138">
      <w:bodyDiv w:val="1"/>
      <w:marLeft w:val="0"/>
      <w:marRight w:val="0"/>
      <w:marTop w:val="0"/>
      <w:marBottom w:val="0"/>
      <w:divBdr>
        <w:top w:val="none" w:sz="0" w:space="0" w:color="auto"/>
        <w:left w:val="none" w:sz="0" w:space="0" w:color="auto"/>
        <w:bottom w:val="none" w:sz="0" w:space="0" w:color="auto"/>
        <w:right w:val="none" w:sz="0" w:space="0" w:color="auto"/>
      </w:divBdr>
    </w:div>
    <w:div w:id="1219589460">
      <w:bodyDiv w:val="1"/>
      <w:marLeft w:val="0"/>
      <w:marRight w:val="0"/>
      <w:marTop w:val="0"/>
      <w:marBottom w:val="0"/>
      <w:divBdr>
        <w:top w:val="none" w:sz="0" w:space="0" w:color="auto"/>
        <w:left w:val="none" w:sz="0" w:space="0" w:color="auto"/>
        <w:bottom w:val="none" w:sz="0" w:space="0" w:color="auto"/>
        <w:right w:val="none" w:sz="0" w:space="0" w:color="auto"/>
      </w:divBdr>
    </w:div>
    <w:div w:id="1325547591">
      <w:bodyDiv w:val="1"/>
      <w:marLeft w:val="0"/>
      <w:marRight w:val="0"/>
      <w:marTop w:val="0"/>
      <w:marBottom w:val="0"/>
      <w:divBdr>
        <w:top w:val="none" w:sz="0" w:space="0" w:color="auto"/>
        <w:left w:val="none" w:sz="0" w:space="0" w:color="auto"/>
        <w:bottom w:val="none" w:sz="0" w:space="0" w:color="auto"/>
        <w:right w:val="none" w:sz="0" w:space="0" w:color="auto"/>
      </w:divBdr>
    </w:div>
    <w:div w:id="1415274828">
      <w:bodyDiv w:val="1"/>
      <w:marLeft w:val="0"/>
      <w:marRight w:val="0"/>
      <w:marTop w:val="0"/>
      <w:marBottom w:val="0"/>
      <w:divBdr>
        <w:top w:val="none" w:sz="0" w:space="0" w:color="auto"/>
        <w:left w:val="none" w:sz="0" w:space="0" w:color="auto"/>
        <w:bottom w:val="none" w:sz="0" w:space="0" w:color="auto"/>
        <w:right w:val="none" w:sz="0" w:space="0" w:color="auto"/>
      </w:divBdr>
    </w:div>
    <w:div w:id="1726487943">
      <w:bodyDiv w:val="1"/>
      <w:marLeft w:val="0"/>
      <w:marRight w:val="0"/>
      <w:marTop w:val="0"/>
      <w:marBottom w:val="0"/>
      <w:divBdr>
        <w:top w:val="none" w:sz="0" w:space="0" w:color="auto"/>
        <w:left w:val="none" w:sz="0" w:space="0" w:color="auto"/>
        <w:bottom w:val="none" w:sz="0" w:space="0" w:color="auto"/>
        <w:right w:val="none" w:sz="0" w:space="0" w:color="auto"/>
      </w:divBdr>
    </w:div>
    <w:div w:id="18750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scheduling-decision-final/notice-final-decisions-acms-32-accs-29-joint-acms-accs-26-november-2020-meetings" TargetMode="External"/><Relationship Id="rId18" Type="http://schemas.openxmlformats.org/officeDocument/2006/relationships/hyperlink" Target="https://www.legislation.gov.au/Details/F2019L00213" TargetMode="External"/><Relationship Id="rId26" Type="http://schemas.openxmlformats.org/officeDocument/2006/relationships/hyperlink" Target="https://www.tga.gov.au/alert/bufexamac" TargetMode="External"/><Relationship Id="rId39" Type="http://schemas.openxmlformats.org/officeDocument/2006/relationships/hyperlink" Target="https://www.medsafe.govt.nz/profs/class/classintro.asp" TargetMode="External"/><Relationship Id="rId21" Type="http://schemas.openxmlformats.org/officeDocument/2006/relationships/hyperlink" Target="https://ec.europa.eu/growth/tools-databases/cosing/" TargetMode="External"/><Relationship Id="rId34" Type="http://schemas.openxmlformats.org/officeDocument/2006/relationships/hyperlink" Target="https://portal.apvma.gov.au/pubcris" TargetMode="External"/><Relationship Id="rId42" Type="http://schemas.openxmlformats.org/officeDocument/2006/relationships/hyperlink" Target="https://www.legislation.gov.au/Search/Therapeutic%20Goods%20$LB$Permissible%20Ingredients$RB$%20Determination" TargetMode="External"/><Relationship Id="rId47" Type="http://schemas.openxmlformats.org/officeDocument/2006/relationships/hyperlink" Target="https://www.who.int/publications/i/item/WHOMVPEMPIAU2019.06" TargetMode="External"/><Relationship Id="rId50" Type="http://schemas.openxmlformats.org/officeDocument/2006/relationships/hyperlink" Target="https://www.medsafe.govt.nz/profs/class/classintro.asp" TargetMode="External"/><Relationship Id="rId55" Type="http://schemas.openxmlformats.org/officeDocument/2006/relationships/hyperlink" Target="https://www.tga.gov.au/scheduling-delegates-interim-decisions-invitations-further-commen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Search/Therapeutic%20Goods%20$LB$Permissible%20Ingredients$RB$%20Determination" TargetMode="External"/><Relationship Id="rId20" Type="http://schemas.openxmlformats.org/officeDocument/2006/relationships/hyperlink" Target="https://www.who.int/publications/i/item/WHOMVPEMPIAU2019.06" TargetMode="External"/><Relationship Id="rId29" Type="http://schemas.openxmlformats.org/officeDocument/2006/relationships/hyperlink" Target="https://www.tga.gov.au/artg" TargetMode="External"/><Relationship Id="rId41" Type="http://schemas.openxmlformats.org/officeDocument/2006/relationships/hyperlink" Target="https://www.tga.gov.au/artg" TargetMode="External"/><Relationship Id="rId54" Type="http://schemas.openxmlformats.org/officeDocument/2006/relationships/hyperlink" Target="https://www.tga.gov.au/public-submissions-scheduling-matter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t.nz/database-search/new-zealand-inventory-of-chemicals-nzioc/DatabaseSearchForm/?SiteDatabaseSearchFilters=36&amp;Keyword=acequinocyl&amp;DatabaseType=NZIOC" TargetMode="External"/><Relationship Id="rId32" Type="http://schemas.openxmlformats.org/officeDocument/2006/relationships/hyperlink" Target="https://www.legislation.gov.au/Details/F2019L00213" TargetMode="External"/><Relationship Id="rId37" Type="http://schemas.openxmlformats.org/officeDocument/2006/relationships/hyperlink" Target="https://www.accessdata.fda.gov/scripts/cder/daf/" TargetMode="External"/><Relationship Id="rId40" Type="http://schemas.openxmlformats.org/officeDocument/2006/relationships/hyperlink" Target="https://www.ebs.tga.gov.au/" TargetMode="External"/><Relationship Id="rId45" Type="http://schemas.openxmlformats.org/officeDocument/2006/relationships/hyperlink" Target="https://apps.tga.gov.au/Prod/daen/daen-entry.aspx" TargetMode="External"/><Relationship Id="rId53" Type="http://schemas.openxmlformats.org/officeDocument/2006/relationships/hyperlink" Target="https://www.tga.gov.au/committee/advisory-committee-chemicals-scheduling-accs"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tga.gov.au/artg" TargetMode="External"/><Relationship Id="rId23" Type="http://schemas.openxmlformats.org/officeDocument/2006/relationships/hyperlink" Target="https://www.hpra.ie/homepage/medicines/medicines-information/find-a-medicine/results?query=Metoclopramide+hydrochloride&amp;field=ACTIVESUBSTANCES" TargetMode="External"/><Relationship Id="rId28" Type="http://schemas.openxmlformats.org/officeDocument/2006/relationships/hyperlink" Target="https://www.ebs.tga.gov.au/" TargetMode="External"/><Relationship Id="rId36" Type="http://schemas.openxmlformats.org/officeDocument/2006/relationships/hyperlink" Target="https://www.hpra.ie/homepage/medicines/medicines-information/find-a-medicine/results?query=Metoclopramide+hydrochloride&amp;field=ACTIVESUBSTANCES" TargetMode="External"/><Relationship Id="rId49" Type="http://schemas.openxmlformats.org/officeDocument/2006/relationships/hyperlink" Target="https://health-products.canada.ca/dpd-bdpp/index-eng.jsp" TargetMode="External"/><Relationship Id="rId57" Type="http://schemas.openxmlformats.org/officeDocument/2006/relationships/footer" Target="footer3.xml"/><Relationship Id="rId61"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apps.tga.gov.au/Prod/daen/daen-entry.aspx" TargetMode="External"/><Relationship Id="rId31" Type="http://schemas.openxmlformats.org/officeDocument/2006/relationships/hyperlink" Target="https://www.tga.gov.au/prescribing-medicines-pregnancy-database" TargetMode="External"/><Relationship Id="rId44" Type="http://schemas.openxmlformats.org/officeDocument/2006/relationships/hyperlink" Target="https://www.legislation.gov.au/Details/F2019L00213" TargetMode="External"/><Relationship Id="rId52" Type="http://schemas.openxmlformats.org/officeDocument/2006/relationships/hyperlink" Target="https://www.tga.gov.au/committee/advisory-committee-medicines-scheduling-acms"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bs.tga.gov.au/" TargetMode="External"/><Relationship Id="rId22" Type="http://schemas.openxmlformats.org/officeDocument/2006/relationships/hyperlink" Target="https://health-products.canada.ca/dpd-bdpp/index-eng.jsp" TargetMode="External"/><Relationship Id="rId27" Type="http://schemas.openxmlformats.org/officeDocument/2006/relationships/hyperlink" Target="https://www.tga.gov.au/committee-meeting-info/acm-meeting-statement-meeting-14-april-2019" TargetMode="External"/><Relationship Id="rId30" Type="http://schemas.openxmlformats.org/officeDocument/2006/relationships/hyperlink" Target="https://www.legislation.gov.au/Search/Therapeutic%20Goods%20$LB$Permissible%20Ingredients$RB$%20Determination" TargetMode="External"/><Relationship Id="rId35" Type="http://schemas.openxmlformats.org/officeDocument/2006/relationships/hyperlink" Target="https://www.who.int/publications/i/item/WHOMVPEMPIAU2019.06" TargetMode="External"/><Relationship Id="rId43" Type="http://schemas.openxmlformats.org/officeDocument/2006/relationships/hyperlink" Target="https://www.tga.gov.au/prescribing-medicines-pregnancy-database" TargetMode="External"/><Relationship Id="rId48" Type="http://schemas.openxmlformats.org/officeDocument/2006/relationships/hyperlink" Target="https://www.hpra.ie/homepage/medicines/medicines-information/find-a-medicine/results?query=Metoclopramide+hydrochloride&amp;field=ACTIVESUBSTANCES"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consultations.health.gov.au/tga/june_2021_acms"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tga.gov.au/prescribing-medicines-pregnancy-database" TargetMode="External"/><Relationship Id="rId25" Type="http://schemas.openxmlformats.org/officeDocument/2006/relationships/hyperlink" Target="https://www.medsafe.govt.nz/profs/class/classintro.asp" TargetMode="External"/><Relationship Id="rId33" Type="http://schemas.openxmlformats.org/officeDocument/2006/relationships/hyperlink" Target="https://apps.tga.gov.au/Prod/daen/daen-entry.aspx" TargetMode="External"/><Relationship Id="rId38" Type="http://schemas.openxmlformats.org/officeDocument/2006/relationships/hyperlink" Target="https://health-products.canada.ca/dpd-bdpp/index-eng.jsp" TargetMode="External"/><Relationship Id="rId46" Type="http://schemas.openxmlformats.org/officeDocument/2006/relationships/hyperlink" Target="https://portal.apvma.gov.au/pubcris" TargetMode="External"/><Relationship Id="rId59" Type="http://schemas.openxmlformats.org/officeDocument/2006/relationships/hyperlink" Target="mailto:medicines.scheduling@health.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cessdata.fda.gov/scripts/cder/daf/" TargetMode="External"/><Relationship Id="rId13" Type="http://schemas.openxmlformats.org/officeDocument/2006/relationships/hyperlink" Target="https://www.ebs.tga.gov.au/" TargetMode="External"/><Relationship Id="rId18" Type="http://schemas.openxmlformats.org/officeDocument/2006/relationships/hyperlink" Target="https://apps.tga.gov.au/Prod/daen/daen-entry.aspx" TargetMode="External"/><Relationship Id="rId26" Type="http://schemas.openxmlformats.org/officeDocument/2006/relationships/hyperlink" Target="https://www.tga.gov.au/artg" TargetMode="External"/><Relationship Id="rId3" Type="http://schemas.openxmlformats.org/officeDocument/2006/relationships/hyperlink" Target="https://www.legislation.gov.au/Search/Therapeutic%20Goods%20$LB$Permissible%20Ingredients$RB$%20Determination" TargetMode="External"/><Relationship Id="rId21" Type="http://schemas.openxmlformats.org/officeDocument/2006/relationships/hyperlink" Target="https://www.hpra.ie/homepage/medicines/medicines-information/find-a-medicine/results?query=&amp;field" TargetMode="External"/><Relationship Id="rId34" Type="http://schemas.openxmlformats.org/officeDocument/2006/relationships/hyperlink" Target="https://www.accessdata.fda.gov/scripts/cder/daf/" TargetMode="External"/><Relationship Id="rId7" Type="http://schemas.openxmlformats.org/officeDocument/2006/relationships/hyperlink" Target="http://www.who.int/publications/i/item/WHOMVPEMPIAU2019.06" TargetMode="External"/><Relationship Id="rId12" Type="http://schemas.openxmlformats.org/officeDocument/2006/relationships/hyperlink" Target="https://www.medsafe.govt.nz/profs/class/classintro.asp" TargetMode="External"/><Relationship Id="rId17" Type="http://schemas.openxmlformats.org/officeDocument/2006/relationships/hyperlink" Target="https://www.legislation.gov.au/Details/F2019L00213" TargetMode="External"/><Relationship Id="rId25" Type="http://schemas.openxmlformats.org/officeDocument/2006/relationships/hyperlink" Target="https://www.ebs.tga.gov.au/" TargetMode="External"/><Relationship Id="rId33" Type="http://schemas.openxmlformats.org/officeDocument/2006/relationships/hyperlink" Target="https://www.hpra.ie/homepage/medicines/medicines-information/find-a-medicine/results?query=&amp;field" TargetMode="External"/><Relationship Id="rId2" Type="http://schemas.openxmlformats.org/officeDocument/2006/relationships/hyperlink" Target="https://www.tga.gov.au/artg" TargetMode="External"/><Relationship Id="rId16" Type="http://schemas.openxmlformats.org/officeDocument/2006/relationships/hyperlink" Target="https://www.tga.gov.au/prescribing-medicines-pregnancy-database" TargetMode="External"/><Relationship Id="rId20" Type="http://schemas.openxmlformats.org/officeDocument/2006/relationships/hyperlink" Target="http://www.who.int/publications/i/item/WHOMVPEMPIAU2019.06" TargetMode="External"/><Relationship Id="rId29" Type="http://schemas.openxmlformats.org/officeDocument/2006/relationships/hyperlink" Target="https://www.legislation.gov.au/Details/F2019L00213" TargetMode="External"/><Relationship Id="rId1" Type="http://schemas.openxmlformats.org/officeDocument/2006/relationships/hyperlink" Target="https://www.ebs.tga.gov.au/" TargetMode="External"/><Relationship Id="rId6" Type="http://schemas.openxmlformats.org/officeDocument/2006/relationships/hyperlink" Target="https://apps.tga.gov.au/Prod/daen/daen-entry.aspx" TargetMode="External"/><Relationship Id="rId11" Type="http://schemas.openxmlformats.org/officeDocument/2006/relationships/hyperlink" Target="https://www.epa.govt.nz/database-search/new-zealand-inventory-of-chemicals-nzioc/DatabaseSearchForm/?SiteDatabaseSearchFilters=36&amp;Keyword=acequinocyl&amp;DatabaseType=NZIOC" TargetMode="External"/><Relationship Id="rId24" Type="http://schemas.openxmlformats.org/officeDocument/2006/relationships/hyperlink" Target="https://www.medsafe.govt.nz/profs/class/classintro.asp" TargetMode="External"/><Relationship Id="rId32" Type="http://schemas.openxmlformats.org/officeDocument/2006/relationships/hyperlink" Target="http://www.who.int/publications/i/item/WHOMVPEMPIAU2019.06" TargetMode="External"/><Relationship Id="rId37" Type="http://schemas.openxmlformats.org/officeDocument/2006/relationships/hyperlink" Target="https://www.medsafe.govt.nz/Consumers/PharmOnly.asp" TargetMode="External"/><Relationship Id="rId5" Type="http://schemas.openxmlformats.org/officeDocument/2006/relationships/hyperlink" Target="https://www.legislation.gov.au/Details/F2019L00213" TargetMode="External"/><Relationship Id="rId15" Type="http://schemas.openxmlformats.org/officeDocument/2006/relationships/hyperlink" Target="https://www.legislation.gov.au/Search/Therapeutic%20Goods%20$LB$Permissible%20Ingredients$RB$%20Determination" TargetMode="External"/><Relationship Id="rId23" Type="http://schemas.openxmlformats.org/officeDocument/2006/relationships/hyperlink" Target="https://health-products.canada.ca/dpd-bdpp/index-eng.jsp" TargetMode="External"/><Relationship Id="rId28" Type="http://schemas.openxmlformats.org/officeDocument/2006/relationships/hyperlink" Target="https://www.tga.gov.au/prescribing-medicines-pregnancy-database" TargetMode="External"/><Relationship Id="rId36" Type="http://schemas.openxmlformats.org/officeDocument/2006/relationships/hyperlink" Target="https://www.medsafe.govt.nz/profs/class/classintro.asp" TargetMode="External"/><Relationship Id="rId10" Type="http://schemas.openxmlformats.org/officeDocument/2006/relationships/hyperlink" Target="https://www.hpra.ie/homepage/medicines/medicines-information/find-a-medicine/results?query=&amp;field" TargetMode="External"/><Relationship Id="rId19" Type="http://schemas.openxmlformats.org/officeDocument/2006/relationships/hyperlink" Target="https://portal.apvma.gov.au/pubcris" TargetMode="External"/><Relationship Id="rId31" Type="http://schemas.openxmlformats.org/officeDocument/2006/relationships/hyperlink" Target="https://portal.apvma.gov.au/pubcris" TargetMode="External"/><Relationship Id="rId4" Type="http://schemas.openxmlformats.org/officeDocument/2006/relationships/hyperlink" Target="https://www.tga.gov.au/prescribing-medicines-pregnancy-database" TargetMode="External"/><Relationship Id="rId9" Type="http://schemas.openxmlformats.org/officeDocument/2006/relationships/hyperlink" Target="https://health-products.canada.ca/dpd-bdpp/index-eng.jsp" TargetMode="External"/><Relationship Id="rId14" Type="http://schemas.openxmlformats.org/officeDocument/2006/relationships/hyperlink" Target="https://www.tga.gov.au/artg" TargetMode="External"/><Relationship Id="rId22" Type="http://schemas.openxmlformats.org/officeDocument/2006/relationships/hyperlink" Target="https://www.accessdata.fda.gov/scripts/cder/daf/" TargetMode="External"/><Relationship Id="rId27" Type="http://schemas.openxmlformats.org/officeDocument/2006/relationships/hyperlink" Target="https://www.legislation.gov.au/Search/Therapeutic%20Goods%20$LB$Permissible%20Ingredients$RB$%20Determination" TargetMode="External"/><Relationship Id="rId30" Type="http://schemas.openxmlformats.org/officeDocument/2006/relationships/hyperlink" Target="https://apps.tga.gov.au/Prod/daen/daen-entry.aspx" TargetMode="External"/><Relationship Id="rId35" Type="http://schemas.openxmlformats.org/officeDocument/2006/relationships/hyperlink" Target="https://health-products.canada.ca/dpd-bdpp/index-eng.js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8A22-8E0A-4EEE-800D-D12FCD83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269</TotalTime>
  <Pages>22</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amendments to the Poisons Standard – ACMS, June 2021</dc:title>
  <dc:subject>scheduling</dc:subject>
  <dc:creator>Therapeutic Goods Administration</dc:creator>
  <cp:lastPrinted>2010-12-20T22:59:00Z</cp:lastPrinted>
  <dcterms:created xsi:type="dcterms:W3CDTF">2021-04-14T05:34:00Z</dcterms:created>
  <dcterms:modified xsi:type="dcterms:W3CDTF">2021-04-28T03:22:00Z</dcterms:modified>
</cp:coreProperties>
</file>