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92A" w:rsidRDefault="00F0492A" w:rsidP="00246821">
      <w:pPr>
        <w:pStyle w:val="Heading1"/>
      </w:pPr>
      <w:r>
        <w:t xml:space="preserve">Notice of final </w:t>
      </w:r>
      <w:r w:rsidRPr="00246821">
        <w:t>decisions</w:t>
      </w:r>
      <w:r w:rsidRPr="00355C15">
        <w:t xml:space="preserve"> </w:t>
      </w:r>
      <w:r>
        <w:t xml:space="preserve">to amend (or not amend) the current </w:t>
      </w:r>
      <w:r w:rsidRPr="00137322">
        <w:t>Poisons</w:t>
      </w:r>
      <w:r>
        <w:t xml:space="preserve"> Standard</w:t>
      </w:r>
    </w:p>
    <w:p w:rsidR="0062124C" w:rsidRPr="00137322" w:rsidRDefault="00C42205" w:rsidP="00246821">
      <w:pPr>
        <w:pStyle w:val="NonTOCheading2"/>
      </w:pPr>
      <w:r w:rsidRPr="00137322">
        <w:t>Delegate-only f</w:t>
      </w:r>
      <w:r w:rsidR="00726084" w:rsidRPr="00137322">
        <w:t>inal decisions and reasons related to scheduling proposals on agricultural and veterinary chemicals</w:t>
      </w:r>
    </w:p>
    <w:p w:rsidR="0062124C" w:rsidRPr="0062124C" w:rsidRDefault="00137322" w:rsidP="0062124C">
      <w:r>
        <w:t>14 May</w:t>
      </w:r>
      <w:r w:rsidR="0062124C">
        <w:t xml:space="preserve"> 2019</w:t>
      </w:r>
    </w:p>
    <w:p w:rsidR="00803331" w:rsidRDefault="00803331" w:rsidP="00246821">
      <w:pPr>
        <w:pStyle w:val="NonTOCheading3"/>
      </w:pPr>
      <w:r>
        <w:t xml:space="preserve">Scheduling </w:t>
      </w:r>
      <w:r w:rsidRPr="00246821">
        <w:t>amendments</w:t>
      </w:r>
      <w:r>
        <w:t xml:space="preserve"> not referred to expert advisory committee</w:t>
      </w:r>
    </w:p>
    <w:p w:rsidR="00803331" w:rsidRDefault="00803331" w:rsidP="00803331">
      <w:r>
        <w:t xml:space="preserve">Subdivision 3D.3 of the </w:t>
      </w:r>
      <w:r w:rsidRPr="00C401E5">
        <w:rPr>
          <w:i/>
        </w:rPr>
        <w:t>Therapeutic Goods Regulations 1990</w:t>
      </w:r>
      <w:r>
        <w:t xml:space="preserve"> (the Regulations) sets out the procedure to be followed where the Secretary receives an application under section 52EAA of the </w:t>
      </w:r>
      <w:r w:rsidRPr="00C401E5">
        <w:rPr>
          <w:i/>
        </w:rPr>
        <w:t>Therapeutic Goods Act 1989</w:t>
      </w:r>
      <w:r>
        <w:t xml:space="preserve"> (the Act) to amend the current </w:t>
      </w:r>
      <w:r w:rsidRPr="00C401E5">
        <w:rPr>
          <w:i/>
        </w:rPr>
        <w:t>Poisons Standard</w:t>
      </w:r>
      <w:r>
        <w:t xml:space="preserve"> and decides not to refer the proposed amendment to an expert advisory committee. These include, under regulation 42ZCZU, that the Secretary decides to make a final decision in relation to the proposed amendment without an interim decision. If the final decision is to amend the current </w:t>
      </w:r>
      <w:r w:rsidRPr="00082356">
        <w:rPr>
          <w:i/>
        </w:rPr>
        <w:t>Poisons Standard</w:t>
      </w:r>
      <w:r>
        <w:t xml:space="preserve">, the Secretary must, in doing so, take into account the matters mentioned in subsection 52E(1) of the Act (including, for example, the risks and benefits of the use of a substance, and the potential for abuse of a substance) and the scheduling guidelines as set out in the </w:t>
      </w:r>
      <w:hyperlink r:id="rId9" w:history="1">
        <w:r w:rsidRPr="00C401E5">
          <w:rPr>
            <w:rStyle w:val="Hyperlink"/>
            <w:i/>
          </w:rPr>
          <w:t>Scheduling Policy Framework for Medicines and Chemicals</w:t>
        </w:r>
      </w:hyperlink>
      <w:r>
        <w:t>.</w:t>
      </w:r>
    </w:p>
    <w:p w:rsidR="00FB7CA4" w:rsidRPr="00FB7CA4" w:rsidRDefault="00803331" w:rsidP="00FB7CA4">
      <w:pPr>
        <w:rPr>
          <w:highlight w:val="yellow"/>
        </w:rPr>
      </w:pPr>
      <w:r>
        <w:t xml:space="preserve">In accordance with 42ZCZX of the Regulations, the Secretary publishes here the scheduling final decision, the reasons for that decision and the date of effect (for decisions to amend the current </w:t>
      </w:r>
      <w:r w:rsidRPr="00C401E5">
        <w:rPr>
          <w:i/>
        </w:rPr>
        <w:t>Poisons Standard</w:t>
      </w:r>
      <w:r>
        <w:t xml:space="preserve">, this will be the date when it is expected that the current </w:t>
      </w:r>
      <w:r w:rsidRPr="00C401E5">
        <w:rPr>
          <w:i/>
        </w:rPr>
        <w:t>Poisons Standard</w:t>
      </w:r>
      <w:r>
        <w:t xml:space="preserve"> will be amended to give effect to the decision). </w:t>
      </w:r>
      <w:r w:rsidR="00FB7CA4" w:rsidRPr="00871FDB">
        <w:t>These Secretary's final decisions and reasons related to</w:t>
      </w:r>
      <w:r w:rsidR="003B5A46">
        <w:t xml:space="preserve"> </w:t>
      </w:r>
      <w:r w:rsidR="003B5A46" w:rsidRPr="003B5A46">
        <w:t>scheduling proposals on agricultural and veterinary chemicals</w:t>
      </w:r>
      <w:r w:rsidR="00137322">
        <w:t>.</w:t>
      </w:r>
    </w:p>
    <w:p w:rsidR="00803331" w:rsidRDefault="00803331" w:rsidP="00ED09D8">
      <w:pPr>
        <w:pStyle w:val="NonTOCheading3"/>
      </w:pPr>
      <w:r>
        <w:t>Privacy and your personal information</w:t>
      </w:r>
    </w:p>
    <w:p w:rsidR="00803331" w:rsidRDefault="00803331" w:rsidP="00FA5960">
      <w:r>
        <w:t>The Therapeutic Goods Administration (TGA) will not publish information it considers confidential, including yours/other individuals' personal information (unless you/they have consented to publication) or commercially sensitive information. Also, the TGA will not publish information that could be considered advertising or marketing (e.g. logos or slogans associated with products), information about any alleged unlawful activity or that may be defamatory or offensive.</w:t>
      </w:r>
    </w:p>
    <w:p w:rsidR="00803331" w:rsidRDefault="00803331" w:rsidP="00FA5960">
      <w:r>
        <w:t xml:space="preserve">For general privacy information, go to </w:t>
      </w:r>
      <w:hyperlink r:id="rId10" w:history="1">
        <w:r w:rsidR="00ED09D8" w:rsidRPr="00ED09D8">
          <w:rPr>
            <w:rStyle w:val="Hyperlink"/>
          </w:rPr>
          <w:t>Privacy</w:t>
        </w:r>
      </w:hyperlink>
      <w:r>
        <w:t>. The TGA is part of the Department of Health and the link includes a link to the Department's privacy policy and contact information if you have a query or concerns about a privacy matter.</w:t>
      </w:r>
    </w:p>
    <w:p w:rsidR="00803331" w:rsidRDefault="00803331" w:rsidP="00803331">
      <w:r>
        <w:t xml:space="preserve">The TGA may receive submissions from the public on a proposed amendment to the Poisons Standard where there has been an invitation to the public for submissions on the proposal in accordance with the </w:t>
      </w:r>
      <w:r w:rsidRPr="00246821">
        <w:rPr>
          <w:i/>
        </w:rPr>
        <w:t>Therapeutic Goods Regulations 1990</w:t>
      </w:r>
      <w:r>
        <w:t>. These submissions may contain personal information of the individual making the submissions and others.</w:t>
      </w:r>
    </w:p>
    <w:p w:rsidR="00803331" w:rsidRDefault="00803331" w:rsidP="00803331">
      <w:r>
        <w:lastRenderedPageBreak/>
        <w:t>The TGA collects this information as part of its regulatory functions and may use the information to contact the individual who made the submissi</w:t>
      </w:r>
      <w:r w:rsidR="002E10DB">
        <w:t>ons if the TGA has any queries.</w:t>
      </w:r>
    </w:p>
    <w:p w:rsidR="00803331" w:rsidRDefault="00803331" w:rsidP="00803331">
      <w:r>
        <w:t>As set out above, the TGA is required to publish these submissions unless they contain confidential information.</w:t>
      </w:r>
    </w:p>
    <w:p w:rsidR="00803331" w:rsidRDefault="00803331" w:rsidP="00803331">
      <w:r>
        <w:t xml:space="preserve">If you request for your submission to be published in full, including your name and any other information about you, then the TGA will publish your personal information on its website. However, if at any point in time, you change your mind and wish for your personal information to be redacted then please contact the Scheduling Secretariat at </w:t>
      </w:r>
      <w:hyperlink r:id="rId11" w:history="1">
        <w:r w:rsidR="00ED09D8" w:rsidRPr="00E35E45">
          <w:rPr>
            <w:rStyle w:val="Hyperlink"/>
          </w:rPr>
          <w:t>medicines.scheduling@health.gov.au</w:t>
        </w:r>
      </w:hyperlink>
      <w:r w:rsidR="00ED09D8">
        <w:t xml:space="preserve"> </w:t>
      </w:r>
      <w:r>
        <w:t>so that the pubic submissions can be updated accordingly.</w:t>
      </w:r>
    </w:p>
    <w:p w:rsidR="00803331" w:rsidRDefault="00803331" w:rsidP="00803331">
      <w:r>
        <w:t>Please note that the TGA cannot guarantee that updating the submissions on the TGA website will result in the removal of your personal information from the internet.</w:t>
      </w:r>
    </w:p>
    <w:p w:rsidR="00803331" w:rsidRDefault="00803331" w:rsidP="00803331">
      <w:r>
        <w:t>Please note that the TGA will not publish personal information about you/others without your/their consent unless authorised or required by law.</w:t>
      </w:r>
    </w:p>
    <w:p w:rsidR="00803331" w:rsidRDefault="00803331" w:rsidP="00ED09D8">
      <w:pPr>
        <w:pStyle w:val="NonTOCheading3"/>
      </w:pPr>
      <w:r>
        <w:t>Enquiries</w:t>
      </w:r>
    </w:p>
    <w:p w:rsidR="00B2782B" w:rsidRDefault="00803331" w:rsidP="00B2782B">
      <w:r>
        <w:t xml:space="preserve">Any questions relating to submissions should be directed by email to </w:t>
      </w:r>
      <w:hyperlink r:id="rId12" w:history="1">
        <w:r w:rsidR="00ED09D8" w:rsidRPr="00E35E45">
          <w:rPr>
            <w:rStyle w:val="Hyperlink"/>
          </w:rPr>
          <w:t>medicines.scheduling@health.gov.au</w:t>
        </w:r>
      </w:hyperlink>
      <w:r w:rsidR="00ED09D8">
        <w:t xml:space="preserve"> </w:t>
      </w:r>
      <w:r>
        <w:t xml:space="preserve">(for substances referred to the ACMS or Joint ACCS-ACMS) or </w:t>
      </w:r>
      <w:hyperlink r:id="rId13" w:history="1">
        <w:r w:rsidR="00ED09D8" w:rsidRPr="00E35E45">
          <w:rPr>
            <w:rStyle w:val="Hyperlink"/>
          </w:rPr>
          <w:t>chemicals.scheduling@health.gov.au</w:t>
        </w:r>
      </w:hyperlink>
      <w:r w:rsidR="00ED09D8">
        <w:t xml:space="preserve"> </w:t>
      </w:r>
      <w:r>
        <w:t>(for substances referred to the ACCS).</w:t>
      </w:r>
    </w:p>
    <w:sdt>
      <w:sdtPr>
        <w:rPr>
          <w:b/>
          <w:sz w:val="22"/>
          <w:szCs w:val="22"/>
        </w:rPr>
        <w:id w:val="1439328693"/>
        <w:docPartObj>
          <w:docPartGallery w:val="Table of Contents"/>
          <w:docPartUnique/>
        </w:docPartObj>
      </w:sdtPr>
      <w:sdtEndPr>
        <w:rPr>
          <w:rStyle w:val="Hyperlink"/>
          <w:b w:val="0"/>
          <w:color w:val="0000FF"/>
          <w:u w:val="single"/>
        </w:rPr>
      </w:sdtEndPr>
      <w:sdtContent>
        <w:p w:rsidR="00B2782B" w:rsidRDefault="00B2782B" w:rsidP="002E10DB">
          <w:pPr>
            <w:pStyle w:val="NonTOCheading2"/>
            <w:pageBreakBefore/>
            <w:spacing w:before="0"/>
          </w:pPr>
          <w:r w:rsidRPr="008F69E8">
            <w:t>Contents</w:t>
          </w:r>
        </w:p>
        <w:p w:rsidR="00AC68E2" w:rsidRDefault="004D12F5">
          <w:pPr>
            <w:pStyle w:val="TOC1"/>
            <w:rPr>
              <w:rFonts w:asciiTheme="minorHAnsi" w:eastAsiaTheme="minorEastAsia" w:hAnsiTheme="minorHAnsi"/>
              <w:b w:val="0"/>
              <w:noProof/>
              <w:sz w:val="22"/>
              <w:lang w:eastAsia="en-AU"/>
            </w:rPr>
          </w:pPr>
          <w:r w:rsidRPr="00AE4DE6">
            <w:rPr>
              <w:rStyle w:val="Hyperlink"/>
            </w:rPr>
            <w:fldChar w:fldCharType="begin"/>
          </w:r>
          <w:r w:rsidRPr="00AE4DE6">
            <w:rPr>
              <w:rStyle w:val="Hyperlink"/>
            </w:rPr>
            <w:instrText xml:space="preserve"> TOC \h \z \u \t "Heading 2,1,Heading 3,2,Heading 4,3" </w:instrText>
          </w:r>
          <w:r w:rsidRPr="00AE4DE6">
            <w:rPr>
              <w:rStyle w:val="Hyperlink"/>
            </w:rPr>
            <w:fldChar w:fldCharType="separate"/>
          </w:r>
          <w:hyperlink w:anchor="_Toc8656084" w:history="1">
            <w:r w:rsidR="00AC68E2" w:rsidRPr="002D5626">
              <w:rPr>
                <w:rStyle w:val="Hyperlink"/>
                <w:noProof/>
              </w:rPr>
              <w:t>Part A - Final decisions on matters not referred to an expert advisory committee</w:t>
            </w:r>
            <w:r w:rsidR="00AC68E2">
              <w:rPr>
                <w:noProof/>
                <w:webHidden/>
              </w:rPr>
              <w:tab/>
            </w:r>
            <w:r w:rsidR="00AC68E2">
              <w:rPr>
                <w:noProof/>
                <w:webHidden/>
              </w:rPr>
              <w:fldChar w:fldCharType="begin"/>
            </w:r>
            <w:r w:rsidR="00AC68E2">
              <w:rPr>
                <w:noProof/>
                <w:webHidden/>
              </w:rPr>
              <w:instrText xml:space="preserve"> PAGEREF _Toc8656084 \h </w:instrText>
            </w:r>
            <w:r w:rsidR="00AC68E2">
              <w:rPr>
                <w:noProof/>
                <w:webHidden/>
              </w:rPr>
            </w:r>
            <w:r w:rsidR="00AC68E2">
              <w:rPr>
                <w:noProof/>
                <w:webHidden/>
              </w:rPr>
              <w:fldChar w:fldCharType="separate"/>
            </w:r>
            <w:r w:rsidR="00AC68E2">
              <w:rPr>
                <w:noProof/>
                <w:webHidden/>
              </w:rPr>
              <w:t>4</w:t>
            </w:r>
            <w:r w:rsidR="00AC68E2">
              <w:rPr>
                <w:noProof/>
                <w:webHidden/>
              </w:rPr>
              <w:fldChar w:fldCharType="end"/>
            </w:r>
          </w:hyperlink>
        </w:p>
        <w:p w:rsidR="00AC68E2" w:rsidRDefault="004E1DC9">
          <w:pPr>
            <w:pStyle w:val="TOC2"/>
            <w:rPr>
              <w:rFonts w:asciiTheme="minorHAnsi" w:eastAsiaTheme="minorEastAsia" w:hAnsiTheme="minorHAnsi"/>
              <w:noProof/>
              <w:sz w:val="22"/>
              <w:lang w:eastAsia="en-AU"/>
            </w:rPr>
          </w:pPr>
          <w:hyperlink w:anchor="_Toc8656085" w:history="1">
            <w:r w:rsidR="00AC68E2" w:rsidRPr="002D5626">
              <w:rPr>
                <w:rStyle w:val="Hyperlink"/>
                <w:noProof/>
              </w:rPr>
              <w:t>1. Delegate-only decisions on agricultural and veterinary chemicals</w:t>
            </w:r>
            <w:r w:rsidR="00AC68E2">
              <w:rPr>
                <w:noProof/>
                <w:webHidden/>
              </w:rPr>
              <w:tab/>
            </w:r>
            <w:r w:rsidR="00AC68E2">
              <w:rPr>
                <w:noProof/>
                <w:webHidden/>
              </w:rPr>
              <w:fldChar w:fldCharType="begin"/>
            </w:r>
            <w:r w:rsidR="00AC68E2">
              <w:rPr>
                <w:noProof/>
                <w:webHidden/>
              </w:rPr>
              <w:instrText xml:space="preserve"> PAGEREF _Toc8656085 \h </w:instrText>
            </w:r>
            <w:r w:rsidR="00AC68E2">
              <w:rPr>
                <w:noProof/>
                <w:webHidden/>
              </w:rPr>
            </w:r>
            <w:r w:rsidR="00AC68E2">
              <w:rPr>
                <w:noProof/>
                <w:webHidden/>
              </w:rPr>
              <w:fldChar w:fldCharType="separate"/>
            </w:r>
            <w:r w:rsidR="00AC68E2">
              <w:rPr>
                <w:noProof/>
                <w:webHidden/>
              </w:rPr>
              <w:t>4</w:t>
            </w:r>
            <w:r w:rsidR="00AC68E2">
              <w:rPr>
                <w:noProof/>
                <w:webHidden/>
              </w:rPr>
              <w:fldChar w:fldCharType="end"/>
            </w:r>
          </w:hyperlink>
        </w:p>
        <w:p w:rsidR="00AC68E2" w:rsidRDefault="004E1DC9">
          <w:pPr>
            <w:pStyle w:val="TOC3"/>
            <w:rPr>
              <w:rFonts w:asciiTheme="minorHAnsi" w:eastAsiaTheme="minorEastAsia" w:hAnsiTheme="minorHAnsi"/>
              <w:noProof/>
              <w:lang w:eastAsia="en-AU"/>
            </w:rPr>
          </w:pPr>
          <w:hyperlink w:anchor="_Toc8656086" w:history="1">
            <w:r w:rsidR="00AC68E2" w:rsidRPr="002D5626">
              <w:rPr>
                <w:rStyle w:val="Hyperlink"/>
                <w:noProof/>
              </w:rPr>
              <w:t>1.1. Grapiprant</w:t>
            </w:r>
            <w:r w:rsidR="00AC68E2">
              <w:rPr>
                <w:noProof/>
                <w:webHidden/>
              </w:rPr>
              <w:tab/>
            </w:r>
            <w:r w:rsidR="00AC68E2">
              <w:rPr>
                <w:noProof/>
                <w:webHidden/>
              </w:rPr>
              <w:fldChar w:fldCharType="begin"/>
            </w:r>
            <w:r w:rsidR="00AC68E2">
              <w:rPr>
                <w:noProof/>
                <w:webHidden/>
              </w:rPr>
              <w:instrText xml:space="preserve"> PAGEREF _Toc8656086 \h </w:instrText>
            </w:r>
            <w:r w:rsidR="00AC68E2">
              <w:rPr>
                <w:noProof/>
                <w:webHidden/>
              </w:rPr>
            </w:r>
            <w:r w:rsidR="00AC68E2">
              <w:rPr>
                <w:noProof/>
                <w:webHidden/>
              </w:rPr>
              <w:fldChar w:fldCharType="separate"/>
            </w:r>
            <w:r w:rsidR="00AC68E2">
              <w:rPr>
                <w:noProof/>
                <w:webHidden/>
              </w:rPr>
              <w:t>4</w:t>
            </w:r>
            <w:r w:rsidR="00AC68E2">
              <w:rPr>
                <w:noProof/>
                <w:webHidden/>
              </w:rPr>
              <w:fldChar w:fldCharType="end"/>
            </w:r>
          </w:hyperlink>
        </w:p>
        <w:p w:rsidR="00AC68E2" w:rsidRDefault="004E1DC9">
          <w:pPr>
            <w:pStyle w:val="TOC3"/>
            <w:rPr>
              <w:rFonts w:asciiTheme="minorHAnsi" w:eastAsiaTheme="minorEastAsia" w:hAnsiTheme="minorHAnsi"/>
              <w:noProof/>
              <w:lang w:eastAsia="en-AU"/>
            </w:rPr>
          </w:pPr>
          <w:hyperlink w:anchor="_Toc8656087" w:history="1">
            <w:r w:rsidR="00AC68E2" w:rsidRPr="002D5626">
              <w:rPr>
                <w:rStyle w:val="Hyperlink"/>
                <w:noProof/>
              </w:rPr>
              <w:t>1.2. Spiropidion</w:t>
            </w:r>
            <w:r w:rsidR="00AC68E2">
              <w:rPr>
                <w:noProof/>
                <w:webHidden/>
              </w:rPr>
              <w:tab/>
            </w:r>
            <w:r w:rsidR="00AC68E2">
              <w:rPr>
                <w:noProof/>
                <w:webHidden/>
              </w:rPr>
              <w:fldChar w:fldCharType="begin"/>
            </w:r>
            <w:r w:rsidR="00AC68E2">
              <w:rPr>
                <w:noProof/>
                <w:webHidden/>
              </w:rPr>
              <w:instrText xml:space="preserve"> PAGEREF _Toc8656087 \h </w:instrText>
            </w:r>
            <w:r w:rsidR="00AC68E2">
              <w:rPr>
                <w:noProof/>
                <w:webHidden/>
              </w:rPr>
            </w:r>
            <w:r w:rsidR="00AC68E2">
              <w:rPr>
                <w:noProof/>
                <w:webHidden/>
              </w:rPr>
              <w:fldChar w:fldCharType="separate"/>
            </w:r>
            <w:r w:rsidR="00AC68E2">
              <w:rPr>
                <w:noProof/>
                <w:webHidden/>
              </w:rPr>
              <w:t>10</w:t>
            </w:r>
            <w:r w:rsidR="00AC68E2">
              <w:rPr>
                <w:noProof/>
                <w:webHidden/>
              </w:rPr>
              <w:fldChar w:fldCharType="end"/>
            </w:r>
          </w:hyperlink>
        </w:p>
        <w:p w:rsidR="00AC68E2" w:rsidRDefault="004E1DC9">
          <w:pPr>
            <w:pStyle w:val="TOC3"/>
            <w:rPr>
              <w:rFonts w:asciiTheme="minorHAnsi" w:eastAsiaTheme="minorEastAsia" w:hAnsiTheme="minorHAnsi"/>
              <w:noProof/>
              <w:lang w:eastAsia="en-AU"/>
            </w:rPr>
          </w:pPr>
          <w:hyperlink w:anchor="_Toc8656088" w:history="1">
            <w:r w:rsidR="00AC68E2" w:rsidRPr="002D5626">
              <w:rPr>
                <w:rStyle w:val="Hyperlink"/>
                <w:noProof/>
              </w:rPr>
              <w:t>1.3. 6-Benzyladenine</w:t>
            </w:r>
            <w:r w:rsidR="00AC68E2">
              <w:rPr>
                <w:noProof/>
                <w:webHidden/>
              </w:rPr>
              <w:tab/>
            </w:r>
            <w:r w:rsidR="00AC68E2">
              <w:rPr>
                <w:noProof/>
                <w:webHidden/>
              </w:rPr>
              <w:fldChar w:fldCharType="begin"/>
            </w:r>
            <w:r w:rsidR="00AC68E2">
              <w:rPr>
                <w:noProof/>
                <w:webHidden/>
              </w:rPr>
              <w:instrText xml:space="preserve"> PAGEREF _Toc8656088 \h </w:instrText>
            </w:r>
            <w:r w:rsidR="00AC68E2">
              <w:rPr>
                <w:noProof/>
                <w:webHidden/>
              </w:rPr>
            </w:r>
            <w:r w:rsidR="00AC68E2">
              <w:rPr>
                <w:noProof/>
                <w:webHidden/>
              </w:rPr>
              <w:fldChar w:fldCharType="separate"/>
            </w:r>
            <w:r w:rsidR="00AC68E2">
              <w:rPr>
                <w:noProof/>
                <w:webHidden/>
              </w:rPr>
              <w:t>16</w:t>
            </w:r>
            <w:r w:rsidR="00AC68E2">
              <w:rPr>
                <w:noProof/>
                <w:webHidden/>
              </w:rPr>
              <w:fldChar w:fldCharType="end"/>
            </w:r>
          </w:hyperlink>
        </w:p>
        <w:p w:rsidR="00AC68E2" w:rsidRDefault="004E1DC9">
          <w:pPr>
            <w:pStyle w:val="TOC3"/>
            <w:rPr>
              <w:rFonts w:asciiTheme="minorHAnsi" w:eastAsiaTheme="minorEastAsia" w:hAnsiTheme="minorHAnsi"/>
              <w:noProof/>
              <w:lang w:eastAsia="en-AU"/>
            </w:rPr>
          </w:pPr>
          <w:hyperlink w:anchor="_Toc8656089" w:history="1">
            <w:r w:rsidR="00AC68E2" w:rsidRPr="002D5626">
              <w:rPr>
                <w:rStyle w:val="Hyperlink"/>
                <w:noProof/>
              </w:rPr>
              <w:t>1.4.</w:t>
            </w:r>
            <w:r w:rsidR="00AC68E2" w:rsidRPr="002D5626">
              <w:rPr>
                <w:rStyle w:val="Hyperlink"/>
                <w:rFonts w:cs="Arial"/>
                <w:noProof/>
                <w:kern w:val="32"/>
                <w:lang w:val="en-US"/>
              </w:rPr>
              <w:t xml:space="preserve"> </w:t>
            </w:r>
            <w:r w:rsidR="00AC68E2" w:rsidRPr="002D5626">
              <w:rPr>
                <w:rStyle w:val="Hyperlink"/>
                <w:noProof/>
                <w:lang w:val="en-US"/>
              </w:rPr>
              <w:t>Bupivacaine</w:t>
            </w:r>
            <w:r w:rsidR="00AC68E2">
              <w:rPr>
                <w:noProof/>
                <w:webHidden/>
              </w:rPr>
              <w:tab/>
            </w:r>
            <w:r w:rsidR="00AC68E2">
              <w:rPr>
                <w:noProof/>
                <w:webHidden/>
              </w:rPr>
              <w:fldChar w:fldCharType="begin"/>
            </w:r>
            <w:r w:rsidR="00AC68E2">
              <w:rPr>
                <w:noProof/>
                <w:webHidden/>
              </w:rPr>
              <w:instrText xml:space="preserve"> PAGEREF _Toc8656089 \h </w:instrText>
            </w:r>
            <w:r w:rsidR="00AC68E2">
              <w:rPr>
                <w:noProof/>
                <w:webHidden/>
              </w:rPr>
            </w:r>
            <w:r w:rsidR="00AC68E2">
              <w:rPr>
                <w:noProof/>
                <w:webHidden/>
              </w:rPr>
              <w:fldChar w:fldCharType="separate"/>
            </w:r>
            <w:r w:rsidR="00AC68E2">
              <w:rPr>
                <w:noProof/>
                <w:webHidden/>
              </w:rPr>
              <w:t>21</w:t>
            </w:r>
            <w:r w:rsidR="00AC68E2">
              <w:rPr>
                <w:noProof/>
                <w:webHidden/>
              </w:rPr>
              <w:fldChar w:fldCharType="end"/>
            </w:r>
          </w:hyperlink>
        </w:p>
        <w:p w:rsidR="00AC68E2" w:rsidRDefault="004E1DC9">
          <w:pPr>
            <w:pStyle w:val="TOC3"/>
            <w:rPr>
              <w:rFonts w:asciiTheme="minorHAnsi" w:eastAsiaTheme="minorEastAsia" w:hAnsiTheme="minorHAnsi"/>
              <w:noProof/>
              <w:lang w:eastAsia="en-AU"/>
            </w:rPr>
          </w:pPr>
          <w:hyperlink w:anchor="_Toc8656090" w:history="1">
            <w:r w:rsidR="00AC68E2" w:rsidRPr="002D5626">
              <w:rPr>
                <w:rStyle w:val="Hyperlink"/>
                <w:noProof/>
              </w:rPr>
              <w:t>1.5.</w:t>
            </w:r>
            <w:r w:rsidR="00AC68E2" w:rsidRPr="002D5626">
              <w:rPr>
                <w:rStyle w:val="Hyperlink"/>
                <w:rFonts w:cs="Arial"/>
                <w:noProof/>
                <w:kern w:val="32"/>
                <w:lang w:val="en-US"/>
              </w:rPr>
              <w:t xml:space="preserve"> </w:t>
            </w:r>
            <w:r w:rsidR="00AC68E2" w:rsidRPr="002D5626">
              <w:rPr>
                <w:rStyle w:val="Hyperlink"/>
                <w:noProof/>
              </w:rPr>
              <w:t>Lidocaine</w:t>
            </w:r>
            <w:r w:rsidR="00AC68E2">
              <w:rPr>
                <w:noProof/>
                <w:webHidden/>
              </w:rPr>
              <w:tab/>
            </w:r>
            <w:r w:rsidR="00AC68E2">
              <w:rPr>
                <w:noProof/>
                <w:webHidden/>
              </w:rPr>
              <w:fldChar w:fldCharType="begin"/>
            </w:r>
            <w:r w:rsidR="00AC68E2">
              <w:rPr>
                <w:noProof/>
                <w:webHidden/>
              </w:rPr>
              <w:instrText xml:space="preserve"> PAGEREF _Toc8656090 \h </w:instrText>
            </w:r>
            <w:r w:rsidR="00AC68E2">
              <w:rPr>
                <w:noProof/>
                <w:webHidden/>
              </w:rPr>
            </w:r>
            <w:r w:rsidR="00AC68E2">
              <w:rPr>
                <w:noProof/>
                <w:webHidden/>
              </w:rPr>
              <w:fldChar w:fldCharType="separate"/>
            </w:r>
            <w:r w:rsidR="00AC68E2">
              <w:rPr>
                <w:noProof/>
                <w:webHidden/>
              </w:rPr>
              <w:t>27</w:t>
            </w:r>
            <w:r w:rsidR="00AC68E2">
              <w:rPr>
                <w:noProof/>
                <w:webHidden/>
              </w:rPr>
              <w:fldChar w:fldCharType="end"/>
            </w:r>
          </w:hyperlink>
        </w:p>
        <w:p w:rsidR="00AC68E2" w:rsidRDefault="004E1DC9">
          <w:pPr>
            <w:pStyle w:val="TOC3"/>
            <w:rPr>
              <w:rFonts w:asciiTheme="minorHAnsi" w:eastAsiaTheme="minorEastAsia" w:hAnsiTheme="minorHAnsi"/>
              <w:noProof/>
              <w:lang w:eastAsia="en-AU"/>
            </w:rPr>
          </w:pPr>
          <w:hyperlink w:anchor="_Toc8656091" w:history="1">
            <w:r w:rsidR="00AC68E2" w:rsidRPr="002D5626">
              <w:rPr>
                <w:rStyle w:val="Hyperlink"/>
                <w:noProof/>
              </w:rPr>
              <w:t>1.6.</w:t>
            </w:r>
            <w:r w:rsidR="00AC68E2" w:rsidRPr="002D5626">
              <w:rPr>
                <w:rStyle w:val="Hyperlink"/>
                <w:rFonts w:cs="Arial"/>
                <w:noProof/>
                <w:kern w:val="32"/>
                <w:lang w:val="en-US"/>
              </w:rPr>
              <w:t xml:space="preserve"> </w:t>
            </w:r>
            <w:r w:rsidR="00AC68E2" w:rsidRPr="002D5626">
              <w:rPr>
                <w:rStyle w:val="Hyperlink"/>
                <w:noProof/>
                <w:lang w:val="en-US"/>
              </w:rPr>
              <w:t>Sodium salicylate</w:t>
            </w:r>
            <w:r w:rsidR="00AC68E2">
              <w:rPr>
                <w:noProof/>
                <w:webHidden/>
              </w:rPr>
              <w:tab/>
            </w:r>
            <w:r w:rsidR="00AC68E2">
              <w:rPr>
                <w:noProof/>
                <w:webHidden/>
              </w:rPr>
              <w:fldChar w:fldCharType="begin"/>
            </w:r>
            <w:r w:rsidR="00AC68E2">
              <w:rPr>
                <w:noProof/>
                <w:webHidden/>
              </w:rPr>
              <w:instrText xml:space="preserve"> PAGEREF _Toc8656091 \h </w:instrText>
            </w:r>
            <w:r w:rsidR="00AC68E2">
              <w:rPr>
                <w:noProof/>
                <w:webHidden/>
              </w:rPr>
            </w:r>
            <w:r w:rsidR="00AC68E2">
              <w:rPr>
                <w:noProof/>
                <w:webHidden/>
              </w:rPr>
              <w:fldChar w:fldCharType="separate"/>
            </w:r>
            <w:r w:rsidR="00AC68E2">
              <w:rPr>
                <w:noProof/>
                <w:webHidden/>
              </w:rPr>
              <w:t>35</w:t>
            </w:r>
            <w:r w:rsidR="00AC68E2">
              <w:rPr>
                <w:noProof/>
                <w:webHidden/>
              </w:rPr>
              <w:fldChar w:fldCharType="end"/>
            </w:r>
          </w:hyperlink>
        </w:p>
        <w:p w:rsidR="00AC68E2" w:rsidRDefault="004E1DC9">
          <w:pPr>
            <w:pStyle w:val="TOC3"/>
            <w:rPr>
              <w:rFonts w:asciiTheme="minorHAnsi" w:eastAsiaTheme="minorEastAsia" w:hAnsiTheme="minorHAnsi"/>
              <w:noProof/>
              <w:lang w:eastAsia="en-AU"/>
            </w:rPr>
          </w:pPr>
          <w:hyperlink w:anchor="_Toc8656092" w:history="1">
            <w:r w:rsidR="00AC68E2" w:rsidRPr="002D5626">
              <w:rPr>
                <w:rStyle w:val="Hyperlink"/>
                <w:noProof/>
              </w:rPr>
              <w:t>1.7. Tiafenacil</w:t>
            </w:r>
            <w:r w:rsidR="00AC68E2">
              <w:rPr>
                <w:noProof/>
                <w:webHidden/>
              </w:rPr>
              <w:tab/>
            </w:r>
            <w:r w:rsidR="00AC68E2">
              <w:rPr>
                <w:noProof/>
                <w:webHidden/>
              </w:rPr>
              <w:fldChar w:fldCharType="begin"/>
            </w:r>
            <w:r w:rsidR="00AC68E2">
              <w:rPr>
                <w:noProof/>
                <w:webHidden/>
              </w:rPr>
              <w:instrText xml:space="preserve"> PAGEREF _Toc8656092 \h </w:instrText>
            </w:r>
            <w:r w:rsidR="00AC68E2">
              <w:rPr>
                <w:noProof/>
                <w:webHidden/>
              </w:rPr>
            </w:r>
            <w:r w:rsidR="00AC68E2">
              <w:rPr>
                <w:noProof/>
                <w:webHidden/>
              </w:rPr>
              <w:fldChar w:fldCharType="separate"/>
            </w:r>
            <w:r w:rsidR="00AC68E2">
              <w:rPr>
                <w:noProof/>
                <w:webHidden/>
              </w:rPr>
              <w:t>40</w:t>
            </w:r>
            <w:r w:rsidR="00AC68E2">
              <w:rPr>
                <w:noProof/>
                <w:webHidden/>
              </w:rPr>
              <w:fldChar w:fldCharType="end"/>
            </w:r>
          </w:hyperlink>
        </w:p>
        <w:p w:rsidR="00B2782B" w:rsidRPr="003238F6" w:rsidRDefault="004D12F5" w:rsidP="00AC364A">
          <w:pPr>
            <w:rPr>
              <w:rStyle w:val="Hyperlink"/>
              <w:color w:val="auto"/>
            </w:rPr>
          </w:pPr>
          <w:r w:rsidRPr="00AE4DE6">
            <w:rPr>
              <w:rStyle w:val="Hyperlink"/>
            </w:rPr>
            <w:fldChar w:fldCharType="end"/>
          </w:r>
        </w:p>
      </w:sdtContent>
    </w:sdt>
    <w:p w:rsidR="00FB7CA4" w:rsidRDefault="003B5A46" w:rsidP="0022324A">
      <w:pPr>
        <w:pStyle w:val="Heading2"/>
        <w:spacing w:before="0"/>
      </w:pPr>
      <w:bookmarkStart w:id="0" w:name="_Toc512345636"/>
      <w:bookmarkStart w:id="1" w:name="_Toc8656084"/>
      <w:r>
        <w:lastRenderedPageBreak/>
        <w:t>Part A</w:t>
      </w:r>
      <w:r w:rsidR="00FB7CA4">
        <w:t xml:space="preserve"> - Final decisions on matters not referred to an expert advisory committee</w:t>
      </w:r>
      <w:bookmarkEnd w:id="0"/>
      <w:bookmarkEnd w:id="1"/>
    </w:p>
    <w:p w:rsidR="00FB7CA4" w:rsidRDefault="003B5A46" w:rsidP="00FB5F96">
      <w:pPr>
        <w:pStyle w:val="Heading3"/>
      </w:pPr>
      <w:bookmarkStart w:id="2" w:name="_Toc8656085"/>
      <w:r>
        <w:t>1</w:t>
      </w:r>
      <w:r w:rsidR="00FB7CA4">
        <w:t>.</w:t>
      </w:r>
      <w:r>
        <w:t xml:space="preserve"> </w:t>
      </w:r>
      <w:r w:rsidRPr="00FB5F96">
        <w:t>Delegate</w:t>
      </w:r>
      <w:r>
        <w:t xml:space="preserve">-only decisions on agricultural and veterinary </w:t>
      </w:r>
      <w:r w:rsidRPr="00A86668">
        <w:t>chemicals</w:t>
      </w:r>
      <w:bookmarkEnd w:id="2"/>
    </w:p>
    <w:p w:rsidR="00FB7CA4" w:rsidRPr="00A86668" w:rsidRDefault="003B5A46" w:rsidP="00FB5F96">
      <w:pPr>
        <w:pStyle w:val="Heading4"/>
      </w:pPr>
      <w:bookmarkStart w:id="3" w:name="_Toc8656086"/>
      <w:r>
        <w:t>1</w:t>
      </w:r>
      <w:r w:rsidR="00FB7CA4">
        <w:t>.1</w:t>
      </w:r>
      <w:r w:rsidR="00871FDB">
        <w:t>.</w:t>
      </w:r>
      <w:r w:rsidR="00FB7CA4">
        <w:t xml:space="preserve"> </w:t>
      </w:r>
      <w:proofErr w:type="spellStart"/>
      <w:r w:rsidR="00FB7CA4" w:rsidRPr="00FB5F96">
        <w:t>G</w:t>
      </w:r>
      <w:r w:rsidRPr="00FB5F96">
        <w:t>rapiprant</w:t>
      </w:r>
      <w:bookmarkEnd w:id="3"/>
      <w:proofErr w:type="spellEnd"/>
    </w:p>
    <w:p w:rsidR="00FB7CA4" w:rsidRPr="0019029E" w:rsidRDefault="00FB7CA4" w:rsidP="00A86668">
      <w:pPr>
        <w:pStyle w:val="Heading5"/>
      </w:pPr>
      <w:r>
        <w:t>Delegate’s final decision</w:t>
      </w:r>
    </w:p>
    <w:tbl>
      <w:tblPr>
        <w:tblStyle w:val="TableGrid"/>
        <w:tblW w:w="9286" w:type="dxa"/>
        <w:tblInd w:w="108" w:type="dxa"/>
        <w:tblBorders>
          <w:top w:val="single" w:sz="12" w:space="0" w:color="002C47" w:themeColor="text1"/>
          <w:left w:val="single" w:sz="12" w:space="0" w:color="002C47" w:themeColor="text1"/>
          <w:bottom w:val="single" w:sz="12" w:space="0" w:color="002C47" w:themeColor="text1"/>
          <w:right w:val="single" w:sz="12" w:space="0" w:color="002C47" w:themeColor="text1"/>
          <w:insideH w:val="single" w:sz="12" w:space="0" w:color="002C47" w:themeColor="text1"/>
          <w:insideV w:val="single" w:sz="12" w:space="0" w:color="002C47" w:themeColor="text1"/>
        </w:tblBorders>
        <w:tblLook w:val="04A0" w:firstRow="1" w:lastRow="0" w:firstColumn="1" w:lastColumn="0" w:noHBand="0" w:noVBand="1"/>
      </w:tblPr>
      <w:tblGrid>
        <w:gridCol w:w="9286"/>
      </w:tblGrid>
      <w:tr w:rsidR="00FB7CA4" w:rsidTr="00E35544">
        <w:tc>
          <w:tcPr>
            <w:tcW w:w="9286" w:type="dxa"/>
            <w:shd w:val="clear" w:color="auto" w:fill="D2EDFF" w:themeFill="text2" w:themeFillTint="1A"/>
          </w:tcPr>
          <w:p w:rsidR="00FB7CA4" w:rsidRPr="00A6563B" w:rsidRDefault="008E2DAB" w:rsidP="00A86668">
            <w:pPr>
              <w:pStyle w:val="Heading6"/>
            </w:pPr>
            <w:r>
              <w:t>Final decision</w:t>
            </w:r>
          </w:p>
          <w:p w:rsidR="003B5A46" w:rsidRPr="003B5A46" w:rsidRDefault="003B5A46" w:rsidP="0027091E">
            <w:r w:rsidRPr="003B5A46">
              <w:t>The delegate's final decision under regulation 42ZCZU</w:t>
            </w:r>
            <w:r w:rsidRPr="003B5A46">
              <w:rPr>
                <w:bCs/>
                <w:lang w:val="en-US"/>
              </w:rPr>
              <w:t xml:space="preserve"> </w:t>
            </w:r>
            <w:r w:rsidR="00A86668">
              <w:t xml:space="preserve">of the </w:t>
            </w:r>
            <w:r w:rsidRPr="003B5A46">
              <w:rPr>
                <w:i/>
                <w:iCs/>
              </w:rPr>
              <w:t xml:space="preserve">Therapeutic Goods Regulations 1990 </w:t>
            </w:r>
            <w:r w:rsidRPr="003B5A46">
              <w:t xml:space="preserve">(the Regulations) is to amend the current Poisons Standard in relation to </w:t>
            </w:r>
            <w:proofErr w:type="spellStart"/>
            <w:r w:rsidRPr="003B5A46">
              <w:t>grapiprant</w:t>
            </w:r>
            <w:proofErr w:type="spellEnd"/>
            <w:r w:rsidRPr="003B5A46">
              <w:t xml:space="preserve"> as follows:</w:t>
            </w:r>
          </w:p>
          <w:p w:rsidR="003B5A46" w:rsidRPr="003B5A46" w:rsidRDefault="003B5A46" w:rsidP="00A86668">
            <w:pPr>
              <w:ind w:left="426"/>
              <w:rPr>
                <w:b/>
              </w:rPr>
            </w:pPr>
            <w:r w:rsidRPr="003B5A46">
              <w:rPr>
                <w:b/>
              </w:rPr>
              <w:t>Schedule 4 – New Entry</w:t>
            </w:r>
          </w:p>
          <w:p w:rsidR="003B5A46" w:rsidRPr="003B5A46" w:rsidRDefault="003B5A46" w:rsidP="00A86668">
            <w:pPr>
              <w:ind w:left="426"/>
              <w:rPr>
                <w:color w:val="FF0000"/>
              </w:rPr>
            </w:pPr>
            <w:r w:rsidRPr="003B5A46">
              <w:rPr>
                <w:color w:val="FF0000"/>
              </w:rPr>
              <w:t>GRAPIPRANT</w:t>
            </w:r>
          </w:p>
          <w:p w:rsidR="003B5A46" w:rsidRPr="003B5A46" w:rsidRDefault="007323B4" w:rsidP="00A86668">
            <w:pPr>
              <w:ind w:left="426"/>
              <w:rPr>
                <w:b/>
              </w:rPr>
            </w:pPr>
            <w:r>
              <w:rPr>
                <w:b/>
              </w:rPr>
              <w:t>Index – New Entry</w:t>
            </w:r>
          </w:p>
          <w:p w:rsidR="003B5A46" w:rsidRPr="003B5A46" w:rsidRDefault="003B5A46" w:rsidP="00A86668">
            <w:pPr>
              <w:ind w:left="426"/>
              <w:rPr>
                <w:b/>
                <w:color w:val="FF0000"/>
              </w:rPr>
            </w:pPr>
            <w:r w:rsidRPr="003B5A46">
              <w:rPr>
                <w:b/>
                <w:color w:val="FF0000"/>
              </w:rPr>
              <w:t>GRAPIPRANT</w:t>
            </w:r>
          </w:p>
          <w:p w:rsidR="003B5A46" w:rsidRPr="003B5A46" w:rsidRDefault="003B5A46" w:rsidP="00A86668">
            <w:pPr>
              <w:ind w:left="426"/>
              <w:rPr>
                <w:color w:val="FF0000"/>
              </w:rPr>
            </w:pPr>
            <w:r w:rsidRPr="003B5A46">
              <w:rPr>
                <w:color w:val="FF0000"/>
              </w:rPr>
              <w:t>Schedule 4</w:t>
            </w:r>
          </w:p>
          <w:p w:rsidR="003B5A46" w:rsidRDefault="003B5A46" w:rsidP="003B5A46">
            <w:pPr>
              <w:rPr>
                <w:b/>
                <w:bCs/>
                <w:i/>
              </w:rPr>
            </w:pPr>
            <w:r w:rsidRPr="007323B4">
              <w:rPr>
                <w:rStyle w:val="Heading6Char"/>
                <w:rFonts w:eastAsia="Cambria"/>
              </w:rPr>
              <w:t>Implementation date:</w:t>
            </w:r>
            <w:r w:rsidRPr="003B5A46">
              <w:rPr>
                <w:b/>
                <w:bCs/>
                <w:i/>
              </w:rPr>
              <w:t xml:space="preserve"> </w:t>
            </w:r>
            <w:r w:rsidRPr="003B5A46">
              <w:rPr>
                <w:bCs/>
                <w:i/>
              </w:rPr>
              <w:t>1 June 2019</w:t>
            </w:r>
          </w:p>
          <w:p w:rsidR="003B5A46" w:rsidRPr="007323B4" w:rsidRDefault="003B5A46" w:rsidP="00FB5F96">
            <w:pPr>
              <w:pStyle w:val="Heading6"/>
            </w:pPr>
            <w:r w:rsidRPr="007323B4">
              <w:t xml:space="preserve">Delegate’s </w:t>
            </w:r>
            <w:r w:rsidRPr="00FB5F96">
              <w:t>considerations</w:t>
            </w:r>
          </w:p>
          <w:p w:rsidR="003B5A46" w:rsidRPr="003B5A46" w:rsidRDefault="003B5A46" w:rsidP="003B5A46">
            <w:r w:rsidRPr="003B5A46">
              <w:t>In making this decision, the delegate has considered the following:</w:t>
            </w:r>
          </w:p>
          <w:p w:rsidR="003B5A46" w:rsidRPr="003B5A46" w:rsidRDefault="003B5A46" w:rsidP="003B5A46">
            <w:pPr>
              <w:pStyle w:val="ListBullet"/>
              <w:rPr>
                <w:lang w:val="en-GB"/>
              </w:rPr>
            </w:pPr>
            <w:r w:rsidRPr="003B5A46">
              <w:rPr>
                <w:lang w:val="en-GB"/>
              </w:rPr>
              <w:t xml:space="preserve">The </w:t>
            </w:r>
            <w:r w:rsidRPr="003B5A46">
              <w:rPr>
                <w:b/>
                <w:bCs/>
                <w:i/>
                <w:lang w:val="en-GB"/>
              </w:rPr>
              <w:t xml:space="preserve">application to amend the current Poisons Standard with respect to </w:t>
            </w:r>
            <w:proofErr w:type="spellStart"/>
            <w:r w:rsidRPr="003B5A46">
              <w:rPr>
                <w:b/>
                <w:bCs/>
                <w:i/>
                <w:lang w:val="en-GB"/>
              </w:rPr>
              <w:t>grapiprant</w:t>
            </w:r>
            <w:proofErr w:type="spellEnd"/>
            <w:r w:rsidRPr="003B5A46">
              <w:rPr>
                <w:lang w:val="en-GB"/>
              </w:rPr>
              <w:t>;</w:t>
            </w:r>
          </w:p>
          <w:p w:rsidR="003B5A46" w:rsidRPr="003B5A46" w:rsidRDefault="003B5A46" w:rsidP="003B5A46">
            <w:pPr>
              <w:pStyle w:val="ListBullet"/>
              <w:rPr>
                <w:lang w:val="en-GB"/>
              </w:rPr>
            </w:pPr>
            <w:r w:rsidRPr="003B5A46">
              <w:rPr>
                <w:lang w:val="en-GB"/>
              </w:rPr>
              <w:t xml:space="preserve">The Australian Health Ministers’ Advisory Council’s </w:t>
            </w:r>
            <w:hyperlink r:id="rId14" w:history="1">
              <w:r w:rsidRPr="003B5A46">
                <w:rPr>
                  <w:rStyle w:val="Hyperlink"/>
                  <w:b/>
                  <w:bCs/>
                  <w:i/>
                  <w:lang w:val="en-GB"/>
                </w:rPr>
                <w:t>Scheduling Policy Framework</w:t>
              </w:r>
            </w:hyperlink>
            <w:r w:rsidRPr="003B5A46">
              <w:rPr>
                <w:lang w:val="en-GB"/>
              </w:rPr>
              <w:t xml:space="preserve"> (SPF 2018); and</w:t>
            </w:r>
          </w:p>
          <w:p w:rsidR="003B5A46" w:rsidRPr="003B5A46" w:rsidRDefault="003B5A46" w:rsidP="003B5A46">
            <w:pPr>
              <w:pStyle w:val="ListBullet"/>
              <w:rPr>
                <w:lang w:val="en-GB"/>
              </w:rPr>
            </w:pPr>
            <w:r w:rsidRPr="003B5A46">
              <w:rPr>
                <w:lang w:val="en-GB"/>
              </w:rPr>
              <w:t xml:space="preserve">Section 52E of the </w:t>
            </w:r>
            <w:r w:rsidRPr="007323B4">
              <w:rPr>
                <w:i/>
                <w:lang w:val="en-GB"/>
              </w:rPr>
              <w:t>Therapeutic Goods Act 1989</w:t>
            </w:r>
            <w:r w:rsidRPr="003B5A46">
              <w:rPr>
                <w:lang w:val="en-GB"/>
              </w:rPr>
              <w:t>, in particular: (a) the risks and benefits of the use of a substance; (b) the purposes for which a substance is to be used and the extent of use of a substance; (c) the toxicity of a substance; (e) the potential for abuse of a substance; and (f) any other matters that the Secretary considers necessary to protect public health</w:t>
            </w:r>
            <w:r w:rsidR="00FB5F96">
              <w:rPr>
                <w:lang w:val="en-GB"/>
              </w:rPr>
              <w:t>.</w:t>
            </w:r>
          </w:p>
          <w:p w:rsidR="00FB7CA4" w:rsidRDefault="00FB7CA4" w:rsidP="00FB5F96">
            <w:pPr>
              <w:pStyle w:val="Heading6"/>
            </w:pPr>
            <w:r w:rsidRPr="00FB5F96">
              <w:t>Reaso</w:t>
            </w:r>
            <w:r w:rsidR="008E2DAB" w:rsidRPr="00FB5F96">
              <w:t>ns</w:t>
            </w:r>
          </w:p>
          <w:p w:rsidR="003B5A46" w:rsidRPr="003B5A46" w:rsidRDefault="003B5A46" w:rsidP="0027091E">
            <w:r w:rsidRPr="003B5A46">
              <w:t>The matters under subsection 52E (1) of the</w:t>
            </w:r>
            <w:r w:rsidR="00FB5F96">
              <w:t xml:space="preserve"> </w:t>
            </w:r>
            <w:r w:rsidRPr="003B5A46">
              <w:rPr>
                <w:i/>
                <w:iCs/>
              </w:rPr>
              <w:t>Therapeutic Goods Act 1989</w:t>
            </w:r>
            <w:r w:rsidR="00FB5F96">
              <w:rPr>
                <w:i/>
                <w:iCs/>
              </w:rPr>
              <w:t xml:space="preserve"> </w:t>
            </w:r>
            <w:r w:rsidRPr="003B5A46">
              <w:t>considered relevant by the delegate for the decision include:</w:t>
            </w:r>
          </w:p>
          <w:p w:rsidR="003B5A46" w:rsidRPr="003B5A46" w:rsidRDefault="003B5A46" w:rsidP="00167A5E">
            <w:pPr>
              <w:pStyle w:val="Numberbullet2-52E1reasons"/>
            </w:pPr>
            <w:r w:rsidRPr="003B5A46">
              <w:t>the risks and benefits of the use of a substance:</w:t>
            </w:r>
          </w:p>
          <w:p w:rsidR="003B5A46" w:rsidRPr="003B5A46" w:rsidRDefault="003B5A46" w:rsidP="0027091E">
            <w:proofErr w:type="spellStart"/>
            <w:r w:rsidRPr="003B5A46">
              <w:t>Grapiprant</w:t>
            </w:r>
            <w:proofErr w:type="spellEnd"/>
            <w:r w:rsidRPr="003B5A46">
              <w:t xml:space="preserve"> is a NSAID-like veterinary analgesic for the treatment of pain and inflammation associated w</w:t>
            </w:r>
            <w:r w:rsidR="00FB5F96">
              <w:t>ith osteoarthritis in dogs.</w:t>
            </w:r>
          </w:p>
          <w:p w:rsidR="003B5A46" w:rsidRPr="003B5A46" w:rsidRDefault="003B5A46" w:rsidP="0027091E">
            <w:r w:rsidRPr="003B5A46">
              <w:t xml:space="preserve">Similar to other NSAIDs currently in use in human and veterinary medicine, this substance demonstrates primarily adverse gastrointestinal effects at high doses, in particular gastrointestinal inflammation, erosion and ulceration. Haematological effects are considered secondary </w:t>
            </w:r>
            <w:r w:rsidR="00FB5F96">
              <w:t>to gastrointestinal blood loss.</w:t>
            </w:r>
          </w:p>
          <w:p w:rsidR="003B5A46" w:rsidRPr="003B5A46" w:rsidRDefault="003B5A46" w:rsidP="00167A5E">
            <w:pPr>
              <w:pStyle w:val="Numberbullet2-52E1reasons"/>
            </w:pPr>
            <w:r w:rsidRPr="003B5A46">
              <w:t xml:space="preserve">the purposes for which a substance is to be used and the </w:t>
            </w:r>
            <w:r w:rsidRPr="00FB5F96">
              <w:t>extent</w:t>
            </w:r>
            <w:r w:rsidRPr="003B5A46">
              <w:t xml:space="preserve"> of use of a substance:</w:t>
            </w:r>
          </w:p>
          <w:p w:rsidR="003B5A46" w:rsidRPr="003B5A46" w:rsidRDefault="003B5A46" w:rsidP="00FB5F96">
            <w:pPr>
              <w:keepNext/>
              <w:keepLines/>
            </w:pPr>
            <w:proofErr w:type="spellStart"/>
            <w:r w:rsidRPr="003B5A46">
              <w:t>Grapiprant</w:t>
            </w:r>
            <w:proofErr w:type="spellEnd"/>
            <w:r w:rsidRPr="003B5A46">
              <w:t xml:space="preserve"> is a NSAID-like veterinary analgesic for the treatment of pain and inflammation </w:t>
            </w:r>
            <w:r w:rsidRPr="003B5A46">
              <w:lastRenderedPageBreak/>
              <w:t>associat</w:t>
            </w:r>
            <w:r w:rsidR="00FB5F96">
              <w:t>ed with osteoarthritis in dogs.</w:t>
            </w:r>
          </w:p>
          <w:p w:rsidR="003B5A46" w:rsidRPr="003B5A46" w:rsidRDefault="003B5A46" w:rsidP="00167A5E">
            <w:pPr>
              <w:pStyle w:val="Numberbullet2-52E1reasons"/>
            </w:pPr>
            <w:r w:rsidRPr="003B5A46">
              <w:t>the toxicity of a substance:</w:t>
            </w:r>
          </w:p>
          <w:p w:rsidR="003B5A46" w:rsidRPr="003B5A46" w:rsidRDefault="003B5A46" w:rsidP="0027091E">
            <w:r w:rsidRPr="003B5A46">
              <w:t xml:space="preserve">The acute toxicity of </w:t>
            </w:r>
            <w:proofErr w:type="spellStart"/>
            <w:r w:rsidRPr="003B5A46">
              <w:t>grapiprant</w:t>
            </w:r>
            <w:proofErr w:type="spellEnd"/>
            <w:r w:rsidRPr="003B5A46">
              <w:t xml:space="preserve"> and its presentation in a tablet form for oral administration to dogs indicates that it would be expected to have a low acute toxicity profile.</w:t>
            </w:r>
          </w:p>
          <w:p w:rsidR="003B5A46" w:rsidRPr="003B5A46" w:rsidRDefault="003B5A46" w:rsidP="0027091E">
            <w:proofErr w:type="spellStart"/>
            <w:r w:rsidRPr="003B5A46">
              <w:t>Grapiprant</w:t>
            </w:r>
            <w:proofErr w:type="spellEnd"/>
            <w:r w:rsidRPr="003B5A46">
              <w:t xml:space="preserve"> is not considered to be genotoxic and is not expected to pose</w:t>
            </w:r>
            <w:r w:rsidR="00FB5F96">
              <w:t xml:space="preserve"> a carcinogenic risk to humans.</w:t>
            </w:r>
          </w:p>
          <w:p w:rsidR="003B5A46" w:rsidRPr="003B5A46" w:rsidRDefault="003B5A46" w:rsidP="0027091E">
            <w:proofErr w:type="spellStart"/>
            <w:r w:rsidRPr="003B5A46">
              <w:t>Grapiprant</w:t>
            </w:r>
            <w:proofErr w:type="spellEnd"/>
            <w:r w:rsidRPr="003B5A46">
              <w:t xml:space="preserve"> is not considered to be a reproductive or developmental toxicant.</w:t>
            </w:r>
          </w:p>
          <w:p w:rsidR="003B5A46" w:rsidRPr="003B5A46" w:rsidRDefault="003B5A46" w:rsidP="00167A5E">
            <w:pPr>
              <w:pStyle w:val="Numberbullet2-52E1reasons"/>
            </w:pPr>
            <w:r w:rsidRPr="003B5A46">
              <w:t>the dosage, formulation, labelling, packaging and presentation of a substance:</w:t>
            </w:r>
          </w:p>
          <w:p w:rsidR="003B5A46" w:rsidRPr="003B5A46" w:rsidRDefault="003B5A46" w:rsidP="003B5A46">
            <w:r w:rsidRPr="003B5A46">
              <w:t>Nil.</w:t>
            </w:r>
          </w:p>
          <w:p w:rsidR="003B5A46" w:rsidRPr="003B5A46" w:rsidRDefault="003B5A46" w:rsidP="00167A5E">
            <w:pPr>
              <w:pStyle w:val="Numberbullet2-52E1reasons"/>
            </w:pPr>
            <w:r w:rsidRPr="003B5A46">
              <w:t>the potential for abuse of a substance:</w:t>
            </w:r>
          </w:p>
          <w:p w:rsidR="003B5A46" w:rsidRPr="003B5A46" w:rsidRDefault="003B5A46" w:rsidP="003B5A46">
            <w:r w:rsidRPr="003B5A46">
              <w:t>Osteoarthritis in dogs will require veterinary diagnosis and management consisten</w:t>
            </w:r>
            <w:r w:rsidR="00FB5F96">
              <w:t>t with other Schedule 4 NSAIDs.</w:t>
            </w:r>
          </w:p>
          <w:p w:rsidR="003B5A46" w:rsidRPr="003B5A46" w:rsidRDefault="003B5A46" w:rsidP="00167A5E">
            <w:pPr>
              <w:pStyle w:val="Numberbullet2-52E1reasons"/>
            </w:pPr>
            <w:r w:rsidRPr="003B5A46">
              <w:t>any other matters that the Secretary considers necessary to protect public health:</w:t>
            </w:r>
          </w:p>
          <w:p w:rsidR="003B5A46" w:rsidRPr="003B5A46" w:rsidRDefault="003B5A46" w:rsidP="003B5A46">
            <w:proofErr w:type="spellStart"/>
            <w:r w:rsidRPr="003B5A46">
              <w:t>Grapiprant</w:t>
            </w:r>
            <w:proofErr w:type="spellEnd"/>
            <w:r w:rsidRPr="003B5A46">
              <w:t xml:space="preserve"> tablets were approved for use for the treatment of pain and inflammation associated with osteoarthritis in dogs by the US FDA in March 2016 and by the European Me</w:t>
            </w:r>
            <w:r w:rsidR="00FB5F96">
              <w:t>dicines Agency in January 2018.</w:t>
            </w:r>
          </w:p>
          <w:p w:rsidR="003B5A46" w:rsidRPr="003B5A46" w:rsidRDefault="003B5A46" w:rsidP="00FB5F96">
            <w:pPr>
              <w:pStyle w:val="Heading6"/>
            </w:pPr>
            <w:r w:rsidRPr="003B5A46">
              <w:t>Overall conclusions</w:t>
            </w:r>
          </w:p>
          <w:p w:rsidR="00FB7CA4" w:rsidRDefault="003B5A46" w:rsidP="0027091E">
            <w:r w:rsidRPr="003B5A46">
              <w:t xml:space="preserve">After considering all relevant information, the delegate is satisfied that the weight of evidence supports a Schedule 4 entry for </w:t>
            </w:r>
            <w:proofErr w:type="spellStart"/>
            <w:r w:rsidRPr="003B5A46">
              <w:t>grapiprant</w:t>
            </w:r>
            <w:proofErr w:type="spellEnd"/>
            <w:r w:rsidRPr="003B5A46">
              <w:t xml:space="preserve"> in the Poisons Standard. Given that (</w:t>
            </w:r>
            <w:proofErr w:type="spellStart"/>
            <w:r w:rsidRPr="003B5A46">
              <w:t>i</w:t>
            </w:r>
            <w:proofErr w:type="spellEnd"/>
            <w:r w:rsidRPr="003B5A46">
              <w:t xml:space="preserve">) the acute toxicity of </w:t>
            </w:r>
            <w:proofErr w:type="spellStart"/>
            <w:r w:rsidRPr="003B5A46">
              <w:t>grapiprant</w:t>
            </w:r>
            <w:proofErr w:type="spellEnd"/>
            <w:r w:rsidRPr="003B5A46">
              <w:t xml:space="preserve"> and its presentation in a tablet form for oral administration to dogs indicates that it would be expected to have a low acute toxicity profile; and (ii) osteoarthritis in dogs requires veterinary diagnosis and management, risks associated with the use of </w:t>
            </w:r>
            <w:proofErr w:type="spellStart"/>
            <w:r w:rsidRPr="003B5A46">
              <w:t>grapiprant</w:t>
            </w:r>
            <w:proofErr w:type="spellEnd"/>
            <w:r w:rsidRPr="003B5A46">
              <w:t xml:space="preserve"> can be managed by making it a restricted veterinary medicine, similar to other Schedule 4 designated NSAIDs.</w:t>
            </w:r>
          </w:p>
        </w:tc>
      </w:tr>
    </w:tbl>
    <w:p w:rsidR="003B5A46" w:rsidRPr="003B5A46" w:rsidRDefault="003B5A46" w:rsidP="00FB5F96">
      <w:pPr>
        <w:pStyle w:val="Heading5"/>
      </w:pPr>
      <w:bookmarkStart w:id="4" w:name="_Toc6470834"/>
      <w:r w:rsidRPr="003B5A46">
        <w:lastRenderedPageBreak/>
        <w:t xml:space="preserve">Applicant’s </w:t>
      </w:r>
      <w:r w:rsidRPr="00FB5F96">
        <w:t>scheduling</w:t>
      </w:r>
      <w:r w:rsidRPr="003B5A46">
        <w:t xml:space="preserve"> proposal and reasons for proposal</w:t>
      </w:r>
    </w:p>
    <w:p w:rsidR="003B5A46" w:rsidRPr="003B5A46" w:rsidRDefault="003B5A46" w:rsidP="0027091E">
      <w:r w:rsidRPr="003B5A46">
        <w:t>An application was submitted by the Australian Pesticides and Veterinary Medicines Authority (APVMA) to create a new Schedule 4 entry for</w:t>
      </w:r>
      <w:r w:rsidR="00FB5F96">
        <w:t xml:space="preserve"> </w:t>
      </w:r>
      <w:proofErr w:type="spellStart"/>
      <w:r w:rsidRPr="003B5A46">
        <w:t>grapiprant</w:t>
      </w:r>
      <w:proofErr w:type="spellEnd"/>
      <w:r w:rsidRPr="003B5A46">
        <w:t xml:space="preserve"> in th</w:t>
      </w:r>
      <w:r w:rsidR="00FB5F96">
        <w:t>e Poisons Standard.</w:t>
      </w:r>
    </w:p>
    <w:p w:rsidR="003B5A46" w:rsidRPr="003B5A46" w:rsidRDefault="003B5A46" w:rsidP="0027091E">
      <w:r w:rsidRPr="003B5A46">
        <w:t>The applicant's reasons for the request are:</w:t>
      </w:r>
    </w:p>
    <w:p w:rsidR="003B5A46" w:rsidRPr="003B5A46" w:rsidRDefault="003B5A46" w:rsidP="00531586">
      <w:pPr>
        <w:pStyle w:val="ListBullet"/>
        <w:rPr>
          <w:lang w:val="en-GB"/>
        </w:rPr>
      </w:pPr>
      <w:proofErr w:type="spellStart"/>
      <w:r w:rsidRPr="003B5A46">
        <w:rPr>
          <w:lang w:val="en-GB"/>
        </w:rPr>
        <w:t>Grapiprant</w:t>
      </w:r>
      <w:proofErr w:type="spellEnd"/>
      <w:r w:rsidRPr="003B5A46">
        <w:rPr>
          <w:lang w:val="en-GB"/>
        </w:rPr>
        <w:t xml:space="preserve"> is a new, first-in-class, NSAID-like substance (Prostaglandin E2-receptor subtype E4 antagonist) that is currently approved for use in the USA and Europe for the treatment of pain and inflammation associated with osteoarthritis in dogs.</w:t>
      </w:r>
    </w:p>
    <w:p w:rsidR="003B5A46" w:rsidRPr="003B5A46" w:rsidRDefault="003B5A46" w:rsidP="00531586">
      <w:pPr>
        <w:pStyle w:val="ListBullet"/>
        <w:rPr>
          <w:lang w:val="en-GB"/>
        </w:rPr>
      </w:pPr>
      <w:r w:rsidRPr="003B5A46">
        <w:rPr>
          <w:lang w:val="en-GB"/>
        </w:rPr>
        <w:t>The APVMA has received an application for the new active constituent (</w:t>
      </w:r>
      <w:proofErr w:type="spellStart"/>
      <w:r w:rsidRPr="003B5A46">
        <w:rPr>
          <w:lang w:val="en-GB"/>
        </w:rPr>
        <w:t>grapiprant</w:t>
      </w:r>
      <w:proofErr w:type="spellEnd"/>
      <w:r w:rsidRPr="003B5A46">
        <w:rPr>
          <w:lang w:val="en-GB"/>
        </w:rPr>
        <w:t>) and a set of products (</w:t>
      </w:r>
      <w:proofErr w:type="spellStart"/>
      <w:r w:rsidRPr="003B5A46">
        <w:rPr>
          <w:lang w:val="en-GB"/>
        </w:rPr>
        <w:t>Galliprant</w:t>
      </w:r>
      <w:proofErr w:type="spellEnd"/>
      <w:r w:rsidRPr="003B5A46">
        <w:rPr>
          <w:lang w:val="en-GB"/>
        </w:rPr>
        <w:t xml:space="preserve">) containing 20, 60 or 100 mg </w:t>
      </w:r>
      <w:proofErr w:type="spellStart"/>
      <w:r w:rsidRPr="003B5A46">
        <w:rPr>
          <w:lang w:val="en-GB"/>
        </w:rPr>
        <w:t>grapiprant</w:t>
      </w:r>
      <w:proofErr w:type="spellEnd"/>
      <w:r w:rsidRPr="003B5A46">
        <w:rPr>
          <w:lang w:val="en-GB"/>
        </w:rPr>
        <w:t xml:space="preserve"> in tablet form for use in dogs.</w:t>
      </w:r>
    </w:p>
    <w:p w:rsidR="003B5A46" w:rsidRPr="003B5A46" w:rsidRDefault="003B5A46" w:rsidP="00531586">
      <w:pPr>
        <w:pStyle w:val="ListBullet"/>
        <w:rPr>
          <w:lang w:val="en-GB"/>
        </w:rPr>
      </w:pPr>
      <w:r w:rsidRPr="003B5A46">
        <w:rPr>
          <w:lang w:val="en-GB"/>
        </w:rPr>
        <w:t xml:space="preserve">The acute toxicity of </w:t>
      </w:r>
      <w:proofErr w:type="spellStart"/>
      <w:r w:rsidRPr="003B5A46">
        <w:rPr>
          <w:lang w:val="en-GB"/>
        </w:rPr>
        <w:t>grapiprant</w:t>
      </w:r>
      <w:proofErr w:type="spellEnd"/>
      <w:r w:rsidRPr="003B5A46">
        <w:rPr>
          <w:lang w:val="en-GB"/>
        </w:rPr>
        <w:t xml:space="preserve"> and its presentation in a tablet form for oral administration to dogs indicates that it would be expected to have a low acute toxicity profile.</w:t>
      </w:r>
    </w:p>
    <w:p w:rsidR="003B5A46" w:rsidRPr="003B5A46" w:rsidRDefault="003B5A46" w:rsidP="00531586">
      <w:pPr>
        <w:pStyle w:val="ListBullet"/>
        <w:rPr>
          <w:lang w:val="en-GB"/>
        </w:rPr>
      </w:pPr>
      <w:r w:rsidRPr="003B5A46">
        <w:rPr>
          <w:lang w:val="en-GB"/>
        </w:rPr>
        <w:t xml:space="preserve">Similar to other NSAIDs currently in use in human and veterinary medicine, this substance demonstrates primarily adverse gastrointestinal effects at high doses (in particular gastrointestinal inflammation, erosion and ulceration). Haematological effects are considered secondary </w:t>
      </w:r>
      <w:r w:rsidR="002B199A">
        <w:rPr>
          <w:lang w:val="en-GB"/>
        </w:rPr>
        <w:t>to gastrointestinal blood loss.</w:t>
      </w:r>
    </w:p>
    <w:p w:rsidR="003B5A46" w:rsidRPr="003B5A46" w:rsidRDefault="003B5A46" w:rsidP="00531586">
      <w:pPr>
        <w:pStyle w:val="ListBullet"/>
        <w:rPr>
          <w:lang w:val="en-GB"/>
        </w:rPr>
      </w:pPr>
      <w:proofErr w:type="spellStart"/>
      <w:r w:rsidRPr="003B5A46">
        <w:rPr>
          <w:lang w:val="en-GB"/>
        </w:rPr>
        <w:lastRenderedPageBreak/>
        <w:t>Grapiprant</w:t>
      </w:r>
      <w:proofErr w:type="spellEnd"/>
      <w:r w:rsidRPr="003B5A46">
        <w:rPr>
          <w:lang w:val="en-GB"/>
        </w:rPr>
        <w:t xml:space="preserve"> is not considered to be genotoxic and is not expected to pose a carcinogenic risk to humans. </w:t>
      </w:r>
      <w:proofErr w:type="spellStart"/>
      <w:r w:rsidRPr="003B5A46">
        <w:rPr>
          <w:lang w:val="en-GB"/>
        </w:rPr>
        <w:t>Grapiprant</w:t>
      </w:r>
      <w:proofErr w:type="spellEnd"/>
      <w:r w:rsidRPr="003B5A46">
        <w:rPr>
          <w:lang w:val="en-GB"/>
        </w:rPr>
        <w:t xml:space="preserve"> is not considered to be a reproductive or developmental toxicant.</w:t>
      </w:r>
    </w:p>
    <w:p w:rsidR="003B5A46" w:rsidRDefault="003B5A46" w:rsidP="00531586">
      <w:pPr>
        <w:pStyle w:val="ListBullet"/>
        <w:rPr>
          <w:lang w:val="en-GB"/>
        </w:rPr>
      </w:pPr>
      <w:r w:rsidRPr="003B5A46">
        <w:rPr>
          <w:lang w:val="en-GB"/>
        </w:rPr>
        <w:t xml:space="preserve">As osteoarthritis in dogs will require veterinary diagnosis and management, and consistent with the Schedule 4 designation for other NSAIDs (e.g. celecoxib, </w:t>
      </w:r>
      <w:proofErr w:type="spellStart"/>
      <w:r w:rsidRPr="003B5A46">
        <w:rPr>
          <w:lang w:val="en-GB"/>
        </w:rPr>
        <w:t>mavocoxib</w:t>
      </w:r>
      <w:proofErr w:type="spellEnd"/>
      <w:r w:rsidRPr="003B5A46">
        <w:rPr>
          <w:lang w:val="en-GB"/>
        </w:rPr>
        <w:t xml:space="preserve">, </w:t>
      </w:r>
      <w:proofErr w:type="spellStart"/>
      <w:r w:rsidRPr="003B5A46">
        <w:rPr>
          <w:lang w:val="en-GB"/>
        </w:rPr>
        <w:t>rofecoxib</w:t>
      </w:r>
      <w:proofErr w:type="spellEnd"/>
      <w:r w:rsidRPr="003B5A46">
        <w:rPr>
          <w:lang w:val="en-GB"/>
        </w:rPr>
        <w:t xml:space="preserve"> &amp; </w:t>
      </w:r>
      <w:proofErr w:type="spellStart"/>
      <w:r w:rsidRPr="003B5A46">
        <w:rPr>
          <w:lang w:val="en-GB"/>
        </w:rPr>
        <w:t>valdecoxib</w:t>
      </w:r>
      <w:proofErr w:type="spellEnd"/>
      <w:r w:rsidRPr="003B5A46">
        <w:rPr>
          <w:lang w:val="en-GB"/>
        </w:rPr>
        <w:t xml:space="preserve">) </w:t>
      </w:r>
      <w:proofErr w:type="spellStart"/>
      <w:r w:rsidRPr="003B5A46">
        <w:rPr>
          <w:lang w:val="en-GB"/>
        </w:rPr>
        <w:t>grapiprant</w:t>
      </w:r>
      <w:proofErr w:type="spellEnd"/>
      <w:r w:rsidRPr="003B5A46">
        <w:rPr>
          <w:lang w:val="en-GB"/>
        </w:rPr>
        <w:t xml:space="preserve"> should listed under Schedule 4.</w:t>
      </w:r>
    </w:p>
    <w:p w:rsidR="00814520" w:rsidRDefault="00814520" w:rsidP="002B199A">
      <w:pPr>
        <w:pStyle w:val="Heading5"/>
      </w:pPr>
      <w:r>
        <w:t>Current scheduling status and history</w:t>
      </w:r>
    </w:p>
    <w:p w:rsidR="00814520" w:rsidRDefault="00814520" w:rsidP="0027091E">
      <w:proofErr w:type="spellStart"/>
      <w:r w:rsidRPr="00FC1D06">
        <w:t>Grapiprant</w:t>
      </w:r>
      <w:proofErr w:type="spellEnd"/>
      <w:r w:rsidRPr="00FC1D06">
        <w:t xml:space="preserve"> is not currently scheduled and has not been previously considered for scheduling. Therefore a scheduling history is not available</w:t>
      </w:r>
      <w:r w:rsidR="002B199A">
        <w:t>.</w:t>
      </w:r>
    </w:p>
    <w:p w:rsidR="00814520" w:rsidRPr="002B199A" w:rsidRDefault="002B199A" w:rsidP="002B199A">
      <w:pPr>
        <w:pStyle w:val="Heading5"/>
      </w:pPr>
      <w:r>
        <w:t>Australian regulations</w:t>
      </w:r>
    </w:p>
    <w:p w:rsidR="00814520" w:rsidRPr="00FC1D06" w:rsidRDefault="00814520" w:rsidP="002B199A">
      <w:pPr>
        <w:pStyle w:val="ListBullet"/>
      </w:pPr>
      <w:proofErr w:type="spellStart"/>
      <w:r w:rsidRPr="00FC1D06">
        <w:t>Grapiprant</w:t>
      </w:r>
      <w:proofErr w:type="spellEnd"/>
      <w:r w:rsidRPr="00FC1D06">
        <w:t xml:space="preserve"> is not listed on the APVMA Public Chemical Registration Information System (</w:t>
      </w:r>
      <w:proofErr w:type="spellStart"/>
      <w:r w:rsidR="006704D0">
        <w:fldChar w:fldCharType="begin"/>
      </w:r>
      <w:r w:rsidR="006704D0">
        <w:instrText xml:space="preserve"> HYPERLINK "https://portal.apvma.gov.au/pubcris" </w:instrText>
      </w:r>
      <w:r w:rsidR="006704D0">
        <w:fldChar w:fldCharType="separate"/>
      </w:r>
      <w:r w:rsidRPr="00FC1D06">
        <w:rPr>
          <w:rStyle w:val="Hyperlink"/>
        </w:rPr>
        <w:t>PubCris</w:t>
      </w:r>
      <w:proofErr w:type="spellEnd"/>
      <w:r w:rsidR="006704D0">
        <w:rPr>
          <w:rStyle w:val="Hyperlink"/>
        </w:rPr>
        <w:fldChar w:fldCharType="end"/>
      </w:r>
      <w:r w:rsidRPr="00FC1D06">
        <w:rPr>
          <w:u w:val="single"/>
        </w:rPr>
        <w:t>)</w:t>
      </w:r>
      <w:r w:rsidRPr="00FC1D06">
        <w:t>.</w:t>
      </w:r>
    </w:p>
    <w:p w:rsidR="00814520" w:rsidRPr="00FC1D06" w:rsidRDefault="00814520" w:rsidP="002B199A">
      <w:pPr>
        <w:pStyle w:val="ListBullet"/>
      </w:pPr>
      <w:proofErr w:type="spellStart"/>
      <w:r w:rsidRPr="00FC1D06">
        <w:t>Grapiprant</w:t>
      </w:r>
      <w:proofErr w:type="spellEnd"/>
      <w:r w:rsidRPr="00FC1D06">
        <w:t xml:space="preserve"> is not listed on the </w:t>
      </w:r>
      <w:hyperlink r:id="rId15" w:history="1">
        <w:r w:rsidRPr="00FC1D06">
          <w:rPr>
            <w:rStyle w:val="Hyperlink"/>
          </w:rPr>
          <w:t>Therapeutic Goods (Permissible Ingredients) Determination No. 4 of 2018</w:t>
        </w:r>
        <w:r w:rsidRPr="002B199A">
          <w:rPr>
            <w:rStyle w:val="Hyperlink"/>
            <w:color w:val="auto"/>
            <w:u w:val="none"/>
          </w:rPr>
          <w:t>.</w:t>
        </w:r>
      </w:hyperlink>
    </w:p>
    <w:p w:rsidR="00814520" w:rsidRDefault="00814520" w:rsidP="00814520">
      <w:pPr>
        <w:pStyle w:val="ListBullet"/>
        <w:numPr>
          <w:ilvl w:val="0"/>
          <w:numId w:val="1"/>
        </w:numPr>
      </w:pPr>
      <w:proofErr w:type="spellStart"/>
      <w:r w:rsidRPr="00FC1D06">
        <w:t>Grapiprant</w:t>
      </w:r>
      <w:proofErr w:type="spellEnd"/>
      <w:r w:rsidRPr="00FC1D06">
        <w:t xml:space="preserve"> is neither an excipient nor active in any medicines on the </w:t>
      </w:r>
      <w:hyperlink r:id="rId16" w:history="1">
        <w:r w:rsidRPr="00FC1D06">
          <w:rPr>
            <w:rStyle w:val="Hyperlink"/>
          </w:rPr>
          <w:t>ARTG</w:t>
        </w:r>
      </w:hyperlink>
      <w:r w:rsidRPr="00FC1D06">
        <w:t>.</w:t>
      </w:r>
    </w:p>
    <w:p w:rsidR="00814520" w:rsidRDefault="00814520" w:rsidP="002B199A">
      <w:pPr>
        <w:pStyle w:val="Heading5"/>
      </w:pPr>
      <w:r>
        <w:t xml:space="preserve">International </w:t>
      </w:r>
      <w:r w:rsidRPr="002B199A">
        <w:t>regulations</w:t>
      </w:r>
    </w:p>
    <w:p w:rsidR="00814520" w:rsidRPr="00F035A2" w:rsidRDefault="00814520" w:rsidP="002B199A">
      <w:pPr>
        <w:pStyle w:val="ListBullet"/>
      </w:pPr>
      <w:r w:rsidRPr="00FC1D06">
        <w:rPr>
          <w:highlight w:val="black"/>
        </w:rPr>
        <w:t>XXXXXX</w:t>
      </w:r>
      <w:r w:rsidRPr="00D3566A">
        <w:t xml:space="preserve"> (</w:t>
      </w:r>
      <w:proofErr w:type="spellStart"/>
      <w:r w:rsidRPr="00D3566A">
        <w:t>grapiprant</w:t>
      </w:r>
      <w:proofErr w:type="spellEnd"/>
      <w:r w:rsidRPr="00D3566A">
        <w:t xml:space="preserve"> tablets) </w:t>
      </w:r>
      <w:r>
        <w:t>were</w:t>
      </w:r>
      <w:r w:rsidRPr="00D3566A">
        <w:t xml:space="preserve"> approved for use in the control of pain and inflammation associated with osteoarthritis in dogs by the US</w:t>
      </w:r>
      <w:r w:rsidR="002B199A">
        <w:t xml:space="preserve"> FDA, March 2016. NADA 141-455.</w:t>
      </w:r>
    </w:p>
    <w:p w:rsidR="00814520" w:rsidRPr="00FC1D06" w:rsidRDefault="00814520" w:rsidP="002B199A">
      <w:pPr>
        <w:pStyle w:val="ListBullet"/>
        <w:rPr>
          <w:rFonts w:eastAsiaTheme="majorEastAsia"/>
        </w:rPr>
      </w:pPr>
      <w:proofErr w:type="gramStart"/>
      <w:r w:rsidRPr="00FC1D06">
        <w:rPr>
          <w:highlight w:val="black"/>
        </w:rPr>
        <w:t>XXXXXX</w:t>
      </w:r>
      <w:r w:rsidRPr="00D3566A">
        <w:t>(</w:t>
      </w:r>
      <w:proofErr w:type="spellStart"/>
      <w:proofErr w:type="gramEnd"/>
      <w:r w:rsidRPr="00D3566A">
        <w:t>grapiprant</w:t>
      </w:r>
      <w:proofErr w:type="spellEnd"/>
      <w:r w:rsidRPr="00D3566A">
        <w:t xml:space="preserve"> tablets) was approved for use in the EU for use in the control of pain and inflammation associated </w:t>
      </w:r>
      <w:r w:rsidRPr="00F035A2">
        <w:t xml:space="preserve">with </w:t>
      </w:r>
      <w:r w:rsidRPr="002B199A">
        <w:t>osteoarthritis</w:t>
      </w:r>
      <w:r w:rsidRPr="00F035A2">
        <w:t xml:space="preserve"> in dogs by the European </w:t>
      </w:r>
      <w:r w:rsidR="002B199A">
        <w:t>Medicines Agency, January 2018.</w:t>
      </w:r>
    </w:p>
    <w:p w:rsidR="00814520" w:rsidRDefault="00814520" w:rsidP="002B199A">
      <w:pPr>
        <w:pStyle w:val="Heading5"/>
      </w:pPr>
      <w:r>
        <w:t xml:space="preserve">Substance </w:t>
      </w:r>
      <w:r w:rsidRPr="002B199A">
        <w:t>summary</w:t>
      </w:r>
    </w:p>
    <w:p w:rsidR="00814520" w:rsidRPr="00FC1D06" w:rsidRDefault="00814520" w:rsidP="0027091E">
      <w:proofErr w:type="spellStart"/>
      <w:r w:rsidRPr="00FC1D06">
        <w:t>Grapiprant</w:t>
      </w:r>
      <w:proofErr w:type="spellEnd"/>
      <w:r w:rsidRPr="00FC1D06">
        <w:t xml:space="preserve"> is a non-steroidal, non-cyclooxygenase inhibiting anti-inflammatory drug in the </w:t>
      </w:r>
      <w:proofErr w:type="spellStart"/>
      <w:r w:rsidRPr="00FC1D06">
        <w:t>piprant</w:t>
      </w:r>
      <w:proofErr w:type="spellEnd"/>
      <w:r w:rsidRPr="00FC1D06">
        <w:t xml:space="preserve"> class. It is a selective antagonist of the prostaglandin E2 EP4 receptor, resulting in a redu</w:t>
      </w:r>
      <w:r w:rsidR="002B199A">
        <w:t>ction of pain and inflammation.</w:t>
      </w:r>
    </w:p>
    <w:p w:rsidR="00814520" w:rsidRDefault="00814520" w:rsidP="002B199A">
      <w:pPr>
        <w:pStyle w:val="TableTitle0"/>
      </w:pPr>
      <w:r>
        <w:t xml:space="preserve">Table 1: Chemical information for </w:t>
      </w:r>
      <w:proofErr w:type="spellStart"/>
      <w:r>
        <w:t>g</w:t>
      </w:r>
      <w:r w:rsidRPr="0057567E">
        <w:t>rapiprant</w:t>
      </w:r>
      <w:proofErr w:type="spellEnd"/>
    </w:p>
    <w:tbl>
      <w:tblPr>
        <w:tblStyle w:val="TableTGAblue"/>
        <w:tblW w:w="9781" w:type="dxa"/>
        <w:tblInd w:w="108" w:type="dxa"/>
        <w:tblLook w:val="04A0" w:firstRow="1" w:lastRow="0" w:firstColumn="1" w:lastColumn="0" w:noHBand="0" w:noVBand="1"/>
      </w:tblPr>
      <w:tblGrid>
        <w:gridCol w:w="3402"/>
        <w:gridCol w:w="6379"/>
      </w:tblGrid>
      <w:tr w:rsidR="00814520" w:rsidRPr="001253A8" w:rsidTr="00814520">
        <w:trPr>
          <w:cnfStyle w:val="100000000000" w:firstRow="1" w:lastRow="0" w:firstColumn="0" w:lastColumn="0" w:oddVBand="0" w:evenVBand="0" w:oddHBand="0" w:evenHBand="0" w:firstRowFirstColumn="0" w:firstRowLastColumn="0" w:lastRowFirstColumn="0" w:lastRowLastColumn="0"/>
        </w:trPr>
        <w:tc>
          <w:tcPr>
            <w:tcW w:w="3402" w:type="dxa"/>
            <w:vAlign w:val="center"/>
          </w:tcPr>
          <w:p w:rsidR="00814520" w:rsidRPr="001253A8" w:rsidRDefault="00814520" w:rsidP="00814520">
            <w:pPr>
              <w:rPr>
                <w:sz w:val="20"/>
                <w:szCs w:val="20"/>
              </w:rPr>
            </w:pPr>
            <w:r w:rsidRPr="001253A8">
              <w:rPr>
                <w:sz w:val="20"/>
                <w:szCs w:val="20"/>
              </w:rPr>
              <w:t>Property</w:t>
            </w:r>
          </w:p>
        </w:tc>
        <w:tc>
          <w:tcPr>
            <w:tcW w:w="6379" w:type="dxa"/>
            <w:vAlign w:val="center"/>
          </w:tcPr>
          <w:p w:rsidR="00814520" w:rsidRPr="001253A8" w:rsidRDefault="00814520" w:rsidP="00814520">
            <w:pPr>
              <w:rPr>
                <w:sz w:val="20"/>
                <w:szCs w:val="20"/>
                <w:lang w:eastAsia="en-US"/>
              </w:rPr>
            </w:pPr>
            <w:proofErr w:type="spellStart"/>
            <w:r>
              <w:rPr>
                <w:sz w:val="20"/>
                <w:szCs w:val="20"/>
              </w:rPr>
              <w:t>Grapiprant</w:t>
            </w:r>
            <w:proofErr w:type="spellEnd"/>
          </w:p>
        </w:tc>
      </w:tr>
      <w:tr w:rsidR="00814520" w:rsidRPr="001253A8" w:rsidTr="00814520">
        <w:trPr>
          <w:trHeight w:val="2285"/>
        </w:trPr>
        <w:tc>
          <w:tcPr>
            <w:tcW w:w="3402" w:type="dxa"/>
          </w:tcPr>
          <w:p w:rsidR="00814520" w:rsidRPr="001253A8" w:rsidRDefault="00814520" w:rsidP="00814520">
            <w:pPr>
              <w:spacing w:before="120" w:after="120"/>
              <w:rPr>
                <w:sz w:val="20"/>
                <w:szCs w:val="20"/>
              </w:rPr>
            </w:pPr>
            <w:r w:rsidRPr="001253A8">
              <w:rPr>
                <w:sz w:val="20"/>
                <w:szCs w:val="20"/>
              </w:rPr>
              <w:t>Chemical structure</w:t>
            </w:r>
          </w:p>
        </w:tc>
        <w:tc>
          <w:tcPr>
            <w:tcW w:w="6379" w:type="dxa"/>
          </w:tcPr>
          <w:p w:rsidR="00814520" w:rsidRPr="001253A8" w:rsidRDefault="00814520" w:rsidP="00814520">
            <w:pPr>
              <w:rPr>
                <w:i/>
                <w:iCs/>
                <w:sz w:val="20"/>
                <w:szCs w:val="20"/>
              </w:rPr>
            </w:pPr>
            <w:r>
              <w:rPr>
                <w:noProof/>
              </w:rPr>
              <w:drawing>
                <wp:anchor distT="0" distB="0" distL="114300" distR="114300" simplePos="0" relativeHeight="251661312" behindDoc="0" locked="0" layoutInCell="1" allowOverlap="1" wp14:anchorId="3BFA6832" wp14:editId="107C28D9">
                  <wp:simplePos x="0" y="0"/>
                  <wp:positionH relativeFrom="column">
                    <wp:posOffset>209716</wp:posOffset>
                  </wp:positionH>
                  <wp:positionV relativeFrom="paragraph">
                    <wp:posOffset>131666</wp:posOffset>
                  </wp:positionV>
                  <wp:extent cx="1777365" cy="1184910"/>
                  <wp:effectExtent l="0" t="0" r="0" b="0"/>
                  <wp:wrapNone/>
                  <wp:docPr id="3" name="Picture 3" descr="Chemical structure of Grapip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a:stretch>
                            <a:fillRect/>
                          </a:stretch>
                        </pic:blipFill>
                        <pic:spPr>
                          <a:xfrm>
                            <a:off x="0" y="0"/>
                            <a:ext cx="1777365" cy="1184910"/>
                          </a:xfrm>
                          <a:prstGeom prst="rect">
                            <a:avLst/>
                          </a:prstGeom>
                        </pic:spPr>
                      </pic:pic>
                    </a:graphicData>
                  </a:graphic>
                </wp:anchor>
              </w:drawing>
            </w:r>
          </w:p>
        </w:tc>
      </w:tr>
      <w:tr w:rsidR="00814520" w:rsidRPr="001253A8" w:rsidTr="00814520">
        <w:tc>
          <w:tcPr>
            <w:tcW w:w="3402" w:type="dxa"/>
          </w:tcPr>
          <w:p w:rsidR="00814520" w:rsidRPr="001253A8" w:rsidRDefault="00814520" w:rsidP="00814520">
            <w:pPr>
              <w:spacing w:before="120" w:after="120"/>
              <w:rPr>
                <w:sz w:val="20"/>
                <w:szCs w:val="20"/>
              </w:rPr>
            </w:pPr>
            <w:r w:rsidRPr="001253A8">
              <w:rPr>
                <w:sz w:val="20"/>
                <w:szCs w:val="20"/>
              </w:rPr>
              <w:t>Molecular formula</w:t>
            </w:r>
          </w:p>
        </w:tc>
        <w:tc>
          <w:tcPr>
            <w:tcW w:w="6379" w:type="dxa"/>
          </w:tcPr>
          <w:p w:rsidR="00814520" w:rsidRPr="001253A8" w:rsidRDefault="002B199A" w:rsidP="002B199A">
            <w:pPr>
              <w:rPr>
                <w:noProof/>
                <w:sz w:val="20"/>
                <w:szCs w:val="20"/>
              </w:rPr>
            </w:pPr>
            <w:r>
              <w:rPr>
                <w:noProof/>
                <w:sz w:val="20"/>
                <w:szCs w:val="20"/>
              </w:rPr>
              <w:t>C₂₆H₂₉N₅O₃S</w:t>
            </w:r>
          </w:p>
        </w:tc>
      </w:tr>
      <w:tr w:rsidR="00814520" w:rsidRPr="001253A8" w:rsidTr="00814520">
        <w:tc>
          <w:tcPr>
            <w:tcW w:w="3402" w:type="dxa"/>
          </w:tcPr>
          <w:p w:rsidR="00814520" w:rsidRPr="001253A8" w:rsidRDefault="00814520" w:rsidP="00814520">
            <w:pPr>
              <w:spacing w:before="120" w:after="120"/>
              <w:rPr>
                <w:sz w:val="20"/>
                <w:szCs w:val="20"/>
              </w:rPr>
            </w:pPr>
            <w:r w:rsidRPr="001253A8">
              <w:rPr>
                <w:sz w:val="20"/>
                <w:szCs w:val="20"/>
              </w:rPr>
              <w:t>CAS numbers</w:t>
            </w:r>
          </w:p>
        </w:tc>
        <w:tc>
          <w:tcPr>
            <w:tcW w:w="6379" w:type="dxa"/>
          </w:tcPr>
          <w:p w:rsidR="00814520" w:rsidRPr="001253A8" w:rsidRDefault="00814520" w:rsidP="00814520">
            <w:pPr>
              <w:spacing w:after="0" w:line="240" w:lineRule="auto"/>
              <w:rPr>
                <w:sz w:val="20"/>
                <w:szCs w:val="20"/>
              </w:rPr>
            </w:pPr>
            <w:r w:rsidRPr="0057567E">
              <w:rPr>
                <w:sz w:val="20"/>
                <w:szCs w:val="20"/>
              </w:rPr>
              <w:t>4159</w:t>
            </w:r>
            <w:r>
              <w:rPr>
                <w:sz w:val="20"/>
                <w:szCs w:val="20"/>
              </w:rPr>
              <w:t>03-37-6</w:t>
            </w:r>
          </w:p>
        </w:tc>
      </w:tr>
      <w:tr w:rsidR="00814520" w:rsidRPr="001253A8" w:rsidTr="00814520">
        <w:tc>
          <w:tcPr>
            <w:tcW w:w="3402" w:type="dxa"/>
          </w:tcPr>
          <w:p w:rsidR="00814520" w:rsidRPr="001253A8" w:rsidRDefault="00814520" w:rsidP="00814520">
            <w:pPr>
              <w:spacing w:before="120" w:after="120"/>
              <w:rPr>
                <w:sz w:val="20"/>
                <w:szCs w:val="20"/>
              </w:rPr>
            </w:pPr>
            <w:r>
              <w:rPr>
                <w:sz w:val="20"/>
                <w:szCs w:val="20"/>
              </w:rPr>
              <w:t>IUPAC name</w:t>
            </w:r>
          </w:p>
        </w:tc>
        <w:tc>
          <w:tcPr>
            <w:tcW w:w="6379" w:type="dxa"/>
          </w:tcPr>
          <w:p w:rsidR="00814520" w:rsidRPr="001253A8" w:rsidRDefault="00814520" w:rsidP="00814520">
            <w:pPr>
              <w:spacing w:after="0" w:line="240" w:lineRule="auto"/>
              <w:rPr>
                <w:sz w:val="20"/>
                <w:szCs w:val="20"/>
              </w:rPr>
            </w:pPr>
            <w:proofErr w:type="spellStart"/>
            <w:r w:rsidRPr="0057567E">
              <w:rPr>
                <w:sz w:val="20"/>
                <w:szCs w:val="20"/>
              </w:rPr>
              <w:t>Benzenesulfonamide</w:t>
            </w:r>
            <w:proofErr w:type="spellEnd"/>
            <w:r w:rsidRPr="0057567E">
              <w:rPr>
                <w:sz w:val="20"/>
                <w:szCs w:val="20"/>
              </w:rPr>
              <w:t>, N-[[[2-[4-2-ethyl-4-6-dimethyl-1H-imidazo[4,5-c]pyridin-1-yl)phenyl]ethyl]amino]carbonyl]-4-methylbenzenesulfonamide</w:t>
            </w:r>
          </w:p>
        </w:tc>
      </w:tr>
    </w:tbl>
    <w:p w:rsidR="00814520" w:rsidRDefault="00814520" w:rsidP="002B199A">
      <w:pPr>
        <w:pStyle w:val="TableTitle0"/>
      </w:pPr>
      <w:r>
        <w:lastRenderedPageBreak/>
        <w:t xml:space="preserve">Table 2: Acute </w:t>
      </w:r>
      <w:r w:rsidRPr="002B199A">
        <w:t>toxicity</w:t>
      </w:r>
      <w:r>
        <w:t xml:space="preserve"> end-points for </w:t>
      </w:r>
      <w:proofErr w:type="spellStart"/>
      <w:r>
        <w:t>g</w:t>
      </w:r>
      <w:r w:rsidRPr="00EA6A51">
        <w:t>rapiprant</w:t>
      </w:r>
      <w:proofErr w:type="spellEnd"/>
    </w:p>
    <w:tbl>
      <w:tblPr>
        <w:tblStyle w:val="TableTGAblue"/>
        <w:tblW w:w="5000" w:type="pct"/>
        <w:tblInd w:w="108" w:type="dxa"/>
        <w:tblLook w:val="04A0" w:firstRow="1" w:lastRow="0" w:firstColumn="1" w:lastColumn="0" w:noHBand="0" w:noVBand="1"/>
      </w:tblPr>
      <w:tblGrid>
        <w:gridCol w:w="4077"/>
        <w:gridCol w:w="1701"/>
        <w:gridCol w:w="1985"/>
        <w:gridCol w:w="1523"/>
      </w:tblGrid>
      <w:tr w:rsidR="002B199A" w:rsidRPr="0093114F" w:rsidTr="002D5ED2">
        <w:trPr>
          <w:cnfStyle w:val="100000000000" w:firstRow="1" w:lastRow="0" w:firstColumn="0" w:lastColumn="0" w:oddVBand="0" w:evenVBand="0" w:oddHBand="0" w:evenHBand="0" w:firstRowFirstColumn="0" w:firstRowLastColumn="0" w:lastRowFirstColumn="0" w:lastRowLastColumn="0"/>
        </w:trPr>
        <w:tc>
          <w:tcPr>
            <w:tcW w:w="2195" w:type="pct"/>
          </w:tcPr>
          <w:p w:rsidR="00814520" w:rsidRPr="0093114F" w:rsidRDefault="00814520" w:rsidP="00814520">
            <w:pPr>
              <w:pStyle w:val="TableHeading"/>
              <w:spacing w:before="120" w:after="120"/>
              <w:rPr>
                <w:rFonts w:cstheme="majorHAnsi"/>
                <w:b/>
                <w:sz w:val="20"/>
                <w:szCs w:val="20"/>
              </w:rPr>
            </w:pPr>
            <w:r w:rsidRPr="0093114F">
              <w:rPr>
                <w:rFonts w:cstheme="majorHAnsi"/>
                <w:b/>
                <w:sz w:val="20"/>
                <w:szCs w:val="20"/>
              </w:rPr>
              <w:t>Toxicity</w:t>
            </w:r>
          </w:p>
        </w:tc>
        <w:tc>
          <w:tcPr>
            <w:tcW w:w="916" w:type="pct"/>
          </w:tcPr>
          <w:p w:rsidR="00814520" w:rsidRPr="0093114F" w:rsidRDefault="00814520" w:rsidP="00814520">
            <w:pPr>
              <w:pStyle w:val="TableHeading"/>
              <w:spacing w:before="120" w:after="120"/>
              <w:rPr>
                <w:rFonts w:cstheme="majorHAnsi"/>
                <w:b/>
                <w:sz w:val="20"/>
                <w:szCs w:val="20"/>
              </w:rPr>
            </w:pPr>
            <w:r w:rsidRPr="0093114F">
              <w:rPr>
                <w:rFonts w:cstheme="majorHAnsi"/>
                <w:b/>
                <w:sz w:val="20"/>
                <w:szCs w:val="20"/>
              </w:rPr>
              <w:t>Species</w:t>
            </w:r>
          </w:p>
        </w:tc>
        <w:tc>
          <w:tcPr>
            <w:tcW w:w="1069" w:type="pct"/>
          </w:tcPr>
          <w:p w:rsidR="00814520" w:rsidRPr="0093114F" w:rsidRDefault="00814520" w:rsidP="00814520">
            <w:pPr>
              <w:pStyle w:val="TableHeading"/>
              <w:spacing w:before="120" w:after="120"/>
              <w:rPr>
                <w:rFonts w:cstheme="majorHAnsi"/>
                <w:b/>
                <w:sz w:val="20"/>
                <w:szCs w:val="20"/>
              </w:rPr>
            </w:pPr>
            <w:proofErr w:type="spellStart"/>
            <w:r>
              <w:rPr>
                <w:rFonts w:cstheme="majorHAnsi"/>
                <w:b/>
                <w:sz w:val="20"/>
                <w:szCs w:val="20"/>
              </w:rPr>
              <w:t>Grapiprant</w:t>
            </w:r>
            <w:proofErr w:type="spellEnd"/>
          </w:p>
        </w:tc>
        <w:tc>
          <w:tcPr>
            <w:tcW w:w="820" w:type="pct"/>
          </w:tcPr>
          <w:p w:rsidR="00814520" w:rsidRPr="0093114F" w:rsidRDefault="00814520" w:rsidP="00814520">
            <w:pPr>
              <w:pStyle w:val="TableHeading"/>
              <w:spacing w:before="120" w:after="120"/>
              <w:rPr>
                <w:rFonts w:cstheme="majorHAnsi"/>
                <w:b/>
                <w:sz w:val="20"/>
                <w:szCs w:val="20"/>
              </w:rPr>
            </w:pPr>
            <w:r w:rsidRPr="0093114F">
              <w:rPr>
                <w:rFonts w:cstheme="majorHAnsi"/>
                <w:b/>
                <w:sz w:val="20"/>
                <w:szCs w:val="20"/>
              </w:rPr>
              <w:t>SPF</w:t>
            </w:r>
            <w:r>
              <w:rPr>
                <w:rFonts w:cstheme="majorHAnsi"/>
                <w:b/>
                <w:sz w:val="20"/>
                <w:szCs w:val="20"/>
              </w:rPr>
              <w:t xml:space="preserve"> (2018)</w:t>
            </w:r>
            <w:r w:rsidRPr="0093114F">
              <w:rPr>
                <w:rFonts w:cstheme="majorHAnsi"/>
                <w:b/>
                <w:sz w:val="20"/>
                <w:szCs w:val="20"/>
              </w:rPr>
              <w:t xml:space="preserve"> Classification</w:t>
            </w:r>
            <w:r w:rsidRPr="00AC68E2">
              <w:rPr>
                <w:rStyle w:val="FootnoteReference"/>
              </w:rPr>
              <w:footnoteReference w:id="1"/>
            </w:r>
          </w:p>
        </w:tc>
      </w:tr>
      <w:tr w:rsidR="002B199A" w:rsidRPr="0093114F" w:rsidTr="002D5ED2">
        <w:tc>
          <w:tcPr>
            <w:tcW w:w="2195" w:type="pct"/>
          </w:tcPr>
          <w:p w:rsidR="00814520" w:rsidRPr="0093114F" w:rsidRDefault="002B199A" w:rsidP="008C69BC">
            <w:pPr>
              <w:spacing w:before="120" w:after="120"/>
              <w:rPr>
                <w:sz w:val="20"/>
                <w:szCs w:val="20"/>
              </w:rPr>
            </w:pPr>
            <w:r>
              <w:rPr>
                <w:sz w:val="20"/>
                <w:szCs w:val="20"/>
              </w:rPr>
              <w:t>Acute oral toxicity</w:t>
            </w:r>
            <w:r w:rsidR="008C69BC">
              <w:rPr>
                <w:sz w:val="20"/>
                <w:szCs w:val="20"/>
              </w:rPr>
              <w:t xml:space="preserve"> </w:t>
            </w:r>
            <w:r w:rsidR="00814520" w:rsidRPr="0093114F">
              <w:rPr>
                <w:sz w:val="20"/>
                <w:szCs w:val="20"/>
              </w:rPr>
              <w:t>LD</w:t>
            </w:r>
            <w:r w:rsidR="00814520" w:rsidRPr="0093114F">
              <w:rPr>
                <w:sz w:val="20"/>
                <w:szCs w:val="20"/>
                <w:vertAlign w:val="subscript"/>
              </w:rPr>
              <w:t>50</w:t>
            </w:r>
            <w:r w:rsidR="00814520" w:rsidRPr="0093114F">
              <w:rPr>
                <w:sz w:val="20"/>
                <w:szCs w:val="20"/>
              </w:rPr>
              <w:t xml:space="preserve"> (mg/kg </w:t>
            </w:r>
            <w:proofErr w:type="spellStart"/>
            <w:r w:rsidR="00814520" w:rsidRPr="0093114F">
              <w:rPr>
                <w:sz w:val="20"/>
                <w:szCs w:val="20"/>
              </w:rPr>
              <w:t>bw</w:t>
            </w:r>
            <w:proofErr w:type="spellEnd"/>
            <w:r w:rsidR="00814520" w:rsidRPr="0093114F">
              <w:rPr>
                <w:sz w:val="20"/>
                <w:szCs w:val="20"/>
              </w:rPr>
              <w:t>)</w:t>
            </w:r>
          </w:p>
        </w:tc>
        <w:tc>
          <w:tcPr>
            <w:tcW w:w="916" w:type="pct"/>
          </w:tcPr>
          <w:p w:rsidR="00814520" w:rsidRPr="0093114F" w:rsidRDefault="00814520" w:rsidP="00814520">
            <w:pPr>
              <w:spacing w:before="120" w:after="120"/>
              <w:rPr>
                <w:sz w:val="20"/>
                <w:szCs w:val="20"/>
                <w:lang w:eastAsia="en-US"/>
              </w:rPr>
            </w:pPr>
            <w:r>
              <w:rPr>
                <w:sz w:val="20"/>
                <w:szCs w:val="20"/>
                <w:lang w:eastAsia="en-US"/>
              </w:rPr>
              <w:t>Rat</w:t>
            </w:r>
          </w:p>
        </w:tc>
        <w:tc>
          <w:tcPr>
            <w:tcW w:w="1069" w:type="pct"/>
          </w:tcPr>
          <w:p w:rsidR="00814520" w:rsidRPr="0093114F" w:rsidRDefault="00814520" w:rsidP="00814520">
            <w:pPr>
              <w:spacing w:before="120" w:after="120"/>
              <w:rPr>
                <w:sz w:val="20"/>
                <w:szCs w:val="20"/>
              </w:rPr>
            </w:pPr>
            <w:r>
              <w:rPr>
                <w:sz w:val="20"/>
                <w:szCs w:val="20"/>
              </w:rPr>
              <w:t xml:space="preserve">&gt;2000 mg/kg </w:t>
            </w:r>
            <w:proofErr w:type="spellStart"/>
            <w:r>
              <w:rPr>
                <w:sz w:val="20"/>
                <w:szCs w:val="20"/>
              </w:rPr>
              <w:t>bw</w:t>
            </w:r>
            <w:proofErr w:type="spellEnd"/>
          </w:p>
        </w:tc>
        <w:tc>
          <w:tcPr>
            <w:tcW w:w="820" w:type="pct"/>
          </w:tcPr>
          <w:p w:rsidR="00814520" w:rsidRPr="0093114F" w:rsidRDefault="002B199A" w:rsidP="00814520">
            <w:pPr>
              <w:spacing w:before="120" w:after="120"/>
              <w:rPr>
                <w:sz w:val="20"/>
                <w:szCs w:val="20"/>
              </w:rPr>
            </w:pPr>
            <w:r>
              <w:rPr>
                <w:sz w:val="20"/>
                <w:szCs w:val="20"/>
              </w:rPr>
              <w:t>Schedule 5</w:t>
            </w:r>
          </w:p>
        </w:tc>
      </w:tr>
      <w:tr w:rsidR="002B199A" w:rsidRPr="0093114F" w:rsidTr="002D5ED2">
        <w:tc>
          <w:tcPr>
            <w:tcW w:w="2195" w:type="pct"/>
          </w:tcPr>
          <w:p w:rsidR="00814520" w:rsidRPr="0093114F" w:rsidRDefault="00814520" w:rsidP="008C69BC">
            <w:pPr>
              <w:spacing w:before="120" w:after="120"/>
              <w:rPr>
                <w:sz w:val="20"/>
                <w:szCs w:val="20"/>
              </w:rPr>
            </w:pPr>
            <w:r w:rsidRPr="0093114F">
              <w:rPr>
                <w:sz w:val="20"/>
                <w:szCs w:val="20"/>
              </w:rPr>
              <w:t>Acute dermal toxicity</w:t>
            </w:r>
            <w:r w:rsidR="008C69BC">
              <w:rPr>
                <w:sz w:val="20"/>
                <w:szCs w:val="20"/>
              </w:rPr>
              <w:t xml:space="preserve"> </w:t>
            </w:r>
            <w:r w:rsidRPr="0093114F">
              <w:rPr>
                <w:sz w:val="20"/>
                <w:szCs w:val="20"/>
              </w:rPr>
              <w:t>LD</w:t>
            </w:r>
            <w:r w:rsidRPr="0093114F">
              <w:rPr>
                <w:sz w:val="20"/>
                <w:szCs w:val="20"/>
                <w:vertAlign w:val="subscript"/>
              </w:rPr>
              <w:t>50</w:t>
            </w:r>
            <w:r w:rsidRPr="0093114F">
              <w:rPr>
                <w:sz w:val="20"/>
                <w:szCs w:val="20"/>
              </w:rPr>
              <w:t xml:space="preserve"> (mg/kg </w:t>
            </w:r>
            <w:proofErr w:type="spellStart"/>
            <w:r w:rsidRPr="0093114F">
              <w:rPr>
                <w:sz w:val="20"/>
                <w:szCs w:val="20"/>
              </w:rPr>
              <w:t>bw</w:t>
            </w:r>
            <w:proofErr w:type="spellEnd"/>
            <w:r w:rsidRPr="0093114F">
              <w:rPr>
                <w:sz w:val="20"/>
                <w:szCs w:val="20"/>
              </w:rPr>
              <w:t>)</w:t>
            </w:r>
          </w:p>
        </w:tc>
        <w:tc>
          <w:tcPr>
            <w:tcW w:w="916" w:type="pct"/>
          </w:tcPr>
          <w:p w:rsidR="00814520" w:rsidRPr="0093114F" w:rsidRDefault="00814520" w:rsidP="00814520">
            <w:pPr>
              <w:spacing w:before="120" w:after="120"/>
              <w:rPr>
                <w:sz w:val="20"/>
                <w:szCs w:val="20"/>
              </w:rPr>
            </w:pPr>
            <w:r>
              <w:rPr>
                <w:sz w:val="20"/>
                <w:szCs w:val="20"/>
              </w:rPr>
              <w:t>-</w:t>
            </w:r>
          </w:p>
        </w:tc>
        <w:tc>
          <w:tcPr>
            <w:tcW w:w="1069" w:type="pct"/>
          </w:tcPr>
          <w:p w:rsidR="00814520" w:rsidRPr="0093114F" w:rsidRDefault="00814520" w:rsidP="00814520">
            <w:pPr>
              <w:spacing w:before="120" w:after="120"/>
              <w:rPr>
                <w:sz w:val="20"/>
                <w:szCs w:val="20"/>
              </w:rPr>
            </w:pPr>
            <w:r>
              <w:rPr>
                <w:sz w:val="20"/>
                <w:szCs w:val="20"/>
              </w:rPr>
              <w:t>No data</w:t>
            </w:r>
          </w:p>
        </w:tc>
        <w:tc>
          <w:tcPr>
            <w:tcW w:w="820" w:type="pct"/>
          </w:tcPr>
          <w:p w:rsidR="00814520" w:rsidRPr="0093114F" w:rsidRDefault="00814520" w:rsidP="00814520">
            <w:pPr>
              <w:spacing w:before="120" w:after="120"/>
              <w:rPr>
                <w:sz w:val="20"/>
                <w:szCs w:val="20"/>
              </w:rPr>
            </w:pPr>
            <w:r>
              <w:rPr>
                <w:sz w:val="20"/>
                <w:szCs w:val="20"/>
              </w:rPr>
              <w:t>-</w:t>
            </w:r>
          </w:p>
        </w:tc>
      </w:tr>
      <w:tr w:rsidR="002B199A" w:rsidRPr="0093114F" w:rsidTr="002D5ED2">
        <w:tc>
          <w:tcPr>
            <w:tcW w:w="2195" w:type="pct"/>
          </w:tcPr>
          <w:p w:rsidR="00814520" w:rsidRPr="0093114F" w:rsidRDefault="002B199A" w:rsidP="008C69BC">
            <w:pPr>
              <w:spacing w:before="120" w:after="120"/>
              <w:rPr>
                <w:sz w:val="20"/>
                <w:szCs w:val="20"/>
              </w:rPr>
            </w:pPr>
            <w:r>
              <w:rPr>
                <w:sz w:val="20"/>
                <w:szCs w:val="20"/>
              </w:rPr>
              <w:t>Acute inhalational toxicity</w:t>
            </w:r>
            <w:r w:rsidR="008C69BC">
              <w:rPr>
                <w:sz w:val="20"/>
                <w:szCs w:val="20"/>
              </w:rPr>
              <w:t xml:space="preserve"> </w:t>
            </w:r>
            <w:r w:rsidR="00814520" w:rsidRPr="0093114F">
              <w:rPr>
                <w:sz w:val="20"/>
                <w:szCs w:val="20"/>
              </w:rPr>
              <w:t>LC</w:t>
            </w:r>
            <w:r w:rsidR="00814520" w:rsidRPr="0093114F">
              <w:rPr>
                <w:sz w:val="20"/>
                <w:szCs w:val="20"/>
                <w:vertAlign w:val="subscript"/>
              </w:rPr>
              <w:t>50</w:t>
            </w:r>
            <w:r w:rsidR="00814520" w:rsidRPr="0093114F">
              <w:rPr>
                <w:sz w:val="20"/>
                <w:szCs w:val="20"/>
              </w:rPr>
              <w:t xml:space="preserve"> (mg/m</w:t>
            </w:r>
            <w:r w:rsidR="00814520" w:rsidRPr="0093114F">
              <w:rPr>
                <w:sz w:val="20"/>
                <w:szCs w:val="20"/>
                <w:vertAlign w:val="superscript"/>
              </w:rPr>
              <w:t>3</w:t>
            </w:r>
            <w:r w:rsidR="00814520" w:rsidRPr="0093114F">
              <w:rPr>
                <w:sz w:val="20"/>
                <w:szCs w:val="20"/>
              </w:rPr>
              <w:t>/4h)</w:t>
            </w:r>
          </w:p>
        </w:tc>
        <w:tc>
          <w:tcPr>
            <w:tcW w:w="916" w:type="pct"/>
          </w:tcPr>
          <w:p w:rsidR="00814520" w:rsidRPr="0093114F" w:rsidRDefault="00814520" w:rsidP="00814520">
            <w:pPr>
              <w:spacing w:before="120" w:after="120"/>
              <w:rPr>
                <w:sz w:val="20"/>
                <w:szCs w:val="20"/>
              </w:rPr>
            </w:pPr>
            <w:r>
              <w:rPr>
                <w:sz w:val="20"/>
                <w:szCs w:val="20"/>
              </w:rPr>
              <w:t>-</w:t>
            </w:r>
          </w:p>
        </w:tc>
        <w:tc>
          <w:tcPr>
            <w:tcW w:w="1069" w:type="pct"/>
          </w:tcPr>
          <w:p w:rsidR="00814520" w:rsidRPr="0093114F" w:rsidRDefault="00814520" w:rsidP="00814520">
            <w:pPr>
              <w:spacing w:before="120" w:after="120"/>
              <w:rPr>
                <w:sz w:val="20"/>
                <w:szCs w:val="20"/>
              </w:rPr>
            </w:pPr>
            <w:r>
              <w:rPr>
                <w:sz w:val="20"/>
                <w:szCs w:val="20"/>
              </w:rPr>
              <w:t>No data</w:t>
            </w:r>
          </w:p>
        </w:tc>
        <w:tc>
          <w:tcPr>
            <w:tcW w:w="820" w:type="pct"/>
          </w:tcPr>
          <w:p w:rsidR="00814520" w:rsidRPr="0093114F" w:rsidRDefault="00814520" w:rsidP="00814520">
            <w:pPr>
              <w:spacing w:before="120" w:after="120"/>
              <w:rPr>
                <w:sz w:val="20"/>
                <w:szCs w:val="20"/>
              </w:rPr>
            </w:pPr>
            <w:r>
              <w:rPr>
                <w:sz w:val="20"/>
                <w:szCs w:val="20"/>
              </w:rPr>
              <w:t>-</w:t>
            </w:r>
          </w:p>
        </w:tc>
      </w:tr>
      <w:tr w:rsidR="002B199A" w:rsidRPr="0093114F" w:rsidTr="002D5ED2">
        <w:tc>
          <w:tcPr>
            <w:tcW w:w="2195" w:type="pct"/>
          </w:tcPr>
          <w:p w:rsidR="00814520" w:rsidRPr="0093114F" w:rsidRDefault="00814520" w:rsidP="00814520">
            <w:pPr>
              <w:spacing w:before="120" w:after="120"/>
              <w:rPr>
                <w:sz w:val="20"/>
                <w:szCs w:val="20"/>
              </w:rPr>
            </w:pPr>
            <w:r w:rsidRPr="0093114F">
              <w:rPr>
                <w:sz w:val="20"/>
                <w:szCs w:val="20"/>
              </w:rPr>
              <w:t>Skin irritation</w:t>
            </w:r>
          </w:p>
        </w:tc>
        <w:tc>
          <w:tcPr>
            <w:tcW w:w="916" w:type="pct"/>
          </w:tcPr>
          <w:p w:rsidR="00814520" w:rsidRPr="0093114F" w:rsidRDefault="00814520" w:rsidP="00814520">
            <w:pPr>
              <w:spacing w:before="120" w:after="120"/>
              <w:rPr>
                <w:sz w:val="20"/>
                <w:szCs w:val="20"/>
              </w:rPr>
            </w:pPr>
            <w:r>
              <w:rPr>
                <w:sz w:val="20"/>
                <w:szCs w:val="20"/>
              </w:rPr>
              <w:t>Human, in vitro OECD TG 439</w:t>
            </w:r>
          </w:p>
        </w:tc>
        <w:tc>
          <w:tcPr>
            <w:tcW w:w="1069" w:type="pct"/>
          </w:tcPr>
          <w:p w:rsidR="00814520" w:rsidRPr="0093114F" w:rsidRDefault="00814520" w:rsidP="00814520">
            <w:pPr>
              <w:spacing w:before="120" w:after="120"/>
              <w:rPr>
                <w:sz w:val="20"/>
                <w:szCs w:val="20"/>
              </w:rPr>
            </w:pPr>
            <w:r>
              <w:rPr>
                <w:sz w:val="20"/>
                <w:szCs w:val="20"/>
              </w:rPr>
              <w:t>Not a moderate or severely irritant</w:t>
            </w:r>
          </w:p>
        </w:tc>
        <w:tc>
          <w:tcPr>
            <w:tcW w:w="820" w:type="pct"/>
          </w:tcPr>
          <w:p w:rsidR="00814520" w:rsidRPr="0093114F" w:rsidRDefault="00814520" w:rsidP="00814520">
            <w:pPr>
              <w:spacing w:before="120" w:after="120"/>
              <w:rPr>
                <w:sz w:val="20"/>
                <w:szCs w:val="20"/>
              </w:rPr>
            </w:pPr>
            <w:r>
              <w:rPr>
                <w:sz w:val="20"/>
                <w:szCs w:val="20"/>
              </w:rPr>
              <w:t>Not Scheduled</w:t>
            </w:r>
          </w:p>
        </w:tc>
      </w:tr>
      <w:tr w:rsidR="002B199A" w:rsidRPr="0093114F" w:rsidTr="002D5ED2">
        <w:tc>
          <w:tcPr>
            <w:tcW w:w="2195" w:type="pct"/>
          </w:tcPr>
          <w:p w:rsidR="00814520" w:rsidRPr="0093114F" w:rsidRDefault="00814520" w:rsidP="00814520">
            <w:pPr>
              <w:spacing w:before="120" w:after="120"/>
              <w:rPr>
                <w:sz w:val="20"/>
              </w:rPr>
            </w:pPr>
            <w:r>
              <w:rPr>
                <w:sz w:val="20"/>
              </w:rPr>
              <w:t>Skin corrosion</w:t>
            </w:r>
          </w:p>
        </w:tc>
        <w:tc>
          <w:tcPr>
            <w:tcW w:w="916" w:type="pct"/>
          </w:tcPr>
          <w:p w:rsidR="00814520" w:rsidRDefault="00814520" w:rsidP="00814520">
            <w:pPr>
              <w:spacing w:before="120" w:after="120"/>
              <w:rPr>
                <w:sz w:val="20"/>
              </w:rPr>
            </w:pPr>
            <w:r>
              <w:rPr>
                <w:sz w:val="20"/>
              </w:rPr>
              <w:t>Human, in vitro</w:t>
            </w:r>
          </w:p>
          <w:p w:rsidR="00814520" w:rsidRDefault="00814520" w:rsidP="00814520">
            <w:pPr>
              <w:spacing w:before="120" w:after="120"/>
              <w:rPr>
                <w:sz w:val="20"/>
              </w:rPr>
            </w:pPr>
            <w:r>
              <w:rPr>
                <w:sz w:val="20"/>
              </w:rPr>
              <w:t>OECD TG 431</w:t>
            </w:r>
          </w:p>
        </w:tc>
        <w:tc>
          <w:tcPr>
            <w:tcW w:w="1069" w:type="pct"/>
          </w:tcPr>
          <w:p w:rsidR="00814520" w:rsidRDefault="00814520" w:rsidP="00814520">
            <w:pPr>
              <w:spacing w:before="120" w:after="120"/>
              <w:rPr>
                <w:sz w:val="20"/>
              </w:rPr>
            </w:pPr>
            <w:r>
              <w:rPr>
                <w:sz w:val="20"/>
              </w:rPr>
              <w:t>Non-corrosive</w:t>
            </w:r>
          </w:p>
        </w:tc>
        <w:tc>
          <w:tcPr>
            <w:tcW w:w="820" w:type="pct"/>
          </w:tcPr>
          <w:p w:rsidR="00814520" w:rsidRPr="0093114F" w:rsidRDefault="00814520" w:rsidP="002B199A">
            <w:pPr>
              <w:spacing w:before="120" w:after="120"/>
              <w:rPr>
                <w:sz w:val="20"/>
              </w:rPr>
            </w:pPr>
            <w:r>
              <w:rPr>
                <w:sz w:val="20"/>
              </w:rPr>
              <w:t>Not Scheduled</w:t>
            </w:r>
          </w:p>
        </w:tc>
      </w:tr>
      <w:tr w:rsidR="002B199A" w:rsidRPr="0093114F" w:rsidTr="002D5ED2">
        <w:tc>
          <w:tcPr>
            <w:tcW w:w="2195" w:type="pct"/>
          </w:tcPr>
          <w:p w:rsidR="00814520" w:rsidRPr="0093114F" w:rsidRDefault="002B199A" w:rsidP="00814520">
            <w:pPr>
              <w:spacing w:before="120" w:after="120"/>
              <w:rPr>
                <w:sz w:val="20"/>
                <w:szCs w:val="20"/>
              </w:rPr>
            </w:pPr>
            <w:r>
              <w:rPr>
                <w:sz w:val="20"/>
                <w:szCs w:val="20"/>
              </w:rPr>
              <w:t>Eye irritation</w:t>
            </w:r>
          </w:p>
        </w:tc>
        <w:tc>
          <w:tcPr>
            <w:tcW w:w="916" w:type="pct"/>
          </w:tcPr>
          <w:p w:rsidR="00814520" w:rsidRDefault="00814520" w:rsidP="00814520">
            <w:pPr>
              <w:spacing w:before="120" w:after="120"/>
              <w:rPr>
                <w:sz w:val="20"/>
                <w:szCs w:val="20"/>
              </w:rPr>
            </w:pPr>
            <w:r>
              <w:rPr>
                <w:sz w:val="20"/>
                <w:szCs w:val="20"/>
              </w:rPr>
              <w:t>Bovine, in vitro</w:t>
            </w:r>
          </w:p>
          <w:p w:rsidR="00814520" w:rsidRPr="0093114F" w:rsidRDefault="00814520" w:rsidP="00814520">
            <w:pPr>
              <w:spacing w:before="120" w:after="120"/>
              <w:rPr>
                <w:sz w:val="20"/>
                <w:szCs w:val="20"/>
              </w:rPr>
            </w:pPr>
            <w:r>
              <w:rPr>
                <w:sz w:val="20"/>
                <w:szCs w:val="20"/>
              </w:rPr>
              <w:t>OECD TG 437</w:t>
            </w:r>
          </w:p>
        </w:tc>
        <w:tc>
          <w:tcPr>
            <w:tcW w:w="1069" w:type="pct"/>
          </w:tcPr>
          <w:p w:rsidR="00814520" w:rsidRPr="0093114F" w:rsidRDefault="00814520" w:rsidP="00814520">
            <w:pPr>
              <w:spacing w:before="120" w:after="120"/>
              <w:rPr>
                <w:sz w:val="20"/>
                <w:szCs w:val="20"/>
              </w:rPr>
            </w:pPr>
            <w:r>
              <w:rPr>
                <w:sz w:val="20"/>
                <w:szCs w:val="20"/>
              </w:rPr>
              <w:t>Non-irritating</w:t>
            </w:r>
          </w:p>
        </w:tc>
        <w:tc>
          <w:tcPr>
            <w:tcW w:w="820" w:type="pct"/>
          </w:tcPr>
          <w:p w:rsidR="00814520" w:rsidRPr="0093114F" w:rsidRDefault="00814520" w:rsidP="00814520">
            <w:pPr>
              <w:spacing w:before="120" w:after="120"/>
              <w:rPr>
                <w:sz w:val="20"/>
                <w:szCs w:val="20"/>
              </w:rPr>
            </w:pPr>
            <w:r>
              <w:rPr>
                <w:sz w:val="20"/>
                <w:szCs w:val="20"/>
              </w:rPr>
              <w:t>Not Scheduled</w:t>
            </w:r>
          </w:p>
        </w:tc>
      </w:tr>
      <w:tr w:rsidR="002B199A" w:rsidRPr="0093114F" w:rsidTr="002D5ED2">
        <w:tc>
          <w:tcPr>
            <w:tcW w:w="2195" w:type="pct"/>
          </w:tcPr>
          <w:p w:rsidR="00814520" w:rsidRPr="0093114F" w:rsidRDefault="00814520" w:rsidP="00814520">
            <w:pPr>
              <w:spacing w:before="120" w:after="120"/>
              <w:rPr>
                <w:sz w:val="20"/>
                <w:szCs w:val="20"/>
              </w:rPr>
            </w:pPr>
            <w:r w:rsidRPr="0093114F">
              <w:rPr>
                <w:sz w:val="20"/>
                <w:szCs w:val="20"/>
              </w:rPr>
              <w:t xml:space="preserve">Skin sensitisation </w:t>
            </w:r>
            <w:r w:rsidRPr="009E42CE">
              <w:rPr>
                <w:sz w:val="20"/>
                <w:szCs w:val="20"/>
              </w:rPr>
              <w:t>(LLNA)</w:t>
            </w:r>
          </w:p>
        </w:tc>
        <w:tc>
          <w:tcPr>
            <w:tcW w:w="916" w:type="pct"/>
          </w:tcPr>
          <w:p w:rsidR="00814520" w:rsidRPr="0093114F" w:rsidRDefault="00814520" w:rsidP="00814520">
            <w:pPr>
              <w:spacing w:before="120" w:after="120"/>
              <w:rPr>
                <w:sz w:val="20"/>
                <w:szCs w:val="20"/>
              </w:rPr>
            </w:pPr>
            <w:r>
              <w:rPr>
                <w:sz w:val="20"/>
                <w:szCs w:val="20"/>
              </w:rPr>
              <w:t>Mouse</w:t>
            </w:r>
          </w:p>
        </w:tc>
        <w:tc>
          <w:tcPr>
            <w:tcW w:w="1069" w:type="pct"/>
          </w:tcPr>
          <w:p w:rsidR="00814520" w:rsidRPr="0093114F" w:rsidRDefault="00814520" w:rsidP="00814520">
            <w:pPr>
              <w:spacing w:before="120" w:after="120"/>
              <w:rPr>
                <w:sz w:val="20"/>
                <w:szCs w:val="20"/>
              </w:rPr>
            </w:pPr>
            <w:r>
              <w:rPr>
                <w:sz w:val="20"/>
                <w:szCs w:val="20"/>
              </w:rPr>
              <w:t>Non-sensitising</w:t>
            </w:r>
          </w:p>
        </w:tc>
        <w:tc>
          <w:tcPr>
            <w:tcW w:w="820" w:type="pct"/>
          </w:tcPr>
          <w:p w:rsidR="00814520" w:rsidRPr="0093114F" w:rsidRDefault="00814520" w:rsidP="00814520">
            <w:pPr>
              <w:spacing w:before="120" w:after="120"/>
              <w:rPr>
                <w:sz w:val="20"/>
                <w:szCs w:val="20"/>
              </w:rPr>
            </w:pPr>
            <w:r>
              <w:rPr>
                <w:sz w:val="20"/>
                <w:szCs w:val="20"/>
              </w:rPr>
              <w:t>Not Scheduled</w:t>
            </w:r>
          </w:p>
        </w:tc>
      </w:tr>
    </w:tbl>
    <w:p w:rsidR="00814520" w:rsidRPr="00FC1D06" w:rsidRDefault="002B199A" w:rsidP="002B199A">
      <w:pPr>
        <w:pStyle w:val="Heading6"/>
        <w:rPr>
          <w:rFonts w:eastAsiaTheme="majorEastAsia"/>
        </w:rPr>
      </w:pPr>
      <w:r>
        <w:rPr>
          <w:rFonts w:eastAsiaTheme="majorEastAsia"/>
        </w:rPr>
        <w:t xml:space="preserve">Acute </w:t>
      </w:r>
      <w:r w:rsidRPr="002B199A">
        <w:rPr>
          <w:rFonts w:eastAsiaTheme="majorEastAsia"/>
        </w:rPr>
        <w:t>toxicity</w:t>
      </w:r>
    </w:p>
    <w:p w:rsidR="00814520" w:rsidRPr="00195241" w:rsidRDefault="00814520" w:rsidP="0027091E">
      <w:pPr>
        <w:rPr>
          <w:rFonts w:eastAsiaTheme="majorEastAsia"/>
        </w:rPr>
      </w:pPr>
      <w:r>
        <w:t>Based on the available acute oral</w:t>
      </w:r>
      <w:r w:rsidRPr="00195241">
        <w:t xml:space="preserve"> </w:t>
      </w:r>
      <w:r>
        <w:t xml:space="preserve">toxicity </w:t>
      </w:r>
      <w:r w:rsidRPr="00195241">
        <w:t xml:space="preserve">data, </w:t>
      </w:r>
      <w:proofErr w:type="spellStart"/>
      <w:r w:rsidRPr="00195241">
        <w:t>grapiprant</w:t>
      </w:r>
      <w:proofErr w:type="spellEnd"/>
      <w:r w:rsidRPr="00195241">
        <w:t xml:space="preserve"> has a low acute toxicity in rat. While there were no study-specific data on the dermal or inhalation</w:t>
      </w:r>
      <w:r>
        <w:t xml:space="preserve">al acute toxicity of </w:t>
      </w:r>
      <w:proofErr w:type="spellStart"/>
      <w:r>
        <w:t>grapiprant</w:t>
      </w:r>
      <w:proofErr w:type="spellEnd"/>
      <w:r>
        <w:t>,</w:t>
      </w:r>
      <w:r w:rsidRPr="00195241">
        <w:t xml:space="preserve"> </w:t>
      </w:r>
      <w:r w:rsidRPr="00195241">
        <w:rPr>
          <w:rFonts w:eastAsia="Times New Roman"/>
          <w:szCs w:val="24"/>
        </w:rPr>
        <w:t>the substance is presented in Australia as a tablet for veterinary use. As such</w:t>
      </w:r>
      <w:r>
        <w:rPr>
          <w:rFonts w:eastAsia="Times New Roman"/>
          <w:szCs w:val="24"/>
        </w:rPr>
        <w:t>,</w:t>
      </w:r>
      <w:r w:rsidRPr="00195241">
        <w:rPr>
          <w:rFonts w:eastAsia="Times New Roman"/>
          <w:szCs w:val="24"/>
        </w:rPr>
        <w:t xml:space="preserve"> the potential for dermal absorption and subsequent dermal toxicity is limited. Further, t</w:t>
      </w:r>
      <w:r w:rsidRPr="00195241">
        <w:rPr>
          <w:lang w:val="en-US"/>
        </w:rPr>
        <w:t>he form and packaging of the veterinary product (</w:t>
      </w:r>
      <w:r w:rsidRPr="00FC1D06">
        <w:rPr>
          <w:highlight w:val="black"/>
          <w:lang w:val="en-US"/>
        </w:rPr>
        <w:t>XXXXXX</w:t>
      </w:r>
      <w:r w:rsidRPr="00195241">
        <w:rPr>
          <w:lang w:val="en-US"/>
        </w:rPr>
        <w:t>) restricts the potential for generation of dust</w:t>
      </w:r>
      <w:r>
        <w:rPr>
          <w:lang w:val="en-US"/>
        </w:rPr>
        <w:t xml:space="preserve"> and for inhalation exposure</w:t>
      </w:r>
      <w:r w:rsidR="002B199A">
        <w:rPr>
          <w:lang w:val="en-US"/>
        </w:rPr>
        <w:t>.</w:t>
      </w:r>
    </w:p>
    <w:p w:rsidR="00814520" w:rsidRDefault="00814520" w:rsidP="002B199A">
      <w:pPr>
        <w:pStyle w:val="Heading6"/>
        <w:rPr>
          <w:rFonts w:eastAsiaTheme="majorEastAsia"/>
        </w:rPr>
      </w:pPr>
      <w:r>
        <w:rPr>
          <w:rFonts w:eastAsiaTheme="majorEastAsia"/>
        </w:rPr>
        <w:t xml:space="preserve">Skin </w:t>
      </w:r>
      <w:r w:rsidRPr="002B199A">
        <w:rPr>
          <w:rFonts w:eastAsiaTheme="majorEastAsia"/>
        </w:rPr>
        <w:t>irritation</w:t>
      </w:r>
    </w:p>
    <w:p w:rsidR="00814520" w:rsidRPr="00195241" w:rsidRDefault="00814520" w:rsidP="002B199A">
      <w:r w:rsidRPr="00195241">
        <w:t xml:space="preserve">Based on available data, </w:t>
      </w:r>
      <w:proofErr w:type="spellStart"/>
      <w:r w:rsidRPr="00195241">
        <w:t>grapiprant</w:t>
      </w:r>
      <w:proofErr w:type="spellEnd"/>
      <w:r w:rsidRPr="00195241">
        <w:t xml:space="preserve"> is not expected to be a skin irritant:</w:t>
      </w:r>
    </w:p>
    <w:p w:rsidR="00814520" w:rsidRDefault="00814520" w:rsidP="0027091E">
      <w:r w:rsidRPr="00195241">
        <w:t xml:space="preserve">The </w:t>
      </w:r>
      <w:proofErr w:type="spellStart"/>
      <w:r w:rsidRPr="00195241">
        <w:t>EpiDerm</w:t>
      </w:r>
      <w:proofErr w:type="spellEnd"/>
      <w:r w:rsidRPr="00195241">
        <w:t xml:space="preserve"> Skin Irritation Test (OECD Test Guidelin</w:t>
      </w:r>
      <w:r>
        <w:t>e</w:t>
      </w:r>
      <w:r w:rsidRPr="00195241">
        <w:t xml:space="preserve"> 439) utilises the cellular outcomes of skin irritation (cell death/inflammation) as biomarkers </w:t>
      </w:r>
      <w:r w:rsidR="0027091E">
        <w:t>for the potential of chemicals/</w:t>
      </w:r>
      <w:r w:rsidRPr="00195241">
        <w:t>substances to cause skin irritation of reconstructed human epidermis. Under the conditions of the test</w:t>
      </w:r>
      <w:r>
        <w:t>, application of</w:t>
      </w:r>
      <w:r w:rsidRPr="00195241">
        <w:t xml:space="preserve"> </w:t>
      </w:r>
      <w:proofErr w:type="spellStart"/>
      <w:r w:rsidRPr="00195241">
        <w:t>grapiprant</w:t>
      </w:r>
      <w:proofErr w:type="spellEnd"/>
      <w:r w:rsidRPr="00195241">
        <w:t xml:space="preserve"> resulted in a mean relative absorbance of 112% (% of negative control). Based on the cell viability outcome (&gt;50% viability after exposure), </w:t>
      </w:r>
      <w:proofErr w:type="spellStart"/>
      <w:r w:rsidRPr="00195241">
        <w:t>g</w:t>
      </w:r>
      <w:r>
        <w:t>rapiprant</w:t>
      </w:r>
      <w:proofErr w:type="spellEnd"/>
      <w:r>
        <w:t xml:space="preserve"> is</w:t>
      </w:r>
      <w:r w:rsidRPr="00195241">
        <w:t xml:space="preserve"> not classed as a moderate or severe skin irritant.</w:t>
      </w:r>
    </w:p>
    <w:p w:rsidR="00814520" w:rsidRPr="00195241" w:rsidRDefault="00814520" w:rsidP="0027091E">
      <w:r>
        <w:t>T</w:t>
      </w:r>
      <w:r w:rsidRPr="00195241">
        <w:t>he Human Skin Model Test (OECD T</w:t>
      </w:r>
      <w:r>
        <w:t xml:space="preserve">est </w:t>
      </w:r>
      <w:r w:rsidRPr="00195241">
        <w:t>G</w:t>
      </w:r>
      <w:r>
        <w:t>uideline</w:t>
      </w:r>
      <w:r w:rsidRPr="00195241">
        <w:t xml:space="preserve"> 431) uses a 3D human skin model</w:t>
      </w:r>
      <w:r>
        <w:t xml:space="preserve"> (human derived epidermal keratinocytes)</w:t>
      </w:r>
      <w:r w:rsidRPr="00195241">
        <w:t xml:space="preserve"> and topical application of a test substance</w:t>
      </w:r>
      <w:r>
        <w:t>, to assess</w:t>
      </w:r>
      <w:r w:rsidRPr="00195241">
        <w:t xml:space="preserve"> of cell viability and cytotoxicity. Under the conditions of the test</w:t>
      </w:r>
      <w:r>
        <w:t xml:space="preserve">, the application of </w:t>
      </w:r>
      <w:proofErr w:type="spellStart"/>
      <w:r>
        <w:t>g</w:t>
      </w:r>
      <w:r w:rsidRPr="00195241">
        <w:t>rapiprant</w:t>
      </w:r>
      <w:proofErr w:type="spellEnd"/>
      <w:r w:rsidRPr="00195241">
        <w:t xml:space="preserve"> resulted in a mean relative absorbance of 91.3 and 102.9% (% of negative control) following 3 minute and 1 hour exposure interval. Based on the cell viability outcome (&gt;50% viability after 3 minute exposure, &gt;15% via</w:t>
      </w:r>
      <w:r>
        <w:t xml:space="preserve">bility after 1 hour exposure), </w:t>
      </w:r>
      <w:proofErr w:type="spellStart"/>
      <w:r>
        <w:t>g</w:t>
      </w:r>
      <w:r w:rsidRPr="00195241">
        <w:t>rapipr</w:t>
      </w:r>
      <w:r>
        <w:t>ant</w:t>
      </w:r>
      <w:proofErr w:type="spellEnd"/>
      <w:r>
        <w:t xml:space="preserve"> is</w:t>
      </w:r>
      <w:r w:rsidRPr="00195241">
        <w:t xml:space="preserve"> non-corrosive to skin.</w:t>
      </w:r>
    </w:p>
    <w:p w:rsidR="00814520" w:rsidRPr="00FC1D06" w:rsidRDefault="00814520" w:rsidP="00041AAD">
      <w:pPr>
        <w:pStyle w:val="Heading6"/>
        <w:pageBreakBefore/>
        <w:spacing w:before="0"/>
      </w:pPr>
      <w:r w:rsidRPr="00FC1D06">
        <w:lastRenderedPageBreak/>
        <w:t xml:space="preserve">Eye </w:t>
      </w:r>
      <w:r w:rsidRPr="002B199A">
        <w:t>irritation</w:t>
      </w:r>
    </w:p>
    <w:p w:rsidR="00814520" w:rsidRPr="00A33743" w:rsidRDefault="00814520" w:rsidP="00814520">
      <w:r w:rsidRPr="00A33743">
        <w:t xml:space="preserve">Based on available data, </w:t>
      </w:r>
      <w:proofErr w:type="spellStart"/>
      <w:r w:rsidRPr="00A33743">
        <w:t>grapipran</w:t>
      </w:r>
      <w:r>
        <w:t>t</w:t>
      </w:r>
      <w:proofErr w:type="spellEnd"/>
      <w:r>
        <w:t xml:space="preserve"> is not expected to be irritating</w:t>
      </w:r>
      <w:r w:rsidRPr="00A33743">
        <w:t xml:space="preserve"> to the eyes:</w:t>
      </w:r>
    </w:p>
    <w:p w:rsidR="00814520" w:rsidRPr="0054733C" w:rsidRDefault="00814520" w:rsidP="0027091E">
      <w:r>
        <w:t xml:space="preserve">The Bovine Corneal Opacity and Permeability (BCOP) test (OECD Test Guideline 437) uses isolated corneas from the eyes of freshly slaughtered cattle. </w:t>
      </w:r>
      <w:proofErr w:type="spellStart"/>
      <w:r>
        <w:t>Grapiprant</w:t>
      </w:r>
      <w:proofErr w:type="spellEnd"/>
      <w:r>
        <w:t xml:space="preserve"> was applied (20% suspension w/v in saline) to the epithelial surface of the cornea by addition to the anterior chamber of the corneal holder. Damage by the test chemical is assessed by quantitative measurements of: (</w:t>
      </w:r>
      <w:proofErr w:type="spellStart"/>
      <w:r>
        <w:t>i</w:t>
      </w:r>
      <w:proofErr w:type="spellEnd"/>
      <w:r>
        <w:t xml:space="preserve">) corneal opacity changes, measured as the amount of light transmission through the cornea with the help of an </w:t>
      </w:r>
      <w:proofErr w:type="spellStart"/>
      <w:r>
        <w:t>opacitometer</w:t>
      </w:r>
      <w:proofErr w:type="spellEnd"/>
      <w:r>
        <w:t xml:space="preserve">; and (ii) permeability, measured as the amount of sodium fluorescein dye that passes from the medium in the anterior chamber of the corneal holder, across the full thickness of the cornea, to the medium in the posterior chamber, detected with the help of a visible light spectrophotometer. Both measurements are used to calculate an In vitro Irritancy Score (IVIS). The calculated mean IVIS for </w:t>
      </w:r>
      <w:proofErr w:type="spellStart"/>
      <w:r>
        <w:t>Grapiprant</w:t>
      </w:r>
      <w:proofErr w:type="spellEnd"/>
      <w:r>
        <w:t xml:space="preserve"> was 2.37. The threshold for classification as severe eye irritant is IVIS ≥55. </w:t>
      </w:r>
      <w:proofErr w:type="spellStart"/>
      <w:r>
        <w:t>Grapiprant</w:t>
      </w:r>
      <w:proofErr w:type="spellEnd"/>
      <w:r>
        <w:t xml:space="preserve"> is therefore not an eye irritant according</w:t>
      </w:r>
      <w:r w:rsidR="002B199A">
        <w:t xml:space="preserve"> to the conditions of the test.</w:t>
      </w:r>
    </w:p>
    <w:p w:rsidR="00814520" w:rsidRPr="00FC1D06" w:rsidRDefault="00814520" w:rsidP="002B199A">
      <w:pPr>
        <w:pStyle w:val="Heading6"/>
        <w:rPr>
          <w:rFonts w:eastAsiaTheme="majorEastAsia"/>
        </w:rPr>
      </w:pPr>
      <w:r w:rsidRPr="00FC1D06">
        <w:t>S</w:t>
      </w:r>
      <w:r w:rsidRPr="00FC1D06">
        <w:rPr>
          <w:rFonts w:eastAsiaTheme="majorEastAsia"/>
        </w:rPr>
        <w:t>ensitisation</w:t>
      </w:r>
    </w:p>
    <w:p w:rsidR="00814520" w:rsidRPr="0054733C" w:rsidRDefault="00814520" w:rsidP="002B199A">
      <w:r w:rsidRPr="0054733C">
        <w:t xml:space="preserve">Based on available data, </w:t>
      </w:r>
      <w:proofErr w:type="spellStart"/>
      <w:r w:rsidRPr="0054733C">
        <w:t>g</w:t>
      </w:r>
      <w:r>
        <w:t>rapiprant</w:t>
      </w:r>
      <w:proofErr w:type="spellEnd"/>
      <w:r>
        <w:t xml:space="preserve"> is not a skin sensitis</w:t>
      </w:r>
      <w:r w:rsidRPr="0054733C">
        <w:t>er:</w:t>
      </w:r>
    </w:p>
    <w:p w:rsidR="00814520" w:rsidRDefault="00814520" w:rsidP="0027091E">
      <w:r w:rsidRPr="00A33743">
        <w:t>A local lymph node assay</w:t>
      </w:r>
      <w:r>
        <w:t xml:space="preserve"> in mice</w:t>
      </w:r>
      <w:r w:rsidRPr="00A33743">
        <w:t xml:space="preserve"> </w:t>
      </w:r>
      <w:r>
        <w:t xml:space="preserve">(OECD Test Guideline 429) was performed using </w:t>
      </w:r>
      <w:proofErr w:type="spellStart"/>
      <w:r>
        <w:t>grapiprant</w:t>
      </w:r>
      <w:proofErr w:type="spellEnd"/>
      <w:r>
        <w:t xml:space="preserve"> at</w:t>
      </w:r>
      <w:r w:rsidRPr="00A33743">
        <w:t xml:space="preserve"> concentrati</w:t>
      </w:r>
      <w:r>
        <w:t xml:space="preserve">ons of 5, 10 and 25% </w:t>
      </w:r>
      <w:r w:rsidRPr="00A33743">
        <w:t>in</w:t>
      </w:r>
      <w:r>
        <w:t xml:space="preserve"> </w:t>
      </w:r>
      <w:proofErr w:type="spellStart"/>
      <w:r>
        <w:t>dimethylformamide</w:t>
      </w:r>
      <w:proofErr w:type="spellEnd"/>
      <w:r w:rsidRPr="00A33743">
        <w:t xml:space="preserve"> </w:t>
      </w:r>
      <w:r>
        <w:t>(</w:t>
      </w:r>
      <w:r w:rsidRPr="00A33743">
        <w:t>DMF).</w:t>
      </w:r>
      <w:r>
        <w:t xml:space="preserve"> </w:t>
      </w:r>
      <w:r w:rsidRPr="00A33743">
        <w:t>Two 9-10 week old female mice (BA/</w:t>
      </w:r>
      <w:proofErr w:type="spellStart"/>
      <w:r w:rsidRPr="00A33743">
        <w:t>CaOlaHsd</w:t>
      </w:r>
      <w:proofErr w:type="spellEnd"/>
      <w:r w:rsidRPr="00A33743">
        <w:t>) were treated by (epidermal) topical application to the dorsal surface of each ear with test item concentrations of 10 and 25% once daily e</w:t>
      </w:r>
      <w:r w:rsidR="002B199A">
        <w:t xml:space="preserve">ach on three consecutive days. </w:t>
      </w:r>
      <w:r w:rsidRPr="00A33743">
        <w:t>The severity of erythema was assessed and scored. At 25% on day 3 post treatment slight erythema was noted (score = 1). At 10% no signs of erythema were recorded.</w:t>
      </w:r>
      <w:r>
        <w:t xml:space="preserve"> </w:t>
      </w:r>
      <w:r w:rsidRPr="0054733C">
        <w:t xml:space="preserve">Five days after the first topical application (day 6) radiolabeled </w:t>
      </w:r>
      <w:r w:rsidRPr="00991BF2">
        <w:rPr>
          <w:vertAlign w:val="superscript"/>
        </w:rPr>
        <w:t>3</w:t>
      </w:r>
      <w:r w:rsidRPr="0054733C">
        <w:t xml:space="preserve">H-methyl thymidine (equivalent to 78.9 </w:t>
      </w:r>
      <w:proofErr w:type="spellStart"/>
      <w:r w:rsidRPr="0054733C">
        <w:t>μCi</w:t>
      </w:r>
      <w:proofErr w:type="spellEnd"/>
      <w:r w:rsidRPr="0054733C">
        <w:t xml:space="preserve">/mL </w:t>
      </w:r>
      <w:r w:rsidRPr="00991BF2">
        <w:rPr>
          <w:vertAlign w:val="superscript"/>
        </w:rPr>
        <w:t>3</w:t>
      </w:r>
      <w:r w:rsidRPr="0054733C">
        <w:t>HTdR) were injected into each test and control mouse via the tail vein and euthanized 5 hours later. Draining lymph nodes were rapidly excised and pooled per animal (2 nodes per animal). The ratio of proliferative response of the lymph node cells relative to the lymph nodes of control animals (Stimulation Index; S.</w:t>
      </w:r>
      <w:r w:rsidR="002B199A">
        <w:t xml:space="preserve">I.) was measured and recorded. </w:t>
      </w:r>
      <w:r>
        <w:t xml:space="preserve">No symptoms of systemic toxicity were observed during the study period. Slight irritation to the ear skin was observed at 25% on day 3 and 5 but not in animals treated with 5 and 10% </w:t>
      </w:r>
      <w:proofErr w:type="spellStart"/>
      <w:r>
        <w:t>grapiprant</w:t>
      </w:r>
      <w:proofErr w:type="spellEnd"/>
      <w:r>
        <w:t xml:space="preserve">. </w:t>
      </w:r>
      <w:r w:rsidRPr="002B76B8">
        <w:t xml:space="preserve">Stimulation Indices </w:t>
      </w:r>
      <w:r>
        <w:t xml:space="preserve">(S.I.) </w:t>
      </w:r>
      <w:r w:rsidRPr="002B76B8">
        <w:t>of 1.95, 2.77 and 2.41 were determined with the test item at</w:t>
      </w:r>
      <w:r>
        <w:t xml:space="preserve"> </w:t>
      </w:r>
      <w:r w:rsidRPr="002B76B8">
        <w:t>concentrations of 5, 10 and 25% in DMF</w:t>
      </w:r>
      <w:r>
        <w:t>, respectively</w:t>
      </w:r>
      <w:r w:rsidRPr="002B76B8">
        <w:t>. A dose response was not observed.</w:t>
      </w:r>
      <w:r w:rsidR="002B199A">
        <w:t xml:space="preserve"> </w:t>
      </w:r>
      <w:r>
        <w:t xml:space="preserve">The SI in this study </w:t>
      </w:r>
      <w:proofErr w:type="gramStart"/>
      <w:r>
        <w:t>are</w:t>
      </w:r>
      <w:proofErr w:type="gramEnd"/>
      <w:r>
        <w:t xml:space="preserve"> less than 3 thus </w:t>
      </w:r>
      <w:proofErr w:type="spellStart"/>
      <w:r>
        <w:t>grapiprant</w:t>
      </w:r>
      <w:proofErr w:type="spellEnd"/>
      <w:r>
        <w:t xml:space="preserve"> is not considered a skin sensitiser.</w:t>
      </w:r>
    </w:p>
    <w:p w:rsidR="00814520" w:rsidRPr="00FC1D06" w:rsidRDefault="00814520" w:rsidP="002B199A">
      <w:pPr>
        <w:pStyle w:val="Heading6"/>
        <w:rPr>
          <w:rFonts w:eastAsiaTheme="majorEastAsia"/>
        </w:rPr>
      </w:pPr>
      <w:r w:rsidRPr="00FC1D06">
        <w:t>Re</w:t>
      </w:r>
      <w:r w:rsidRPr="00FC1D06">
        <w:rPr>
          <w:rFonts w:eastAsiaTheme="majorEastAsia"/>
        </w:rPr>
        <w:t>peat-dose toxicity</w:t>
      </w:r>
    </w:p>
    <w:p w:rsidR="00814520" w:rsidRDefault="00814520" w:rsidP="0027091E">
      <w:r>
        <w:t>In repeat-dose oral (gavage) studies in mice, rats and dogs, the primary target organ was the gastrointestinal tract. In addition, cardiovascular changes were noted in dogs.</w:t>
      </w:r>
    </w:p>
    <w:p w:rsidR="00814520" w:rsidRDefault="00814520" w:rsidP="0027091E">
      <w:r w:rsidRPr="009648A2">
        <w:t>In</w:t>
      </w:r>
      <w:r>
        <w:t xml:space="preserve"> these studies, animals were treated once daily by oral gavage for durations of 10 days to 9 months with </w:t>
      </w:r>
      <w:proofErr w:type="spellStart"/>
      <w:r>
        <w:t>grapiprant</w:t>
      </w:r>
      <w:proofErr w:type="spellEnd"/>
      <w:r>
        <w:t xml:space="preserve"> doses up to 2000 mg/kg </w:t>
      </w:r>
      <w:proofErr w:type="spellStart"/>
      <w:r>
        <w:t>bw</w:t>
      </w:r>
      <w:proofErr w:type="spellEnd"/>
      <w:r>
        <w:t xml:space="preserve">/d. The main adverse findings were related to gastrointestinal effects, which increased in severity with increasing dose. </w:t>
      </w:r>
      <w:r w:rsidDel="007364D5">
        <w:t xml:space="preserve">Cardiovascular effects in dogs were noted at doses higher than 50 mg/kg </w:t>
      </w:r>
      <w:proofErr w:type="spellStart"/>
      <w:r w:rsidDel="007364D5">
        <w:t>bw</w:t>
      </w:r>
      <w:proofErr w:type="spellEnd"/>
      <w:r w:rsidDel="007364D5">
        <w:t xml:space="preserve">/d. </w:t>
      </w:r>
      <w:r>
        <w:t xml:space="preserve">At high doses, changes were observed in clinical chemistry parameters (e.g. decreases total protein, albumin, globulin and calcium) in all species, and in haematological parameters (e.g. decreased red blood cells and haematocrit) in rodents. The haematological effects were considered secondary to the gastrointestinal effects of </w:t>
      </w:r>
      <w:proofErr w:type="spellStart"/>
      <w:r>
        <w:t>grapiprant</w:t>
      </w:r>
      <w:proofErr w:type="spellEnd"/>
      <w:r>
        <w:t>, which at high doses in rodents lead to erosion/ulceration of the gastrointestinal epithelium resulting in blood loss. The NOAEL in mice and rats in 1 month repeat dose oral studies was 100 an</w:t>
      </w:r>
      <w:r w:rsidR="00E2432D">
        <w:t xml:space="preserve">d 400 mg/kg </w:t>
      </w:r>
      <w:proofErr w:type="spellStart"/>
      <w:r w:rsidR="00E2432D">
        <w:t>bw</w:t>
      </w:r>
      <w:proofErr w:type="spellEnd"/>
      <w:r w:rsidR="00E2432D">
        <w:t>/d, respectively.</w:t>
      </w:r>
    </w:p>
    <w:p w:rsidR="00814520" w:rsidRDefault="00814520" w:rsidP="0027091E">
      <w:r>
        <w:t xml:space="preserve">In the pivotal 9 month toxicity study in dogs, oral administration of 1, 6 or 50 mg/kg </w:t>
      </w:r>
      <w:proofErr w:type="spellStart"/>
      <w:r>
        <w:t>bw</w:t>
      </w:r>
      <w:proofErr w:type="spellEnd"/>
      <w:r>
        <w:t>/d was associated with mild gastrointestinal clinical signs (e.g. soft-formed faeces, faeces with mucous and occasionally blood present in the faeces) at all dose levels. The frequency of these adv</w:t>
      </w:r>
      <w:r w:rsidR="003238F6">
        <w:t xml:space="preserve">erse </w:t>
      </w:r>
      <w:r w:rsidR="003238F6">
        <w:lastRenderedPageBreak/>
        <w:t xml:space="preserve">effects was dose related. </w:t>
      </w:r>
      <w:r>
        <w:t xml:space="preserve">Mild and transient changes in clinical chemistry parameters (e.g. decreased serum albumin &amp; total protein) were mainly seen at the high dose, but were not associated with clinical signs. There were no treatment related effects on liver or kidney function, or gross or histopathological findings of the liver, kidney, stomach or in any coagulation parameters. The NOAEL in dogs in the 9 month repeat dose oral study was 6 mg/kg </w:t>
      </w:r>
      <w:proofErr w:type="spellStart"/>
      <w:r>
        <w:t>bw</w:t>
      </w:r>
      <w:proofErr w:type="spellEnd"/>
      <w:r>
        <w:t xml:space="preserve">/d due to gastrointestinal effects at 50 mg/kg </w:t>
      </w:r>
      <w:proofErr w:type="spellStart"/>
      <w:r>
        <w:t>bw</w:t>
      </w:r>
      <w:proofErr w:type="spellEnd"/>
      <w:r>
        <w:t>/d.</w:t>
      </w:r>
    </w:p>
    <w:p w:rsidR="00814520" w:rsidRPr="009648A2" w:rsidRDefault="00814520" w:rsidP="0027091E">
      <w:r>
        <w:t xml:space="preserve">In other dog toxicity studies, increased heart rate was seen at doses of 100 mg/kg </w:t>
      </w:r>
      <w:proofErr w:type="spellStart"/>
      <w:r>
        <w:t>bw</w:t>
      </w:r>
      <w:proofErr w:type="spellEnd"/>
      <w:r>
        <w:t xml:space="preserve">/d and higher; and increased </w:t>
      </w:r>
      <w:proofErr w:type="spellStart"/>
      <w:r>
        <w:t>QTc</w:t>
      </w:r>
      <w:proofErr w:type="spellEnd"/>
      <w:r>
        <w:t xml:space="preserve"> intervals were noted at doses of 300 mg/kg </w:t>
      </w:r>
      <w:proofErr w:type="spellStart"/>
      <w:r>
        <w:t>bw</w:t>
      </w:r>
      <w:proofErr w:type="spellEnd"/>
      <w:r>
        <w:t xml:space="preserve">/d. One death was recorded at 300 mg/kg </w:t>
      </w:r>
      <w:proofErr w:type="spellStart"/>
      <w:r>
        <w:t>bw</w:t>
      </w:r>
      <w:proofErr w:type="spellEnd"/>
      <w:r>
        <w:t>/d.</w:t>
      </w:r>
    </w:p>
    <w:p w:rsidR="00814520" w:rsidRPr="003238F6" w:rsidRDefault="003238F6" w:rsidP="003238F6">
      <w:pPr>
        <w:pStyle w:val="Heading6"/>
        <w:rPr>
          <w:rFonts w:eastAsiaTheme="majorEastAsia"/>
        </w:rPr>
      </w:pPr>
      <w:r w:rsidRPr="003238F6">
        <w:rPr>
          <w:rFonts w:eastAsiaTheme="majorEastAsia"/>
        </w:rPr>
        <w:t>Genotoxicity</w:t>
      </w:r>
    </w:p>
    <w:p w:rsidR="00814520" w:rsidRDefault="00814520" w:rsidP="0027091E">
      <w:proofErr w:type="spellStart"/>
      <w:r w:rsidRPr="004846A4">
        <w:t>Grapiprant</w:t>
      </w:r>
      <w:proofErr w:type="spellEnd"/>
      <w:r w:rsidRPr="004846A4">
        <w:t xml:space="preserve"> was tested for genotoxicity in an adequate range of </w:t>
      </w:r>
      <w:r w:rsidRPr="00FD2C60">
        <w:rPr>
          <w:i/>
        </w:rPr>
        <w:t>in vitro</w:t>
      </w:r>
      <w:r w:rsidRPr="004846A4">
        <w:t xml:space="preserve"> and </w:t>
      </w:r>
      <w:r w:rsidRPr="00FD2C60">
        <w:rPr>
          <w:i/>
        </w:rPr>
        <w:t>in vivo</w:t>
      </w:r>
      <w:r w:rsidRPr="004846A4">
        <w:t xml:space="preserve"> assays</w:t>
      </w:r>
      <w:r>
        <w:t>,</w:t>
      </w:r>
      <w:r w:rsidRPr="004846A4">
        <w:t xml:space="preserve"> and based on these studies </w:t>
      </w:r>
      <w:proofErr w:type="spellStart"/>
      <w:r w:rsidRPr="004846A4">
        <w:t>grapiprant</w:t>
      </w:r>
      <w:proofErr w:type="spellEnd"/>
      <w:r w:rsidRPr="004846A4">
        <w:t xml:space="preserve"> was not considered genotoxic.</w:t>
      </w:r>
    </w:p>
    <w:p w:rsidR="00814520" w:rsidRDefault="00814520" w:rsidP="00814520">
      <w:pPr>
        <w:pStyle w:val="Heading6"/>
        <w:rPr>
          <w:rFonts w:eastAsiaTheme="majorEastAsia"/>
        </w:rPr>
      </w:pPr>
      <w:r>
        <w:rPr>
          <w:rFonts w:eastAsiaTheme="majorEastAsia"/>
        </w:rPr>
        <w:t>Carcinogenicity</w:t>
      </w:r>
    </w:p>
    <w:p w:rsidR="00814520" w:rsidRPr="00DD6B60" w:rsidRDefault="00814520" w:rsidP="0027091E">
      <w:r>
        <w:t xml:space="preserve">No carcinogenicity data were provided, consistent with the APVMA’s data guidance for chemicals/substances that are not to be used in food-producing animal species. Moreover, as there was a lack of genotoxic potential and a lack of relevant neoplastic lesions in repeat dose toxicity studies, it was concluded that </w:t>
      </w:r>
      <w:proofErr w:type="spellStart"/>
      <w:r>
        <w:t>grapiprant</w:t>
      </w:r>
      <w:proofErr w:type="spellEnd"/>
      <w:r>
        <w:t xml:space="preserve"> did not pose a carcinogenic risk to humans.</w:t>
      </w:r>
    </w:p>
    <w:p w:rsidR="00814520" w:rsidRDefault="00814520" w:rsidP="003238F6">
      <w:pPr>
        <w:pStyle w:val="Heading6"/>
        <w:rPr>
          <w:rFonts w:eastAsiaTheme="majorEastAsia"/>
        </w:rPr>
      </w:pPr>
      <w:r>
        <w:rPr>
          <w:rFonts w:eastAsiaTheme="majorEastAsia"/>
        </w:rPr>
        <w:t xml:space="preserve">Reproduction and </w:t>
      </w:r>
      <w:r w:rsidRPr="003238F6">
        <w:rPr>
          <w:rFonts w:eastAsiaTheme="majorEastAsia"/>
        </w:rPr>
        <w:t>developmental</w:t>
      </w:r>
      <w:r>
        <w:rPr>
          <w:rFonts w:eastAsiaTheme="majorEastAsia"/>
        </w:rPr>
        <w:t xml:space="preserve"> toxicity</w:t>
      </w:r>
    </w:p>
    <w:p w:rsidR="00814520" w:rsidRPr="00DD6B60" w:rsidRDefault="00814520" w:rsidP="0027091E">
      <w:pPr>
        <w:rPr>
          <w:lang w:eastAsia="de-DE"/>
        </w:rPr>
      </w:pPr>
      <w:r w:rsidRPr="002F6EEA">
        <w:t xml:space="preserve">In a reproductive toxicity study, rats (25/sex/dose) were administered 0, 100, 300 or 1000 mg/kg </w:t>
      </w:r>
      <w:proofErr w:type="spellStart"/>
      <w:r w:rsidRPr="002F6EEA">
        <w:t>bw</w:t>
      </w:r>
      <w:proofErr w:type="spellEnd"/>
      <w:r w:rsidRPr="002F6EEA">
        <w:t xml:space="preserve">/d </w:t>
      </w:r>
      <w:proofErr w:type="spellStart"/>
      <w:r w:rsidRPr="002F6EEA">
        <w:t>grapiprant</w:t>
      </w:r>
      <w:proofErr w:type="spellEnd"/>
      <w:r w:rsidRPr="002F6EEA">
        <w:t xml:space="preserve"> in 0.5% methylcellulose (male dosed 4 weeks prior and during mating, females 2 weeks prior to mating until gestation day 7). Males were sacrificed and necropsied 8-9 weeks after start of dosing, and successfully mated females on gestation day (GD 15). There were two deaths (1/sex) in the high dose group that were associated with gastrointestinal tract toxicity. There were n</w:t>
      </w:r>
      <w:r w:rsidRPr="002F6EEA">
        <w:rPr>
          <w:lang w:eastAsia="de-DE"/>
        </w:rPr>
        <w:t>o significant effects on body weight, feed consumption, fertility, sperm (concentration, motility or morphology) or reproductive organ weights although clinical signs (gastrointestinal tract distress) w</w:t>
      </w:r>
      <w:r>
        <w:rPr>
          <w:lang w:eastAsia="de-DE"/>
        </w:rPr>
        <w:t>ere</w:t>
      </w:r>
      <w:r w:rsidRPr="002F6EEA">
        <w:rPr>
          <w:lang w:eastAsia="de-DE"/>
        </w:rPr>
        <w:t xml:space="preserve"> observed. The NOAEL for reproductive toxicity was 1000 mg/kg </w:t>
      </w:r>
      <w:proofErr w:type="spellStart"/>
      <w:r w:rsidRPr="002F6EEA">
        <w:rPr>
          <w:lang w:eastAsia="de-DE"/>
        </w:rPr>
        <w:t>bw</w:t>
      </w:r>
      <w:proofErr w:type="spellEnd"/>
      <w:r w:rsidRPr="002F6EEA">
        <w:rPr>
          <w:lang w:eastAsia="de-DE"/>
        </w:rPr>
        <w:t>/d, the highest dose tested</w:t>
      </w:r>
      <w:r>
        <w:rPr>
          <w:lang w:eastAsia="de-DE"/>
        </w:rPr>
        <w:t>.</w:t>
      </w:r>
    </w:p>
    <w:p w:rsidR="00814520" w:rsidRPr="0054733C" w:rsidRDefault="00814520" w:rsidP="0027091E">
      <w:r w:rsidRPr="009C36A3">
        <w:rPr>
          <w:lang w:val="en-US"/>
        </w:rPr>
        <w:t xml:space="preserve">In an </w:t>
      </w:r>
      <w:r w:rsidRPr="009C36A3">
        <w:rPr>
          <w:rFonts w:eastAsia="Times New Roman"/>
        </w:rPr>
        <w:t>embryo-foetal toxicity study, rats</w:t>
      </w:r>
      <w:r>
        <w:rPr>
          <w:rFonts w:eastAsia="Times New Roman"/>
        </w:rPr>
        <w:t xml:space="preserve"> (25 females/dose)</w:t>
      </w:r>
      <w:r w:rsidRPr="009C36A3">
        <w:rPr>
          <w:rFonts w:eastAsia="Times New Roman"/>
        </w:rPr>
        <w:t xml:space="preserve"> were administered</w:t>
      </w:r>
      <w:r w:rsidRPr="009C36A3">
        <w:rPr>
          <w:lang w:val="en-US"/>
        </w:rPr>
        <w:t xml:space="preserve"> 0, 100, 300 or </w:t>
      </w:r>
      <w:r>
        <w:rPr>
          <w:lang w:val="en-US"/>
        </w:rPr>
        <w:t xml:space="preserve">1000 mg/kg </w:t>
      </w:r>
      <w:proofErr w:type="spellStart"/>
      <w:proofErr w:type="gramStart"/>
      <w:r>
        <w:rPr>
          <w:lang w:val="en-US"/>
        </w:rPr>
        <w:t>bw</w:t>
      </w:r>
      <w:proofErr w:type="spellEnd"/>
      <w:proofErr w:type="gramEnd"/>
      <w:r>
        <w:rPr>
          <w:lang w:val="en-US"/>
        </w:rPr>
        <w:t xml:space="preserve"> /d </w:t>
      </w:r>
      <w:proofErr w:type="spellStart"/>
      <w:r>
        <w:rPr>
          <w:lang w:val="en-US"/>
        </w:rPr>
        <w:t>grapiprant</w:t>
      </w:r>
      <w:proofErr w:type="spellEnd"/>
      <w:r>
        <w:rPr>
          <w:lang w:val="en-US"/>
        </w:rPr>
        <w:t xml:space="preserve"> in </w:t>
      </w:r>
      <w:r w:rsidRPr="002F6EEA">
        <w:rPr>
          <w:rFonts w:eastAsia="Times New Roman"/>
        </w:rPr>
        <w:t>0.5% methylcellulose</w:t>
      </w:r>
      <w:r w:rsidRPr="009C36A3">
        <w:rPr>
          <w:lang w:val="en-US"/>
        </w:rPr>
        <w:t xml:space="preserve"> vehicle from gestation d</w:t>
      </w:r>
      <w:r>
        <w:rPr>
          <w:lang w:val="en-US"/>
        </w:rPr>
        <w:t>ay (GD) 6 t</w:t>
      </w:r>
      <w:r w:rsidRPr="009C36A3">
        <w:rPr>
          <w:lang w:val="en-US"/>
        </w:rPr>
        <w:t>o 15. Animals were sacrificed on GD21. T</w:t>
      </w:r>
      <w:r>
        <w:rPr>
          <w:rFonts w:eastAsia="Times New Roman"/>
          <w:lang w:eastAsia="de-DE"/>
        </w:rPr>
        <w:t>here were</w:t>
      </w:r>
      <w:r w:rsidRPr="009C36A3">
        <w:rPr>
          <w:rFonts w:eastAsia="Times New Roman"/>
          <w:lang w:eastAsia="de-DE"/>
        </w:rPr>
        <w:t xml:space="preserve"> no test article-related effects on developmental toxicity, implantation o</w:t>
      </w:r>
      <w:r>
        <w:rPr>
          <w:rFonts w:eastAsia="Times New Roman"/>
          <w:lang w:eastAsia="de-DE"/>
        </w:rPr>
        <w:t xml:space="preserve">r embryo survival, sex ratio, </w:t>
      </w:r>
      <w:proofErr w:type="spellStart"/>
      <w:r>
        <w:rPr>
          <w:rFonts w:eastAsia="Times New Roman"/>
          <w:lang w:eastAsia="de-DE"/>
        </w:rPr>
        <w:t>f</w:t>
      </w:r>
      <w:r w:rsidRPr="009C36A3">
        <w:rPr>
          <w:rFonts w:eastAsia="Times New Roman"/>
          <w:lang w:eastAsia="de-DE"/>
        </w:rPr>
        <w:t>etal</w:t>
      </w:r>
      <w:proofErr w:type="spellEnd"/>
      <w:r w:rsidRPr="009C36A3">
        <w:rPr>
          <w:rFonts w:eastAsia="Times New Roman"/>
          <w:lang w:eastAsia="de-DE"/>
        </w:rPr>
        <w:t xml:space="preserve"> weight or any other related parameters at the highest dose tested. The NOAEL for</w:t>
      </w:r>
      <w:r>
        <w:rPr>
          <w:rFonts w:eastAsia="Times New Roman"/>
          <w:lang w:eastAsia="de-DE"/>
        </w:rPr>
        <w:t xml:space="preserve"> maternal toxicity and embryo-</w:t>
      </w:r>
      <w:proofErr w:type="spellStart"/>
      <w:r>
        <w:rPr>
          <w:rFonts w:eastAsia="Times New Roman"/>
          <w:lang w:eastAsia="de-DE"/>
        </w:rPr>
        <w:t>f</w:t>
      </w:r>
      <w:r w:rsidRPr="009C36A3">
        <w:rPr>
          <w:rFonts w:eastAsia="Times New Roman"/>
          <w:lang w:eastAsia="de-DE"/>
        </w:rPr>
        <w:t>etal</w:t>
      </w:r>
      <w:proofErr w:type="spellEnd"/>
      <w:r w:rsidRPr="009C36A3">
        <w:rPr>
          <w:rFonts w:eastAsia="Times New Roman"/>
          <w:lang w:eastAsia="de-DE"/>
        </w:rPr>
        <w:t xml:space="preserve"> toxicity was 1000 mg/kg </w:t>
      </w:r>
      <w:proofErr w:type="spellStart"/>
      <w:r w:rsidRPr="009C36A3">
        <w:rPr>
          <w:rFonts w:eastAsia="Times New Roman"/>
          <w:lang w:eastAsia="de-DE"/>
        </w:rPr>
        <w:t>bw</w:t>
      </w:r>
      <w:proofErr w:type="spellEnd"/>
      <w:r w:rsidRPr="009C36A3">
        <w:rPr>
          <w:rFonts w:eastAsia="Times New Roman"/>
          <w:lang w:eastAsia="de-DE"/>
        </w:rPr>
        <w:t>/day, the highest dose tested</w:t>
      </w:r>
      <w:r w:rsidR="00C80B60">
        <w:rPr>
          <w:rFonts w:eastAsia="Times New Roman"/>
          <w:lang w:eastAsia="de-DE"/>
        </w:rPr>
        <w:t>.</w:t>
      </w:r>
    </w:p>
    <w:p w:rsidR="00814520" w:rsidRDefault="00814520" w:rsidP="003238F6">
      <w:pPr>
        <w:pStyle w:val="Heading6"/>
        <w:rPr>
          <w:rFonts w:eastAsiaTheme="majorEastAsia"/>
        </w:rPr>
      </w:pPr>
      <w:r>
        <w:rPr>
          <w:rFonts w:eastAsiaTheme="majorEastAsia"/>
        </w:rPr>
        <w:t xml:space="preserve">Observation in </w:t>
      </w:r>
      <w:r w:rsidRPr="003238F6">
        <w:rPr>
          <w:rFonts w:eastAsiaTheme="majorEastAsia"/>
        </w:rPr>
        <w:t>humans</w:t>
      </w:r>
    </w:p>
    <w:p w:rsidR="00814520" w:rsidRDefault="00814520" w:rsidP="0027091E">
      <w:r>
        <w:t xml:space="preserve">Trials in humans (three phase 1 trials in health volunteers and one phase 2a in adults with osteoarthritis in the knee) were undertaken as part of a human drug development program. In these studies, </w:t>
      </w:r>
      <w:proofErr w:type="spellStart"/>
      <w:r>
        <w:t>grapiprant</w:t>
      </w:r>
      <w:proofErr w:type="spellEnd"/>
      <w:r>
        <w:t xml:space="preserve"> was administered orally as single dose of 1 to 2000 mg/person or as twice daily doses of 50 to 300 mg/person over a 14 day period. </w:t>
      </w:r>
      <w:proofErr w:type="spellStart"/>
      <w:r>
        <w:t>Grapiprant</w:t>
      </w:r>
      <w:proofErr w:type="spellEnd"/>
      <w:r>
        <w:t xml:space="preserve"> was generally well tolerated and adverse events were mild in intensity and included: abdominal pain, chest pain, nausea and gastrointestinal effects. The incidence of gastrointestinal effects increased with increasing dose following repeated administration of 50 and 250 mg/person twice daily. Serious individual adverse effects were reported after administration of a single oral dose of 1500 mg/person (elevated serum creatinine and blood urea nitrogen) and after administration of repeated doses of 150 mg/person (decreased haemoglobin and haematocrit; and gastrointestinal haemorrhage) (EMA, 2018).</w:t>
      </w:r>
    </w:p>
    <w:p w:rsidR="00814520" w:rsidRPr="00BB01FA" w:rsidRDefault="00814520" w:rsidP="00BB01FA">
      <w:pPr>
        <w:pStyle w:val="Heading4"/>
      </w:pPr>
      <w:bookmarkStart w:id="5" w:name="_Toc6403897"/>
      <w:bookmarkStart w:id="6" w:name="_Toc8656087"/>
      <w:r w:rsidRPr="00BB01FA">
        <w:lastRenderedPageBreak/>
        <w:t>1.2</w:t>
      </w:r>
      <w:r w:rsidR="00896866">
        <w:t xml:space="preserve">. </w:t>
      </w:r>
      <w:proofErr w:type="spellStart"/>
      <w:r w:rsidRPr="00BB01FA">
        <w:t>Spiropidion</w:t>
      </w:r>
      <w:bookmarkEnd w:id="5"/>
      <w:bookmarkEnd w:id="6"/>
      <w:proofErr w:type="spellEnd"/>
    </w:p>
    <w:p w:rsidR="00814520" w:rsidRPr="0019029E" w:rsidRDefault="00814520" w:rsidP="00BB01FA">
      <w:pPr>
        <w:pStyle w:val="Heading5"/>
      </w:pPr>
      <w:r w:rsidRPr="00BB01FA">
        <w:t>Delegate’s</w:t>
      </w:r>
      <w:r>
        <w:t xml:space="preserve"> final decision</w:t>
      </w:r>
    </w:p>
    <w:tbl>
      <w:tblPr>
        <w:tblStyle w:val="TableGrid"/>
        <w:tblW w:w="9286" w:type="dxa"/>
        <w:tblInd w:w="108" w:type="dxa"/>
        <w:tblBorders>
          <w:top w:val="single" w:sz="12" w:space="0" w:color="002C47" w:themeColor="text1"/>
          <w:left w:val="single" w:sz="12" w:space="0" w:color="002C47" w:themeColor="text1"/>
          <w:bottom w:val="single" w:sz="12" w:space="0" w:color="002C47" w:themeColor="text1"/>
          <w:right w:val="single" w:sz="12" w:space="0" w:color="002C47" w:themeColor="text1"/>
          <w:insideH w:val="single" w:sz="12" w:space="0" w:color="002C47" w:themeColor="text1"/>
          <w:insideV w:val="single" w:sz="12" w:space="0" w:color="002C47" w:themeColor="text1"/>
        </w:tblBorders>
        <w:tblLook w:val="04A0" w:firstRow="1" w:lastRow="0" w:firstColumn="1" w:lastColumn="0" w:noHBand="0" w:noVBand="1"/>
      </w:tblPr>
      <w:tblGrid>
        <w:gridCol w:w="9286"/>
      </w:tblGrid>
      <w:tr w:rsidR="00814520" w:rsidTr="00E35544">
        <w:tc>
          <w:tcPr>
            <w:tcW w:w="9286" w:type="dxa"/>
            <w:shd w:val="clear" w:color="auto" w:fill="D2EDFF" w:themeFill="text2" w:themeFillTint="1A"/>
          </w:tcPr>
          <w:p w:rsidR="00814520" w:rsidRDefault="00814520" w:rsidP="00BB01FA">
            <w:pPr>
              <w:pStyle w:val="Heading6"/>
            </w:pPr>
            <w:r>
              <w:t xml:space="preserve">Final </w:t>
            </w:r>
            <w:r w:rsidRPr="00BB01FA">
              <w:t>decision</w:t>
            </w:r>
          </w:p>
          <w:p w:rsidR="00814520" w:rsidRPr="003D0981" w:rsidRDefault="00814520" w:rsidP="0027091E">
            <w:r w:rsidRPr="00C33CB0">
              <w:t>The delegate's final decision under regulation 42ZCZU</w:t>
            </w:r>
            <w:r w:rsidRPr="00C33CB0">
              <w:rPr>
                <w:bCs/>
                <w:lang w:val="en-US"/>
              </w:rPr>
              <w:t xml:space="preserve"> </w:t>
            </w:r>
            <w:r w:rsidR="00BB01FA">
              <w:t xml:space="preserve">of the </w:t>
            </w:r>
            <w:r w:rsidRPr="00C33CB0">
              <w:rPr>
                <w:i/>
                <w:iCs/>
              </w:rPr>
              <w:t xml:space="preserve">Therapeutic Goods Regulations 1990 </w:t>
            </w:r>
            <w:r w:rsidRPr="00C33CB0">
              <w:t>(the Regulations) is to amend the current Poisons Standard in relation to</w:t>
            </w:r>
            <w:r>
              <w:t xml:space="preserve"> </w:t>
            </w:r>
            <w:proofErr w:type="spellStart"/>
            <w:r>
              <w:t>s</w:t>
            </w:r>
            <w:r w:rsidRPr="003D0981">
              <w:t>piropidion</w:t>
            </w:r>
            <w:proofErr w:type="spellEnd"/>
            <w:r>
              <w:t xml:space="preserve"> as follows:</w:t>
            </w:r>
          </w:p>
          <w:p w:rsidR="00814520" w:rsidRPr="00591BDB" w:rsidRDefault="00814520" w:rsidP="00BB01FA">
            <w:pPr>
              <w:ind w:left="426"/>
              <w:rPr>
                <w:b/>
              </w:rPr>
            </w:pPr>
            <w:r w:rsidRPr="00591BDB">
              <w:rPr>
                <w:b/>
              </w:rPr>
              <w:t xml:space="preserve">Schedule </w:t>
            </w:r>
            <w:r>
              <w:rPr>
                <w:b/>
              </w:rPr>
              <w:t>6</w:t>
            </w:r>
            <w:r w:rsidRPr="00591BDB">
              <w:rPr>
                <w:b/>
              </w:rPr>
              <w:t xml:space="preserve"> – New entry</w:t>
            </w:r>
          </w:p>
          <w:p w:rsidR="00814520" w:rsidRDefault="00814520" w:rsidP="00BB01FA">
            <w:pPr>
              <w:ind w:left="426"/>
              <w:rPr>
                <w:color w:val="FF0000"/>
              </w:rPr>
            </w:pPr>
            <w:r>
              <w:rPr>
                <w:color w:val="FF0000"/>
              </w:rPr>
              <w:t>SPIROPIDION</w:t>
            </w:r>
          </w:p>
          <w:p w:rsidR="00814520" w:rsidRPr="003D0981" w:rsidRDefault="00E525F5" w:rsidP="00BB01FA">
            <w:pPr>
              <w:ind w:left="426"/>
              <w:rPr>
                <w:b/>
              </w:rPr>
            </w:pPr>
            <w:r>
              <w:rPr>
                <w:b/>
              </w:rPr>
              <w:t>Index – New Entry</w:t>
            </w:r>
          </w:p>
          <w:p w:rsidR="00814520" w:rsidRPr="004652D6" w:rsidRDefault="00814520" w:rsidP="00BB01FA">
            <w:pPr>
              <w:ind w:left="426"/>
              <w:rPr>
                <w:b/>
                <w:color w:val="FF0000"/>
              </w:rPr>
            </w:pPr>
            <w:r w:rsidRPr="004652D6">
              <w:rPr>
                <w:b/>
                <w:color w:val="FF0000"/>
              </w:rPr>
              <w:t>SPIROPIDION</w:t>
            </w:r>
          </w:p>
          <w:p w:rsidR="00814520" w:rsidRPr="00382B46" w:rsidRDefault="00814520" w:rsidP="00BB01FA">
            <w:pPr>
              <w:ind w:left="426"/>
              <w:rPr>
                <w:color w:val="FF0000"/>
              </w:rPr>
            </w:pPr>
            <w:r>
              <w:rPr>
                <w:color w:val="FF0000"/>
              </w:rPr>
              <w:t>Schedule 6</w:t>
            </w:r>
          </w:p>
          <w:p w:rsidR="00814520" w:rsidRPr="00043015" w:rsidRDefault="00814520" w:rsidP="00814520">
            <w:pPr>
              <w:pStyle w:val="Heading6"/>
            </w:pPr>
            <w:r>
              <w:t xml:space="preserve">Implementation date: </w:t>
            </w:r>
            <w:r w:rsidR="00EE2B93">
              <w:rPr>
                <w:b w:val="0"/>
              </w:rPr>
              <w:t>1 June 2019</w:t>
            </w:r>
          </w:p>
          <w:p w:rsidR="00814520" w:rsidRPr="004B2F35" w:rsidRDefault="00814520" w:rsidP="00445E77">
            <w:pPr>
              <w:pStyle w:val="Heading6"/>
            </w:pPr>
            <w:r w:rsidRPr="004B2F35">
              <w:t>Delegate’s considerations</w:t>
            </w:r>
          </w:p>
          <w:p w:rsidR="00814520" w:rsidRPr="004B2F35" w:rsidRDefault="00814520" w:rsidP="00EE2B93">
            <w:pPr>
              <w:pStyle w:val="ListBullet"/>
            </w:pPr>
            <w:r w:rsidRPr="004B2F35">
              <w:t xml:space="preserve">The </w:t>
            </w:r>
            <w:hyperlink w:anchor="_Applicant’s_scheduling_proposal_1" w:history="1">
              <w:r w:rsidRPr="004B2F35">
                <w:rPr>
                  <w:rStyle w:val="Hyperlink"/>
                </w:rPr>
                <w:t>application</w:t>
              </w:r>
            </w:hyperlink>
            <w:r w:rsidRPr="004B2F35">
              <w:t xml:space="preserve"> to </w:t>
            </w:r>
            <w:r w:rsidRPr="00EE2B93">
              <w:t>amend</w:t>
            </w:r>
            <w:r w:rsidRPr="004B2F35">
              <w:t xml:space="preserve"> the current Poisons Standard with respect to </w:t>
            </w:r>
            <w:proofErr w:type="spellStart"/>
            <w:r w:rsidRPr="004B2F35">
              <w:t>spiropidion</w:t>
            </w:r>
            <w:proofErr w:type="spellEnd"/>
            <w:r>
              <w:rPr>
                <w:u w:val="single"/>
              </w:rPr>
              <w:t>;</w:t>
            </w:r>
          </w:p>
          <w:p w:rsidR="00814520" w:rsidRPr="004B2F35" w:rsidRDefault="00814520" w:rsidP="00814520">
            <w:pPr>
              <w:pStyle w:val="ListBullet"/>
              <w:numPr>
                <w:ilvl w:val="0"/>
                <w:numId w:val="1"/>
              </w:numPr>
            </w:pPr>
            <w:r w:rsidRPr="004B2F35">
              <w:t xml:space="preserve">The Australian Health Ministers’ Advisory Council’s </w:t>
            </w:r>
            <w:hyperlink r:id="rId18" w:history="1">
              <w:r w:rsidRPr="004B2F35">
                <w:rPr>
                  <w:rStyle w:val="Hyperlink"/>
                </w:rPr>
                <w:t>Scheduling Policy Framework</w:t>
              </w:r>
            </w:hyperlink>
            <w:r w:rsidRPr="004B2F35">
              <w:t xml:space="preserve"> (SPF</w:t>
            </w:r>
            <w:r w:rsidR="0027091E">
              <w:t> </w:t>
            </w:r>
            <w:r w:rsidRPr="004B2F35">
              <w:t>2018); and</w:t>
            </w:r>
          </w:p>
          <w:p w:rsidR="00814520" w:rsidRPr="004B2F35" w:rsidRDefault="00814520" w:rsidP="0027091E">
            <w:pPr>
              <w:pStyle w:val="ListBullet"/>
            </w:pPr>
            <w:r w:rsidRPr="004B2F35">
              <w:t xml:space="preserve">Section 52E of the </w:t>
            </w:r>
            <w:r w:rsidRPr="004B2F35">
              <w:rPr>
                <w:i/>
              </w:rPr>
              <w:t>Therapeutic Goods Act 1989</w:t>
            </w:r>
            <w:r w:rsidRPr="004B2F35">
              <w:t xml:space="preserve">, in particular: (a) the risks and benefits of the use of a substance; (b) the purposes for which a </w:t>
            </w:r>
            <w:r w:rsidRPr="0027091E">
              <w:t>substance</w:t>
            </w:r>
            <w:r w:rsidRPr="004B2F35">
              <w:t xml:space="preserve"> is to be used and the extent of use of a substance; (c) the toxicity of a substance; and (f) any other matters that the </w:t>
            </w:r>
            <w:r w:rsidRPr="0027091E">
              <w:t>Secretary</w:t>
            </w:r>
            <w:r w:rsidRPr="004B2F35">
              <w:t xml:space="preserve"> considers necessary to protect public health.</w:t>
            </w:r>
          </w:p>
          <w:p w:rsidR="00814520" w:rsidRDefault="00814520" w:rsidP="00EE2B93">
            <w:pPr>
              <w:pStyle w:val="Heading6"/>
            </w:pPr>
            <w:r w:rsidRPr="00EE2B93">
              <w:t>Reasons</w:t>
            </w:r>
          </w:p>
          <w:p w:rsidR="00814520" w:rsidRPr="00043015" w:rsidRDefault="00814520" w:rsidP="0027091E">
            <w:r w:rsidRPr="00B93717">
              <w:t xml:space="preserve">The matters </w:t>
            </w:r>
            <w:r w:rsidR="00EE2B93">
              <w:t xml:space="preserve">under subsection 52E (1) of the </w:t>
            </w:r>
            <w:r w:rsidRPr="00B93717">
              <w:rPr>
                <w:i/>
                <w:iCs/>
              </w:rPr>
              <w:t>Therapeutic Goods Act 1989</w:t>
            </w:r>
            <w:r w:rsidR="00EE2B93">
              <w:t xml:space="preserve"> </w:t>
            </w:r>
            <w:r w:rsidRPr="00B93717">
              <w:t>considered relevant by the delegate for the decision include:</w:t>
            </w:r>
          </w:p>
          <w:p w:rsidR="00814520" w:rsidRDefault="00814520" w:rsidP="009C59D7">
            <w:pPr>
              <w:pStyle w:val="Numberbullet2-52E1reasons"/>
              <w:numPr>
                <w:ilvl w:val="0"/>
                <w:numId w:val="47"/>
              </w:numPr>
            </w:pPr>
            <w:r w:rsidRPr="003B0767">
              <w:t>the risks and benefits of the use of a substance:</w:t>
            </w:r>
          </w:p>
          <w:p w:rsidR="00814520" w:rsidRDefault="00814520" w:rsidP="0027091E">
            <w:proofErr w:type="spellStart"/>
            <w:r>
              <w:t>Spiropidion</w:t>
            </w:r>
            <w:proofErr w:type="spellEnd"/>
            <w:r>
              <w:t xml:space="preserve"> is a new tetrameric acid derivative insecticide from the group of chemicals that inhibit acety</w:t>
            </w:r>
            <w:r w:rsidR="00EE2B93">
              <w:t>l co-enzyme (CoA) carboxylase.</w:t>
            </w:r>
          </w:p>
          <w:p w:rsidR="00814520" w:rsidRDefault="00814520" w:rsidP="0027091E">
            <w:proofErr w:type="spellStart"/>
            <w:r>
              <w:t>Spiropidion</w:t>
            </w:r>
            <w:proofErr w:type="spellEnd"/>
            <w:r>
              <w:t xml:space="preserve"> is a ‘pro-pesticide’, being rapidly metabolised to the active form in plants and animals.</w:t>
            </w:r>
          </w:p>
          <w:p w:rsidR="00814520" w:rsidRPr="003B0767" w:rsidRDefault="00814520" w:rsidP="0027091E">
            <w:r>
              <w:t xml:space="preserve">In a local lymph node assay (LLNA) test, </w:t>
            </w:r>
            <w:proofErr w:type="spellStart"/>
            <w:r>
              <w:t>spiropidion</w:t>
            </w:r>
            <w:proofErr w:type="spellEnd"/>
            <w:r>
              <w:t xml:space="preserve"> was a skin sensitiser at low concentrations (~0.4%).</w:t>
            </w:r>
          </w:p>
          <w:p w:rsidR="00814520" w:rsidRPr="00776F6A" w:rsidRDefault="00814520" w:rsidP="009C59D7">
            <w:pPr>
              <w:pStyle w:val="Numberbullet2-52E1reasons"/>
            </w:pPr>
            <w:r>
              <w:t xml:space="preserve">the </w:t>
            </w:r>
            <w:r w:rsidRPr="000046FA">
              <w:t>purposes</w:t>
            </w:r>
            <w:r>
              <w:t xml:space="preserve"> for which a substance is to be used and the extent of use of a substance:</w:t>
            </w:r>
          </w:p>
          <w:p w:rsidR="00814520" w:rsidRPr="00776F6A" w:rsidRDefault="00814520" w:rsidP="0027091E">
            <w:proofErr w:type="spellStart"/>
            <w:r>
              <w:t>Spiropidion</w:t>
            </w:r>
            <w:proofErr w:type="spellEnd"/>
            <w:r>
              <w:t xml:space="preserve"> is a new active constituent for use in agricultural chemical products. However, currently there are no APVMA-approved agricultural chemical products containing </w:t>
            </w:r>
            <w:proofErr w:type="spellStart"/>
            <w:r>
              <w:t>spiropidon</w:t>
            </w:r>
            <w:proofErr w:type="spellEnd"/>
            <w:r>
              <w:t>.</w:t>
            </w:r>
          </w:p>
          <w:p w:rsidR="00814520" w:rsidRPr="007900C2" w:rsidRDefault="00814520" w:rsidP="009C59D7">
            <w:pPr>
              <w:pStyle w:val="Numberbullet2-52E1reasons"/>
            </w:pPr>
            <w:r w:rsidRPr="00704EDD">
              <w:t>the toxicity of a substance:</w:t>
            </w:r>
          </w:p>
          <w:p w:rsidR="00814520" w:rsidRPr="0016530E" w:rsidRDefault="00814520" w:rsidP="0027091E">
            <w:pPr>
              <w:rPr>
                <w:rFonts w:eastAsiaTheme="majorEastAsia"/>
              </w:rPr>
            </w:pPr>
            <w:proofErr w:type="spellStart"/>
            <w:r>
              <w:t>Spiropidion</w:t>
            </w:r>
            <w:proofErr w:type="spellEnd"/>
            <w:r>
              <w:t xml:space="preserve"> has very low acute toxicity by the oral route and low acute toxicity by the dermal route and moderate acute inhalational toxicity. The substance was not a skin or eye irritant but caused a modest degree of skin sensitisation in the local</w:t>
            </w:r>
            <w:r w:rsidR="00EE2B93">
              <w:t xml:space="preserve"> lymph node assay in the mouse.</w:t>
            </w:r>
          </w:p>
          <w:p w:rsidR="00814520" w:rsidRPr="0016530E" w:rsidRDefault="00814520" w:rsidP="0068115D">
            <w:pPr>
              <w:rPr>
                <w:rFonts w:eastAsiaTheme="majorEastAsia"/>
              </w:rPr>
            </w:pPr>
            <w:r>
              <w:lastRenderedPageBreak/>
              <w:t xml:space="preserve">The new active constituent is not a reproductive or developmental </w:t>
            </w:r>
            <w:proofErr w:type="gramStart"/>
            <w:r>
              <w:t>toxin,</w:t>
            </w:r>
            <w:proofErr w:type="gramEnd"/>
            <w:r>
              <w:t xml:space="preserve"> it is not genotoxic in a battery of </w:t>
            </w:r>
            <w:r>
              <w:rPr>
                <w:i/>
              </w:rPr>
              <w:t>in vivo</w:t>
            </w:r>
            <w:r>
              <w:t xml:space="preserve"> and </w:t>
            </w:r>
            <w:r>
              <w:rPr>
                <w:i/>
              </w:rPr>
              <w:t>in vitro</w:t>
            </w:r>
            <w:r>
              <w:t xml:space="preserve"> assays and was not carcinogenic in life ti</w:t>
            </w:r>
            <w:r w:rsidR="00EE2B93">
              <w:t>me studies in mice and rats.</w:t>
            </w:r>
          </w:p>
          <w:p w:rsidR="00814520" w:rsidRPr="00C25E03" w:rsidRDefault="00814520" w:rsidP="0068115D">
            <w:pPr>
              <w:rPr>
                <w:rFonts w:eastAsiaTheme="majorEastAsia"/>
              </w:rPr>
            </w:pPr>
            <w:r>
              <w:t xml:space="preserve">In repeat-dose toxicity studies, there was a treatment-related incidence of adverse clinical signs consistent with </w:t>
            </w:r>
            <w:r w:rsidR="00EE2B93">
              <w:t>being associated with seizures/t</w:t>
            </w:r>
            <w:r>
              <w:t>remors and/or convulsions in several studies, although the observations were not associated with any gross</w:t>
            </w:r>
            <w:r w:rsidR="00EE2B93">
              <w:t xml:space="preserve"> or histopathological changes. </w:t>
            </w:r>
            <w:r>
              <w:t>Decreased bodyweights, bodyweight gains and in some cases, food consumption were present at lower doses than associated with the adverse clinical signs and may be attributable to pharmacological toxicity. The adverse clinical signs observed were of sufficient severity to warrant premature sacrifice in the majority of occurrences.</w:t>
            </w:r>
          </w:p>
          <w:p w:rsidR="00814520" w:rsidRDefault="00814520" w:rsidP="009C59D7">
            <w:pPr>
              <w:pStyle w:val="Numberbullet2-52E1reasons"/>
            </w:pPr>
            <w:r w:rsidRPr="00704EDD">
              <w:t>the dosage, formulation, labelling, packaging and presentation of a substance:</w:t>
            </w:r>
          </w:p>
          <w:p w:rsidR="00814520" w:rsidRDefault="00814520" w:rsidP="00814520">
            <w:r>
              <w:t>Nil.</w:t>
            </w:r>
          </w:p>
          <w:p w:rsidR="00814520" w:rsidRDefault="00814520" w:rsidP="009C59D7">
            <w:pPr>
              <w:pStyle w:val="Numberbullet2-52E1reasons"/>
            </w:pPr>
            <w:r w:rsidRPr="000046FA">
              <w:t>the potential for abuse of a substance</w:t>
            </w:r>
            <w:r>
              <w:t>:</w:t>
            </w:r>
          </w:p>
          <w:p w:rsidR="00814520" w:rsidRPr="0043670B" w:rsidRDefault="00814520" w:rsidP="00814520">
            <w:r w:rsidRPr="007900C2">
              <w:t>Nil.</w:t>
            </w:r>
          </w:p>
          <w:p w:rsidR="00814520" w:rsidRPr="008538DC" w:rsidRDefault="00814520" w:rsidP="009C59D7">
            <w:pPr>
              <w:pStyle w:val="Numberbullet2-52E1reasons"/>
              <w:rPr>
                <w:u w:val="none"/>
              </w:rPr>
            </w:pPr>
            <w:r w:rsidRPr="000046FA">
              <w:t>any other matters that the Secretary considers necessary to protect public health</w:t>
            </w:r>
            <w:r>
              <w:t>:</w:t>
            </w:r>
          </w:p>
          <w:p w:rsidR="00814520" w:rsidRPr="0043670B" w:rsidRDefault="00814520" w:rsidP="0068115D">
            <w:r w:rsidRPr="0043670B">
              <w:t xml:space="preserve">The related </w:t>
            </w:r>
            <w:proofErr w:type="spellStart"/>
            <w:r w:rsidRPr="0043670B">
              <w:t>tetramic</w:t>
            </w:r>
            <w:proofErr w:type="spellEnd"/>
            <w:r w:rsidRPr="0043670B">
              <w:t xml:space="preserve"> acid compound, </w:t>
            </w:r>
            <w:proofErr w:type="spellStart"/>
            <w:r w:rsidRPr="0043670B">
              <w:t>spirotetramat</w:t>
            </w:r>
            <w:proofErr w:type="spellEnd"/>
            <w:r w:rsidRPr="0043670B">
              <w:t xml:space="preserve">, which is approved by the APVMA for use as a commercial insecticide in cotton and in certain fruit and vegetable crops, is in Schedule 6, with no exemption cut-off. </w:t>
            </w:r>
            <w:proofErr w:type="spellStart"/>
            <w:r w:rsidRPr="0043670B">
              <w:t>Spiropidion</w:t>
            </w:r>
            <w:proofErr w:type="spellEnd"/>
            <w:r w:rsidRPr="0043670B">
              <w:t xml:space="preserve"> and </w:t>
            </w:r>
            <w:proofErr w:type="spellStart"/>
            <w:r w:rsidRPr="0043670B">
              <w:t>spirotetramat</w:t>
            </w:r>
            <w:proofErr w:type="spellEnd"/>
            <w:r w:rsidRPr="0043670B">
              <w:t xml:space="preserve"> belong to the same chemical class of insecticides (</w:t>
            </w:r>
            <w:proofErr w:type="spellStart"/>
            <w:r w:rsidRPr="0043670B">
              <w:t>tetramic</w:t>
            </w:r>
            <w:proofErr w:type="spellEnd"/>
            <w:r w:rsidRPr="0043670B">
              <w:t xml:space="preserve"> acids, cyclic </w:t>
            </w:r>
            <w:proofErr w:type="spellStart"/>
            <w:r w:rsidRPr="0043670B">
              <w:t>ketoenoles</w:t>
            </w:r>
            <w:proofErr w:type="spellEnd"/>
            <w:r w:rsidRPr="0043670B">
              <w:t>) that act as acetyl CoA carboxylase inhibitors.</w:t>
            </w:r>
          </w:p>
          <w:p w:rsidR="00814520" w:rsidRDefault="00814520" w:rsidP="00EE2B93">
            <w:pPr>
              <w:pStyle w:val="Heading6"/>
            </w:pPr>
            <w:r>
              <w:t>Overall conclusions</w:t>
            </w:r>
          </w:p>
          <w:p w:rsidR="00814520" w:rsidRDefault="00814520" w:rsidP="00EE2B93">
            <w:r>
              <w:t xml:space="preserve">Having considered all the relevant information regarding </w:t>
            </w:r>
            <w:proofErr w:type="spellStart"/>
            <w:r>
              <w:t>spiropidion’s</w:t>
            </w:r>
            <w:proofErr w:type="spellEnd"/>
            <w:r>
              <w:t xml:space="preserve"> acute toxicity </w:t>
            </w:r>
            <w:r w:rsidRPr="0068115D">
              <w:t>a</w:t>
            </w:r>
            <w:r>
              <w:t xml:space="preserve">nd skin sensitisation properties and in particular its potential for neurotoxic effects after very short term dosing (seen in the dog), the delegate is satisfied that the potential risks associated with its use warrants </w:t>
            </w:r>
            <w:proofErr w:type="spellStart"/>
            <w:r>
              <w:t>spiropidion’s</w:t>
            </w:r>
            <w:proofErr w:type="spellEnd"/>
            <w:r>
              <w:t xml:space="preserve"> inclusion in Sche</w:t>
            </w:r>
            <w:r w:rsidR="00EE2B93">
              <w:t>dule 6 of the Poisons Standard.</w:t>
            </w:r>
          </w:p>
          <w:p w:rsidR="00814520" w:rsidRPr="00043015" w:rsidRDefault="00814520" w:rsidP="0068115D">
            <w:r w:rsidRPr="00EF4CD1">
              <w:t xml:space="preserve">Following the potential approval of the </w:t>
            </w:r>
            <w:proofErr w:type="spellStart"/>
            <w:r w:rsidRPr="00EF4CD1">
              <w:t>spiropidion</w:t>
            </w:r>
            <w:proofErr w:type="spellEnd"/>
            <w:r>
              <w:t xml:space="preserve"> as an active constituent</w:t>
            </w:r>
            <w:r w:rsidRPr="00EF4CD1">
              <w:t xml:space="preserve">, it is likely that applications will be submitted to register new agricultural products containing </w:t>
            </w:r>
            <w:r>
              <w:t>the substance.</w:t>
            </w:r>
            <w:r w:rsidRPr="00EF4CD1">
              <w:t xml:space="preserve"> </w:t>
            </w:r>
            <w:r>
              <w:t>As t</w:t>
            </w:r>
            <w:r w:rsidRPr="00EF4CD1">
              <w:t>here is currently no available data on such potential products, especially regarding their composition and uses; and the likely subsequent exposure and relative health risk to workers and the public</w:t>
            </w:r>
            <w:r>
              <w:t xml:space="preserve">, </w:t>
            </w:r>
            <w:r w:rsidRPr="00EF4CD1">
              <w:t xml:space="preserve">there is currently no ground to support exemptions or cut-offs </w:t>
            </w:r>
            <w:r>
              <w:t>for the Schedule 6 entry.</w:t>
            </w:r>
          </w:p>
        </w:tc>
      </w:tr>
    </w:tbl>
    <w:p w:rsidR="00814520" w:rsidRDefault="00814520" w:rsidP="00EE2B93">
      <w:pPr>
        <w:pStyle w:val="Heading5"/>
      </w:pPr>
      <w:bookmarkStart w:id="7" w:name="_Applicant’s_scheduling_proposal_1"/>
      <w:bookmarkEnd w:id="7"/>
      <w:r>
        <w:lastRenderedPageBreak/>
        <w:t xml:space="preserve">Applicant’s </w:t>
      </w:r>
      <w:r w:rsidRPr="00EE2B93">
        <w:t>scheduling</w:t>
      </w:r>
      <w:r>
        <w:t xml:space="preserve"> proposal and reasons for proposal</w:t>
      </w:r>
    </w:p>
    <w:p w:rsidR="00814520" w:rsidRPr="004B2F35" w:rsidRDefault="00814520" w:rsidP="0068115D">
      <w:r w:rsidRPr="004B2F35">
        <w:t xml:space="preserve">An application was submitted by the Australian Pesticides and Veterinary Medicines Authority (APVMA) to create a new Schedule </w:t>
      </w:r>
      <w:r>
        <w:t>6</w:t>
      </w:r>
      <w:r w:rsidRPr="004B2F35">
        <w:t xml:space="preserve"> entry</w:t>
      </w:r>
      <w:r w:rsidR="00EE2B93">
        <w:t xml:space="preserve"> for </w:t>
      </w:r>
      <w:proofErr w:type="spellStart"/>
      <w:r>
        <w:t>s</w:t>
      </w:r>
      <w:r w:rsidRPr="004B2F35">
        <w:t>piro</w:t>
      </w:r>
      <w:r w:rsidR="00EE2B93">
        <w:t>pidion</w:t>
      </w:r>
      <w:proofErr w:type="spellEnd"/>
      <w:r w:rsidR="00EE2B93">
        <w:t xml:space="preserve"> in the Poisons Standard.</w:t>
      </w:r>
    </w:p>
    <w:p w:rsidR="00814520" w:rsidRPr="004B2F35" w:rsidRDefault="00814520" w:rsidP="00947F79">
      <w:r w:rsidRPr="004B2F35">
        <w:t>The applicant’s reasons for the proposal are:</w:t>
      </w:r>
    </w:p>
    <w:p w:rsidR="00814520" w:rsidRPr="004B2F35" w:rsidRDefault="00814520" w:rsidP="00947F79">
      <w:pPr>
        <w:pStyle w:val="ListBullet"/>
      </w:pPr>
      <w:proofErr w:type="spellStart"/>
      <w:r w:rsidRPr="004B2F35">
        <w:t>Spiropidion’s</w:t>
      </w:r>
      <w:proofErr w:type="spellEnd"/>
      <w:r w:rsidRPr="004B2F35">
        <w:t xml:space="preserve"> moderate acute </w:t>
      </w:r>
      <w:r w:rsidRPr="00947F79">
        <w:t>inhalational</w:t>
      </w:r>
      <w:r w:rsidRPr="004B2F35">
        <w:t xml:space="preserve"> toxicity.</w:t>
      </w:r>
    </w:p>
    <w:p w:rsidR="00814520" w:rsidRPr="004B2F35" w:rsidRDefault="00814520" w:rsidP="00814520">
      <w:pPr>
        <w:pStyle w:val="ListBullet"/>
        <w:numPr>
          <w:ilvl w:val="0"/>
          <w:numId w:val="1"/>
        </w:numPr>
      </w:pPr>
      <w:r w:rsidRPr="004B2F35">
        <w:t xml:space="preserve">In an LLNA test, </w:t>
      </w:r>
      <w:proofErr w:type="spellStart"/>
      <w:r w:rsidRPr="004B2F35">
        <w:t>spiropidion</w:t>
      </w:r>
      <w:proofErr w:type="spellEnd"/>
      <w:r w:rsidRPr="004B2F35">
        <w:t xml:space="preserve"> was a skin sensitiser at low concentration (~0.4%).</w:t>
      </w:r>
    </w:p>
    <w:p w:rsidR="00814520" w:rsidRPr="004B2F35" w:rsidRDefault="00814520" w:rsidP="00814520">
      <w:pPr>
        <w:pStyle w:val="ListBullet"/>
        <w:numPr>
          <w:ilvl w:val="0"/>
          <w:numId w:val="1"/>
        </w:numPr>
      </w:pPr>
      <w:r w:rsidRPr="004B2F35">
        <w:t xml:space="preserve">Acute and repeat dose toxicity studies revealed severe neurotoxic effects related to the administration of </w:t>
      </w:r>
      <w:proofErr w:type="spellStart"/>
      <w:r w:rsidRPr="004B2F35">
        <w:t>spiropidion</w:t>
      </w:r>
      <w:proofErr w:type="spellEnd"/>
      <w:r w:rsidRPr="004B2F35">
        <w:t xml:space="preserve"> in mice, rats and dogs.</w:t>
      </w:r>
    </w:p>
    <w:p w:rsidR="00814520" w:rsidRPr="004B2F35" w:rsidRDefault="00814520" w:rsidP="00814520">
      <w:pPr>
        <w:pStyle w:val="ListBullet"/>
        <w:numPr>
          <w:ilvl w:val="0"/>
          <w:numId w:val="1"/>
        </w:numPr>
      </w:pPr>
      <w:r w:rsidRPr="004B2F35">
        <w:t xml:space="preserve">The related compound </w:t>
      </w:r>
      <w:proofErr w:type="spellStart"/>
      <w:r w:rsidRPr="004B2F35">
        <w:t>spirotetramat</w:t>
      </w:r>
      <w:proofErr w:type="spellEnd"/>
      <w:r w:rsidRPr="004B2F35">
        <w:t xml:space="preserve"> is in Schedule 6, with no exemption cut-off.</w:t>
      </w:r>
    </w:p>
    <w:p w:rsidR="00814520" w:rsidRDefault="00814520" w:rsidP="00814520">
      <w:pPr>
        <w:pStyle w:val="ListBullet"/>
        <w:numPr>
          <w:ilvl w:val="0"/>
          <w:numId w:val="1"/>
        </w:numPr>
      </w:pPr>
      <w:r w:rsidRPr="004B2F35">
        <w:t xml:space="preserve">Following the potential approval of the active ingredient </w:t>
      </w:r>
      <w:proofErr w:type="spellStart"/>
      <w:r w:rsidRPr="004B2F35">
        <w:t>spiropidion</w:t>
      </w:r>
      <w:proofErr w:type="spellEnd"/>
      <w:r w:rsidRPr="004B2F35">
        <w:t xml:space="preserve">, it is likely that applications will be submitted to register new agricultural products containing </w:t>
      </w:r>
      <w:proofErr w:type="spellStart"/>
      <w:r w:rsidRPr="004B2F35">
        <w:t>spiropidion</w:t>
      </w:r>
      <w:proofErr w:type="spellEnd"/>
      <w:r w:rsidRPr="004B2F35">
        <w:t xml:space="preserve">. </w:t>
      </w:r>
      <w:r w:rsidRPr="004B2F35">
        <w:lastRenderedPageBreak/>
        <w:t>As there is currently no available data on such potential products, especially regarding their</w:t>
      </w:r>
      <w:r>
        <w:t xml:space="preserve"> </w:t>
      </w:r>
      <w:r w:rsidRPr="004B2F35">
        <w:t>composition and uses; and the likely subsequent exposure and relative health risk to workers and the public, there is currently no ground to support exemptions or cut-offs to the proposed active ingredient scheduling.</w:t>
      </w:r>
    </w:p>
    <w:p w:rsidR="00814520" w:rsidRDefault="00814520" w:rsidP="00947F79">
      <w:pPr>
        <w:pStyle w:val="Heading5"/>
      </w:pPr>
      <w:r>
        <w:t xml:space="preserve">Current scheduling </w:t>
      </w:r>
      <w:r w:rsidRPr="00947F79">
        <w:t>status</w:t>
      </w:r>
      <w:r>
        <w:t xml:space="preserve"> and history</w:t>
      </w:r>
    </w:p>
    <w:p w:rsidR="00814520" w:rsidRPr="001D2837" w:rsidRDefault="00814520" w:rsidP="0068115D">
      <w:proofErr w:type="spellStart"/>
      <w:r w:rsidRPr="001D2837">
        <w:t>Spiropidion</w:t>
      </w:r>
      <w:proofErr w:type="spellEnd"/>
      <w:r w:rsidRPr="001D2837">
        <w:t xml:space="preserve"> is a new substance that has not previously been considered for scheduling and is not specifically scheduled in the current Poisons Standard.</w:t>
      </w:r>
    </w:p>
    <w:p w:rsidR="00814520" w:rsidRPr="001D2837" w:rsidRDefault="00814520" w:rsidP="0068115D">
      <w:r w:rsidRPr="001D2837">
        <w:t xml:space="preserve">The related compound </w:t>
      </w:r>
      <w:proofErr w:type="spellStart"/>
      <w:r w:rsidRPr="001D2837">
        <w:t>spirotetramat</w:t>
      </w:r>
      <w:proofErr w:type="spellEnd"/>
      <w:r w:rsidRPr="001D2837">
        <w:t xml:space="preserve"> (CAS 2013313-25-1) was considered by the National Drugs and Poisons Schedule Committees (meeting #53) in June 2008</w:t>
      </w:r>
      <w:r w:rsidR="00947F79">
        <w:t xml:space="preserve">. </w:t>
      </w:r>
      <w:r w:rsidRPr="001D2837">
        <w:t xml:space="preserve">The Committee agreed that the toxicological profile of </w:t>
      </w:r>
      <w:proofErr w:type="spellStart"/>
      <w:r w:rsidRPr="001D2837">
        <w:t>spirotetramat</w:t>
      </w:r>
      <w:proofErr w:type="spellEnd"/>
      <w:r w:rsidRPr="001D2837">
        <w:t xml:space="preserve"> satisfied the requirements of a Schedule 6 entry. Toxicities included effects on lipid synthesis and change in thyroid function and reproductive toxicity, together with the skin sensitisation and eye irritancy.</w:t>
      </w:r>
    </w:p>
    <w:p w:rsidR="00814520" w:rsidRDefault="00814520" w:rsidP="0068115D">
      <w:proofErr w:type="spellStart"/>
      <w:r w:rsidRPr="001D2837">
        <w:t>Spiropidion</w:t>
      </w:r>
      <w:proofErr w:type="spellEnd"/>
      <w:r w:rsidRPr="001D2837">
        <w:t xml:space="preserve"> and </w:t>
      </w:r>
      <w:proofErr w:type="spellStart"/>
      <w:r w:rsidRPr="001D2837">
        <w:t>spirotetramat</w:t>
      </w:r>
      <w:proofErr w:type="spellEnd"/>
      <w:r w:rsidRPr="001D2837">
        <w:t xml:space="preserve"> belong to the same chemical class of insecticides (</w:t>
      </w:r>
      <w:proofErr w:type="spellStart"/>
      <w:r w:rsidRPr="001D2837">
        <w:t>tetramic</w:t>
      </w:r>
      <w:proofErr w:type="spellEnd"/>
      <w:r w:rsidRPr="001D2837">
        <w:t xml:space="preserve"> acids, cyclic </w:t>
      </w:r>
      <w:proofErr w:type="spellStart"/>
      <w:r w:rsidRPr="001D2837">
        <w:t>ketoenoles</w:t>
      </w:r>
      <w:proofErr w:type="spellEnd"/>
      <w:r w:rsidRPr="001D2837">
        <w:t>) that act as acetyl CoA carboxylase inhibitors.</w:t>
      </w:r>
    </w:p>
    <w:p w:rsidR="00814520" w:rsidRPr="00947F79" w:rsidRDefault="00947F79" w:rsidP="00947F79">
      <w:pPr>
        <w:pStyle w:val="Heading5"/>
      </w:pPr>
      <w:r>
        <w:t>Australian regulations</w:t>
      </w:r>
    </w:p>
    <w:p w:rsidR="00814520" w:rsidRPr="005620FA" w:rsidRDefault="00814520" w:rsidP="00947F79">
      <w:pPr>
        <w:pStyle w:val="ListBullet"/>
      </w:pPr>
      <w:proofErr w:type="spellStart"/>
      <w:r w:rsidRPr="005620FA">
        <w:t>Grapiprant</w:t>
      </w:r>
      <w:proofErr w:type="spellEnd"/>
      <w:r w:rsidRPr="005620FA">
        <w:t xml:space="preserve"> is not listed on the APVMA Public Chemical Registration Information System (</w:t>
      </w:r>
      <w:proofErr w:type="spellStart"/>
      <w:r w:rsidR="006704D0">
        <w:fldChar w:fldCharType="begin"/>
      </w:r>
      <w:r w:rsidR="006704D0">
        <w:instrText xml:space="preserve"> HYPERLINK "https://portal.apvma.gov.au/pubcris" </w:instrText>
      </w:r>
      <w:r w:rsidR="006704D0">
        <w:fldChar w:fldCharType="separate"/>
      </w:r>
      <w:r w:rsidRPr="001E5765">
        <w:rPr>
          <w:rStyle w:val="Hyperlink"/>
        </w:rPr>
        <w:t>PubCris</w:t>
      </w:r>
      <w:proofErr w:type="spellEnd"/>
      <w:r w:rsidR="006704D0">
        <w:rPr>
          <w:rStyle w:val="Hyperlink"/>
        </w:rPr>
        <w:fldChar w:fldCharType="end"/>
      </w:r>
      <w:r>
        <w:rPr>
          <w:rStyle w:val="Hyperlink"/>
        </w:rPr>
        <w:t>)</w:t>
      </w:r>
      <w:r w:rsidRPr="005620FA">
        <w:t>)</w:t>
      </w:r>
      <w:r>
        <w:t>.</w:t>
      </w:r>
    </w:p>
    <w:p w:rsidR="00814520" w:rsidRPr="005620FA" w:rsidRDefault="00814520" w:rsidP="00814520">
      <w:pPr>
        <w:pStyle w:val="ListBullet"/>
        <w:numPr>
          <w:ilvl w:val="0"/>
          <w:numId w:val="1"/>
        </w:numPr>
      </w:pPr>
      <w:proofErr w:type="spellStart"/>
      <w:r w:rsidRPr="005620FA">
        <w:t>Grapiprant</w:t>
      </w:r>
      <w:proofErr w:type="spellEnd"/>
      <w:r w:rsidRPr="005620FA">
        <w:t xml:space="preserve"> is not listed on the </w:t>
      </w:r>
      <w:hyperlink r:id="rId19" w:history="1">
        <w:r w:rsidRPr="00395F5F">
          <w:rPr>
            <w:rStyle w:val="Hyperlink"/>
          </w:rPr>
          <w:t>Therapeutic Goods (Permissible I</w:t>
        </w:r>
        <w:r>
          <w:rPr>
            <w:rStyle w:val="Hyperlink"/>
          </w:rPr>
          <w:t xml:space="preserve">ngredients) Determination No. 4 </w:t>
        </w:r>
        <w:r w:rsidRPr="00395F5F">
          <w:rPr>
            <w:rStyle w:val="Hyperlink"/>
          </w:rPr>
          <w:t>of 2018</w:t>
        </w:r>
        <w:r w:rsidRPr="00947F79">
          <w:rPr>
            <w:rStyle w:val="Hyperlink"/>
            <w:color w:val="auto"/>
            <w:u w:val="none"/>
          </w:rPr>
          <w:t>.</w:t>
        </w:r>
      </w:hyperlink>
    </w:p>
    <w:p w:rsidR="00814520" w:rsidRDefault="00814520" w:rsidP="00814520">
      <w:pPr>
        <w:pStyle w:val="ListBullet"/>
        <w:numPr>
          <w:ilvl w:val="0"/>
          <w:numId w:val="1"/>
        </w:numPr>
      </w:pPr>
      <w:proofErr w:type="spellStart"/>
      <w:r w:rsidRPr="005620FA">
        <w:t>Grapiprant</w:t>
      </w:r>
      <w:proofErr w:type="spellEnd"/>
      <w:r w:rsidRPr="005620FA">
        <w:t xml:space="preserve"> is neither an excipient nor active in any medicines on the </w:t>
      </w:r>
      <w:hyperlink r:id="rId20" w:history="1">
        <w:r w:rsidRPr="005620FA">
          <w:rPr>
            <w:rStyle w:val="Hyperlink"/>
          </w:rPr>
          <w:t>ARTG</w:t>
        </w:r>
      </w:hyperlink>
      <w:r w:rsidRPr="005620FA">
        <w:t>.</w:t>
      </w:r>
    </w:p>
    <w:p w:rsidR="00814520" w:rsidRDefault="00814520" w:rsidP="00947F79">
      <w:pPr>
        <w:pStyle w:val="Heading5"/>
      </w:pPr>
      <w:r>
        <w:t xml:space="preserve">International </w:t>
      </w:r>
      <w:r w:rsidRPr="00947F79">
        <w:t>regulations</w:t>
      </w:r>
    </w:p>
    <w:p w:rsidR="00814520" w:rsidRDefault="00814520" w:rsidP="0068115D">
      <w:proofErr w:type="spellStart"/>
      <w:r>
        <w:t>Spiropidion</w:t>
      </w:r>
      <w:proofErr w:type="spellEnd"/>
      <w:r>
        <w:t xml:space="preserve"> does not appear to have </w:t>
      </w:r>
      <w:r w:rsidRPr="00A25AF4">
        <w:t xml:space="preserve">been evaluated </w:t>
      </w:r>
      <w:r>
        <w:t xml:space="preserve">by other </w:t>
      </w:r>
      <w:r w:rsidRPr="00A25AF4">
        <w:t xml:space="preserve">international </w:t>
      </w:r>
      <w:r>
        <w:t xml:space="preserve">pesticides </w:t>
      </w:r>
      <w:r w:rsidRPr="00A25AF4">
        <w:t>regulatory agenc</w:t>
      </w:r>
      <w:r>
        <w:t>ies.</w:t>
      </w:r>
    </w:p>
    <w:p w:rsidR="00814520" w:rsidRDefault="00814520" w:rsidP="0068115D">
      <w:proofErr w:type="spellStart"/>
      <w:r>
        <w:t>Spiropidion</w:t>
      </w:r>
      <w:proofErr w:type="spellEnd"/>
      <w:r>
        <w:t xml:space="preserve"> is not listed as an approved active constituent on the </w:t>
      </w:r>
      <w:hyperlink r:id="rId21" w:history="1">
        <w:r w:rsidRPr="0082458C">
          <w:rPr>
            <w:rStyle w:val="Hyperlink"/>
          </w:rPr>
          <w:t>USA EPA Pesticide Chemical Database</w:t>
        </w:r>
      </w:hyperlink>
      <w:r>
        <w:t xml:space="preserve"> or on </w:t>
      </w:r>
      <w:hyperlink r:id="rId22" w:history="1">
        <w:r w:rsidRPr="0082458C">
          <w:rPr>
            <w:rStyle w:val="Hyperlink"/>
          </w:rPr>
          <w:t>Health Canada’s Public Registry</w:t>
        </w:r>
      </w:hyperlink>
      <w:r>
        <w:t>.</w:t>
      </w:r>
    </w:p>
    <w:p w:rsidR="00814520" w:rsidRDefault="00814520" w:rsidP="0068115D">
      <w:proofErr w:type="spellStart"/>
      <w:r>
        <w:t>Spiropidion</w:t>
      </w:r>
      <w:proofErr w:type="spellEnd"/>
      <w:r>
        <w:t xml:space="preserve"> is not a registered substance on the </w:t>
      </w:r>
      <w:hyperlink r:id="rId23" w:history="1">
        <w:r w:rsidRPr="00150786">
          <w:rPr>
            <w:rStyle w:val="Hyperlink"/>
          </w:rPr>
          <w:t>European Chemical Agency (ECHA) database</w:t>
        </w:r>
      </w:hyperlink>
      <w:r>
        <w:t>.</w:t>
      </w:r>
    </w:p>
    <w:p w:rsidR="00814520" w:rsidRDefault="00814520" w:rsidP="00947F79">
      <w:pPr>
        <w:pStyle w:val="Heading5"/>
      </w:pPr>
      <w:r w:rsidRPr="00947F79">
        <w:t>Substance</w:t>
      </w:r>
      <w:r>
        <w:t xml:space="preserve"> summary</w:t>
      </w:r>
    </w:p>
    <w:p w:rsidR="00814520" w:rsidRPr="0054257D" w:rsidRDefault="00814520" w:rsidP="0068115D">
      <w:proofErr w:type="spellStart"/>
      <w:r>
        <w:t>Spiropidion</w:t>
      </w:r>
      <w:proofErr w:type="spellEnd"/>
      <w:r>
        <w:t xml:space="preserve"> (</w:t>
      </w:r>
      <w:r w:rsidR="006704D0" w:rsidRPr="003C6F35">
        <w:rPr>
          <w:rFonts w:ascii="Times New Roman" w:hAnsi="Times New Roman"/>
          <w:bCs/>
          <w:highlight w:val="black"/>
          <w:lang w:eastAsia="en-AU"/>
        </w:rPr>
        <w:t>XXXXXXX</w:t>
      </w:r>
      <w:r>
        <w:t xml:space="preserve">) is a new tetrameric acid derivative insecticide from the group of chemicals that inhibit acetyl CoA carboxylase.  </w:t>
      </w:r>
      <w:proofErr w:type="spellStart"/>
      <w:r>
        <w:t>Spiropidion</w:t>
      </w:r>
      <w:proofErr w:type="spellEnd"/>
      <w:r>
        <w:t xml:space="preserve"> is the ‘pro’-insecticide, being metabolised to the active form </w:t>
      </w:r>
      <w:r w:rsidR="006704D0" w:rsidRPr="003C6F35">
        <w:rPr>
          <w:rFonts w:ascii="Times New Roman" w:hAnsi="Times New Roman"/>
          <w:bCs/>
          <w:highlight w:val="black"/>
          <w:lang w:eastAsia="en-AU"/>
        </w:rPr>
        <w:t>XXXXXXX</w:t>
      </w:r>
      <w:r w:rsidR="006704D0">
        <w:rPr>
          <w:rFonts w:ascii="Times New Roman" w:hAnsi="Times New Roman"/>
          <w:bCs/>
          <w:lang w:eastAsia="en-AU"/>
        </w:rPr>
        <w:t xml:space="preserve"> </w:t>
      </w:r>
      <w:r>
        <w:t>rapidly in plants and animals.</w:t>
      </w:r>
    </w:p>
    <w:p w:rsidR="00814520" w:rsidRPr="00814520" w:rsidRDefault="00814520" w:rsidP="008C69BC">
      <w:pPr>
        <w:pStyle w:val="TableTitle0"/>
        <w:pageBreakBefore/>
      </w:pPr>
      <w:r w:rsidRPr="00814520">
        <w:lastRenderedPageBreak/>
        <w:t xml:space="preserve">Table 1: Chemical </w:t>
      </w:r>
      <w:r w:rsidRPr="00947F79">
        <w:t>information</w:t>
      </w:r>
      <w:r w:rsidRPr="00814520">
        <w:t xml:space="preserve"> for </w:t>
      </w:r>
      <w:proofErr w:type="spellStart"/>
      <w:r w:rsidRPr="00814520">
        <w:t>spiropidion</w:t>
      </w:r>
      <w:proofErr w:type="spellEnd"/>
    </w:p>
    <w:tbl>
      <w:tblPr>
        <w:tblStyle w:val="TableTGAblue"/>
        <w:tblW w:w="9781" w:type="dxa"/>
        <w:tblInd w:w="108" w:type="dxa"/>
        <w:tblLook w:val="04A0" w:firstRow="1" w:lastRow="0" w:firstColumn="1" w:lastColumn="0" w:noHBand="0" w:noVBand="1"/>
      </w:tblPr>
      <w:tblGrid>
        <w:gridCol w:w="3402"/>
        <w:gridCol w:w="6379"/>
      </w:tblGrid>
      <w:tr w:rsidR="00814520" w:rsidRPr="001253A8" w:rsidTr="00814520">
        <w:trPr>
          <w:cnfStyle w:val="100000000000" w:firstRow="1" w:lastRow="0" w:firstColumn="0" w:lastColumn="0" w:oddVBand="0" w:evenVBand="0" w:oddHBand="0" w:evenHBand="0" w:firstRowFirstColumn="0" w:firstRowLastColumn="0" w:lastRowFirstColumn="0" w:lastRowLastColumn="0"/>
        </w:trPr>
        <w:tc>
          <w:tcPr>
            <w:tcW w:w="3402" w:type="dxa"/>
            <w:vAlign w:val="center"/>
          </w:tcPr>
          <w:p w:rsidR="00814520" w:rsidRPr="001253A8" w:rsidRDefault="00814520" w:rsidP="00814520">
            <w:pPr>
              <w:rPr>
                <w:sz w:val="20"/>
              </w:rPr>
            </w:pPr>
            <w:r w:rsidRPr="001253A8">
              <w:rPr>
                <w:sz w:val="20"/>
              </w:rPr>
              <w:t>Property</w:t>
            </w:r>
          </w:p>
        </w:tc>
        <w:tc>
          <w:tcPr>
            <w:tcW w:w="6379" w:type="dxa"/>
            <w:vAlign w:val="center"/>
          </w:tcPr>
          <w:p w:rsidR="00814520" w:rsidRPr="001253A8" w:rsidRDefault="00814520" w:rsidP="00814520">
            <w:pPr>
              <w:rPr>
                <w:sz w:val="20"/>
                <w:lang w:eastAsia="en-US"/>
              </w:rPr>
            </w:pPr>
            <w:proofErr w:type="spellStart"/>
            <w:r>
              <w:rPr>
                <w:sz w:val="20"/>
              </w:rPr>
              <w:t>Spiropidion</w:t>
            </w:r>
            <w:proofErr w:type="spellEnd"/>
          </w:p>
        </w:tc>
      </w:tr>
      <w:tr w:rsidR="00814520" w:rsidRPr="001253A8" w:rsidTr="00814520">
        <w:tc>
          <w:tcPr>
            <w:tcW w:w="3402" w:type="dxa"/>
          </w:tcPr>
          <w:p w:rsidR="00814520" w:rsidRPr="001253A8" w:rsidRDefault="00814520" w:rsidP="00814520">
            <w:pPr>
              <w:spacing w:before="120" w:after="120"/>
              <w:rPr>
                <w:sz w:val="20"/>
                <w:szCs w:val="20"/>
              </w:rPr>
            </w:pPr>
            <w:r w:rsidRPr="001253A8">
              <w:rPr>
                <w:sz w:val="20"/>
                <w:szCs w:val="20"/>
              </w:rPr>
              <w:t>Chemical structure</w:t>
            </w:r>
          </w:p>
        </w:tc>
        <w:tc>
          <w:tcPr>
            <w:tcW w:w="6379" w:type="dxa"/>
          </w:tcPr>
          <w:p w:rsidR="00814520" w:rsidRPr="001253A8" w:rsidRDefault="00814520" w:rsidP="00814520">
            <w:pPr>
              <w:rPr>
                <w:i/>
                <w:iCs/>
                <w:sz w:val="20"/>
                <w:szCs w:val="20"/>
              </w:rPr>
            </w:pPr>
            <w:r w:rsidRPr="00C75748">
              <w:rPr>
                <w:rFonts w:asciiTheme="minorHAnsi" w:hAnsiTheme="minorHAnsi"/>
                <w:noProof/>
                <w:sz w:val="20"/>
              </w:rPr>
              <w:drawing>
                <wp:inline distT="0" distB="0" distL="0" distR="0" wp14:anchorId="0637C8C7" wp14:editId="251E39C2">
                  <wp:extent cx="1670685" cy="1261745"/>
                  <wp:effectExtent l="0" t="0" r="5715" b="0"/>
                  <wp:docPr id="10" name="Picture 10" descr="Chemical structure of Spiropid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70685" cy="1261745"/>
                          </a:xfrm>
                          <a:prstGeom prst="rect">
                            <a:avLst/>
                          </a:prstGeom>
                          <a:noFill/>
                        </pic:spPr>
                      </pic:pic>
                    </a:graphicData>
                  </a:graphic>
                </wp:inline>
              </w:drawing>
            </w:r>
          </w:p>
        </w:tc>
      </w:tr>
      <w:tr w:rsidR="00814520" w:rsidRPr="001253A8" w:rsidTr="00814520">
        <w:tc>
          <w:tcPr>
            <w:tcW w:w="3402" w:type="dxa"/>
          </w:tcPr>
          <w:p w:rsidR="00814520" w:rsidRPr="001253A8" w:rsidRDefault="00814520" w:rsidP="00814520">
            <w:pPr>
              <w:spacing w:before="120" w:after="120"/>
              <w:rPr>
                <w:sz w:val="20"/>
                <w:szCs w:val="20"/>
              </w:rPr>
            </w:pPr>
            <w:r w:rsidRPr="001253A8">
              <w:rPr>
                <w:sz w:val="20"/>
                <w:szCs w:val="20"/>
              </w:rPr>
              <w:t>Molecular formula</w:t>
            </w:r>
          </w:p>
        </w:tc>
        <w:tc>
          <w:tcPr>
            <w:tcW w:w="6379" w:type="dxa"/>
          </w:tcPr>
          <w:p w:rsidR="00814520" w:rsidRPr="001253A8" w:rsidRDefault="00814520" w:rsidP="008C69BC">
            <w:pPr>
              <w:rPr>
                <w:noProof/>
                <w:sz w:val="20"/>
                <w:szCs w:val="20"/>
              </w:rPr>
            </w:pPr>
            <w:r w:rsidRPr="006D40DB">
              <w:rPr>
                <w:lang w:val="en-US"/>
              </w:rPr>
              <w:t>C</w:t>
            </w:r>
            <w:r w:rsidRPr="006D40DB">
              <w:rPr>
                <w:vertAlign w:val="subscript"/>
                <w:lang w:val="en-US"/>
              </w:rPr>
              <w:t>21</w:t>
            </w:r>
            <w:r w:rsidRPr="006D40DB">
              <w:rPr>
                <w:lang w:val="en-US"/>
              </w:rPr>
              <w:t>H</w:t>
            </w:r>
            <w:r w:rsidRPr="006D40DB">
              <w:rPr>
                <w:vertAlign w:val="subscript"/>
                <w:lang w:val="en-US"/>
              </w:rPr>
              <w:t>27</w:t>
            </w:r>
            <w:r w:rsidRPr="006D40DB">
              <w:rPr>
                <w:lang w:val="en-US"/>
              </w:rPr>
              <w:t>ClN</w:t>
            </w:r>
            <w:r w:rsidRPr="006D40DB">
              <w:rPr>
                <w:vertAlign w:val="subscript"/>
                <w:lang w:val="en-US"/>
              </w:rPr>
              <w:t>2</w:t>
            </w:r>
            <w:r w:rsidRPr="006D40DB">
              <w:rPr>
                <w:lang w:val="en-US"/>
              </w:rPr>
              <w:t>O</w:t>
            </w:r>
            <w:r w:rsidRPr="006D40DB">
              <w:rPr>
                <w:vertAlign w:val="subscript"/>
                <w:lang w:val="en-US"/>
              </w:rPr>
              <w:t>5</w:t>
            </w:r>
          </w:p>
        </w:tc>
      </w:tr>
      <w:tr w:rsidR="00814520" w:rsidRPr="001253A8" w:rsidTr="00814520">
        <w:tc>
          <w:tcPr>
            <w:tcW w:w="3402" w:type="dxa"/>
          </w:tcPr>
          <w:p w:rsidR="00814520" w:rsidRPr="001253A8" w:rsidRDefault="00814520" w:rsidP="00814520">
            <w:pPr>
              <w:spacing w:before="120" w:after="120"/>
              <w:rPr>
                <w:sz w:val="20"/>
                <w:szCs w:val="20"/>
              </w:rPr>
            </w:pPr>
            <w:r>
              <w:rPr>
                <w:sz w:val="20"/>
                <w:szCs w:val="20"/>
              </w:rPr>
              <w:t>CAS name</w:t>
            </w:r>
          </w:p>
        </w:tc>
        <w:tc>
          <w:tcPr>
            <w:tcW w:w="6379" w:type="dxa"/>
          </w:tcPr>
          <w:p w:rsidR="00814520" w:rsidRPr="001253A8" w:rsidRDefault="00814520" w:rsidP="00814520">
            <w:pPr>
              <w:rPr>
                <w:sz w:val="20"/>
                <w:szCs w:val="20"/>
                <w:lang w:eastAsia="en-US"/>
              </w:rPr>
            </w:pPr>
            <w:r w:rsidRPr="00A75400">
              <w:rPr>
                <w:sz w:val="20"/>
                <w:szCs w:val="20"/>
                <w:lang w:eastAsia="en-US"/>
              </w:rPr>
              <w:t xml:space="preserve">3-(4-chloro-2,6-dimethylphenyl)-8-methoxy-1-methyl-2-oxo-1,8- </w:t>
            </w:r>
            <w:proofErr w:type="spellStart"/>
            <w:r w:rsidRPr="00A75400">
              <w:rPr>
                <w:sz w:val="20"/>
                <w:szCs w:val="20"/>
                <w:lang w:eastAsia="en-US"/>
              </w:rPr>
              <w:t>diazaspiro</w:t>
            </w:r>
            <w:proofErr w:type="spellEnd"/>
            <w:r w:rsidRPr="00A75400">
              <w:rPr>
                <w:sz w:val="20"/>
                <w:szCs w:val="20"/>
                <w:lang w:eastAsia="en-US"/>
              </w:rPr>
              <w:t>[4.5]dec-3-en-4-yl ethyl carbonate</w:t>
            </w:r>
          </w:p>
        </w:tc>
      </w:tr>
      <w:tr w:rsidR="00814520" w:rsidRPr="001253A8" w:rsidTr="00814520">
        <w:tc>
          <w:tcPr>
            <w:tcW w:w="3402" w:type="dxa"/>
          </w:tcPr>
          <w:p w:rsidR="00814520" w:rsidRPr="001253A8" w:rsidRDefault="00814520" w:rsidP="00814520">
            <w:pPr>
              <w:spacing w:before="120" w:after="120"/>
              <w:rPr>
                <w:sz w:val="20"/>
                <w:szCs w:val="20"/>
              </w:rPr>
            </w:pPr>
            <w:r>
              <w:rPr>
                <w:sz w:val="20"/>
                <w:szCs w:val="20"/>
              </w:rPr>
              <w:t>CAS number</w:t>
            </w:r>
          </w:p>
        </w:tc>
        <w:tc>
          <w:tcPr>
            <w:tcW w:w="6379" w:type="dxa"/>
          </w:tcPr>
          <w:p w:rsidR="00814520" w:rsidRPr="001253A8" w:rsidRDefault="00814520" w:rsidP="00814520">
            <w:pPr>
              <w:spacing w:after="0" w:line="240" w:lineRule="auto"/>
              <w:rPr>
                <w:sz w:val="20"/>
                <w:szCs w:val="20"/>
              </w:rPr>
            </w:pPr>
            <w:r w:rsidRPr="00A75400">
              <w:rPr>
                <w:sz w:val="20"/>
                <w:szCs w:val="20"/>
              </w:rPr>
              <w:t>1229023-00-0</w:t>
            </w:r>
          </w:p>
        </w:tc>
      </w:tr>
    </w:tbl>
    <w:p w:rsidR="00814520" w:rsidRDefault="00814520" w:rsidP="008C69BC">
      <w:pPr>
        <w:pStyle w:val="TableTitle0"/>
      </w:pPr>
      <w:r>
        <w:t xml:space="preserve">Table 2: Acute toxicity end-points for </w:t>
      </w:r>
      <w:proofErr w:type="spellStart"/>
      <w:r>
        <w:t>s</w:t>
      </w:r>
      <w:r w:rsidRPr="00023C92">
        <w:t>piropidion</w:t>
      </w:r>
      <w:proofErr w:type="spellEnd"/>
    </w:p>
    <w:tbl>
      <w:tblPr>
        <w:tblStyle w:val="TableTGAblue"/>
        <w:tblW w:w="5000" w:type="pct"/>
        <w:tblInd w:w="108" w:type="dxa"/>
        <w:tblLook w:val="04A0" w:firstRow="1" w:lastRow="0" w:firstColumn="1" w:lastColumn="0" w:noHBand="0" w:noVBand="1"/>
      </w:tblPr>
      <w:tblGrid>
        <w:gridCol w:w="4076"/>
        <w:gridCol w:w="1276"/>
        <w:gridCol w:w="2411"/>
        <w:gridCol w:w="1523"/>
      </w:tblGrid>
      <w:tr w:rsidR="00814520" w:rsidRPr="0093114F" w:rsidTr="009D530B">
        <w:trPr>
          <w:cnfStyle w:val="100000000000" w:firstRow="1" w:lastRow="0" w:firstColumn="0" w:lastColumn="0" w:oddVBand="0" w:evenVBand="0" w:oddHBand="0" w:evenHBand="0" w:firstRowFirstColumn="0" w:firstRowLastColumn="0" w:lastRowFirstColumn="0" w:lastRowLastColumn="0"/>
        </w:trPr>
        <w:tc>
          <w:tcPr>
            <w:tcW w:w="2195" w:type="pct"/>
          </w:tcPr>
          <w:p w:rsidR="00814520" w:rsidRPr="0093114F" w:rsidRDefault="00814520" w:rsidP="00814520">
            <w:pPr>
              <w:pStyle w:val="TableHeading"/>
              <w:spacing w:before="120" w:after="120"/>
              <w:rPr>
                <w:rFonts w:cstheme="majorHAnsi"/>
                <w:b/>
                <w:sz w:val="20"/>
                <w:szCs w:val="20"/>
              </w:rPr>
            </w:pPr>
            <w:r w:rsidRPr="0093114F">
              <w:rPr>
                <w:rFonts w:cstheme="majorHAnsi"/>
                <w:b/>
                <w:sz w:val="20"/>
                <w:szCs w:val="20"/>
              </w:rPr>
              <w:t>Toxicity</w:t>
            </w:r>
          </w:p>
        </w:tc>
        <w:tc>
          <w:tcPr>
            <w:tcW w:w="687" w:type="pct"/>
          </w:tcPr>
          <w:p w:rsidR="00814520" w:rsidRPr="0093114F" w:rsidRDefault="00814520" w:rsidP="00814520">
            <w:pPr>
              <w:pStyle w:val="TableHeading"/>
              <w:spacing w:before="120" w:after="120"/>
              <w:rPr>
                <w:rFonts w:cstheme="majorHAnsi"/>
                <w:b/>
                <w:sz w:val="20"/>
                <w:szCs w:val="20"/>
              </w:rPr>
            </w:pPr>
            <w:r w:rsidRPr="0093114F">
              <w:rPr>
                <w:rFonts w:cstheme="majorHAnsi"/>
                <w:b/>
                <w:sz w:val="20"/>
                <w:szCs w:val="20"/>
              </w:rPr>
              <w:t>Species</w:t>
            </w:r>
          </w:p>
        </w:tc>
        <w:tc>
          <w:tcPr>
            <w:tcW w:w="1298" w:type="pct"/>
          </w:tcPr>
          <w:p w:rsidR="00814520" w:rsidRPr="0093114F" w:rsidRDefault="00814520" w:rsidP="00814520">
            <w:pPr>
              <w:pStyle w:val="TableHeading"/>
              <w:spacing w:before="120" w:after="120"/>
              <w:rPr>
                <w:rFonts w:cstheme="majorHAnsi"/>
                <w:b/>
                <w:sz w:val="20"/>
                <w:szCs w:val="20"/>
              </w:rPr>
            </w:pPr>
            <w:proofErr w:type="spellStart"/>
            <w:r w:rsidRPr="00A75400">
              <w:rPr>
                <w:rFonts w:cstheme="majorHAnsi"/>
                <w:b/>
                <w:sz w:val="20"/>
                <w:szCs w:val="20"/>
              </w:rPr>
              <w:t>Spiropidion</w:t>
            </w:r>
            <w:proofErr w:type="spellEnd"/>
          </w:p>
        </w:tc>
        <w:tc>
          <w:tcPr>
            <w:tcW w:w="820" w:type="pct"/>
          </w:tcPr>
          <w:p w:rsidR="00814520" w:rsidRPr="0093114F" w:rsidRDefault="00814520" w:rsidP="00814520">
            <w:pPr>
              <w:pStyle w:val="TableHeading"/>
              <w:spacing w:before="120" w:after="120"/>
              <w:rPr>
                <w:rFonts w:cstheme="majorHAnsi"/>
                <w:b/>
                <w:sz w:val="20"/>
                <w:szCs w:val="20"/>
              </w:rPr>
            </w:pPr>
            <w:r w:rsidRPr="0093114F">
              <w:rPr>
                <w:rFonts w:cstheme="majorHAnsi"/>
                <w:b/>
                <w:sz w:val="20"/>
                <w:szCs w:val="20"/>
              </w:rPr>
              <w:t>SPF</w:t>
            </w:r>
            <w:r>
              <w:rPr>
                <w:rFonts w:cstheme="majorHAnsi"/>
                <w:b/>
                <w:sz w:val="20"/>
                <w:szCs w:val="20"/>
              </w:rPr>
              <w:t xml:space="preserve"> (2018)</w:t>
            </w:r>
            <w:r w:rsidRPr="0093114F">
              <w:rPr>
                <w:rFonts w:cstheme="majorHAnsi"/>
                <w:b/>
                <w:sz w:val="20"/>
                <w:szCs w:val="20"/>
              </w:rPr>
              <w:t xml:space="preserve"> Classification</w:t>
            </w:r>
            <w:r w:rsidRPr="00AC68E2">
              <w:rPr>
                <w:rStyle w:val="FootnoteReference"/>
              </w:rPr>
              <w:footnoteReference w:id="2"/>
            </w:r>
          </w:p>
        </w:tc>
      </w:tr>
      <w:tr w:rsidR="00814520" w:rsidRPr="0093114F" w:rsidTr="009D530B">
        <w:tc>
          <w:tcPr>
            <w:tcW w:w="2195" w:type="pct"/>
          </w:tcPr>
          <w:p w:rsidR="00814520" w:rsidRPr="0093114F" w:rsidRDefault="00814520" w:rsidP="00814520">
            <w:pPr>
              <w:spacing w:before="120" w:after="120"/>
              <w:rPr>
                <w:sz w:val="20"/>
                <w:szCs w:val="20"/>
              </w:rPr>
            </w:pPr>
            <w:r w:rsidRPr="0093114F">
              <w:rPr>
                <w:sz w:val="20"/>
                <w:szCs w:val="20"/>
              </w:rPr>
              <w:t>Acute oral toxicity LD</w:t>
            </w:r>
            <w:r w:rsidRPr="0093114F">
              <w:rPr>
                <w:sz w:val="20"/>
                <w:szCs w:val="20"/>
                <w:vertAlign w:val="subscript"/>
              </w:rPr>
              <w:t>50</w:t>
            </w:r>
            <w:r w:rsidRPr="0093114F">
              <w:rPr>
                <w:sz w:val="20"/>
                <w:szCs w:val="20"/>
              </w:rPr>
              <w:t xml:space="preserve"> (mg/kg </w:t>
            </w:r>
            <w:proofErr w:type="spellStart"/>
            <w:r w:rsidRPr="0093114F">
              <w:rPr>
                <w:sz w:val="20"/>
                <w:szCs w:val="20"/>
              </w:rPr>
              <w:t>bw</w:t>
            </w:r>
            <w:proofErr w:type="spellEnd"/>
            <w:r w:rsidRPr="0093114F">
              <w:rPr>
                <w:sz w:val="20"/>
                <w:szCs w:val="20"/>
              </w:rPr>
              <w:t>)</w:t>
            </w:r>
          </w:p>
        </w:tc>
        <w:tc>
          <w:tcPr>
            <w:tcW w:w="687" w:type="pct"/>
          </w:tcPr>
          <w:p w:rsidR="00814520" w:rsidRPr="0093114F" w:rsidRDefault="00814520" w:rsidP="00814520">
            <w:pPr>
              <w:spacing w:before="120" w:after="120"/>
              <w:rPr>
                <w:sz w:val="20"/>
                <w:szCs w:val="20"/>
                <w:lang w:eastAsia="en-US"/>
              </w:rPr>
            </w:pPr>
            <w:r>
              <w:rPr>
                <w:sz w:val="20"/>
                <w:szCs w:val="20"/>
                <w:lang w:eastAsia="en-US"/>
              </w:rPr>
              <w:t>Rat</w:t>
            </w:r>
          </w:p>
        </w:tc>
        <w:tc>
          <w:tcPr>
            <w:tcW w:w="1298" w:type="pct"/>
          </w:tcPr>
          <w:p w:rsidR="00814520" w:rsidRPr="0093114F" w:rsidRDefault="00814520" w:rsidP="00814520">
            <w:pPr>
              <w:spacing w:before="120" w:after="120"/>
              <w:rPr>
                <w:sz w:val="20"/>
                <w:szCs w:val="20"/>
              </w:rPr>
            </w:pPr>
            <w:r>
              <w:rPr>
                <w:sz w:val="20"/>
                <w:szCs w:val="20"/>
              </w:rPr>
              <w:t>~2670</w:t>
            </w:r>
          </w:p>
        </w:tc>
        <w:tc>
          <w:tcPr>
            <w:tcW w:w="820" w:type="pct"/>
          </w:tcPr>
          <w:p w:rsidR="00814520" w:rsidRPr="0093114F" w:rsidRDefault="00814520" w:rsidP="00814520">
            <w:pPr>
              <w:spacing w:before="120" w:after="120"/>
              <w:rPr>
                <w:sz w:val="20"/>
                <w:szCs w:val="20"/>
              </w:rPr>
            </w:pPr>
            <w:r>
              <w:rPr>
                <w:sz w:val="20"/>
                <w:szCs w:val="20"/>
              </w:rPr>
              <w:t>Schedule 5</w:t>
            </w:r>
          </w:p>
        </w:tc>
      </w:tr>
      <w:tr w:rsidR="00814520" w:rsidRPr="0093114F" w:rsidTr="009D530B">
        <w:tc>
          <w:tcPr>
            <w:tcW w:w="2195" w:type="pct"/>
          </w:tcPr>
          <w:p w:rsidR="00814520" w:rsidRPr="0093114F" w:rsidRDefault="00814520" w:rsidP="00814520">
            <w:pPr>
              <w:spacing w:before="120" w:after="120"/>
              <w:rPr>
                <w:sz w:val="20"/>
                <w:szCs w:val="20"/>
              </w:rPr>
            </w:pPr>
            <w:r w:rsidRPr="0093114F">
              <w:rPr>
                <w:sz w:val="20"/>
                <w:szCs w:val="20"/>
              </w:rPr>
              <w:t>Acute dermal toxicity LD</w:t>
            </w:r>
            <w:r w:rsidRPr="0093114F">
              <w:rPr>
                <w:sz w:val="20"/>
                <w:szCs w:val="20"/>
                <w:vertAlign w:val="subscript"/>
              </w:rPr>
              <w:t>50</w:t>
            </w:r>
            <w:r w:rsidRPr="0093114F">
              <w:rPr>
                <w:sz w:val="20"/>
                <w:szCs w:val="20"/>
              </w:rPr>
              <w:t xml:space="preserve"> (mg/kg </w:t>
            </w:r>
            <w:proofErr w:type="spellStart"/>
            <w:r w:rsidRPr="0093114F">
              <w:rPr>
                <w:sz w:val="20"/>
                <w:szCs w:val="20"/>
              </w:rPr>
              <w:t>bw</w:t>
            </w:r>
            <w:proofErr w:type="spellEnd"/>
            <w:r w:rsidRPr="0093114F">
              <w:rPr>
                <w:sz w:val="20"/>
                <w:szCs w:val="20"/>
              </w:rPr>
              <w:t>)</w:t>
            </w:r>
          </w:p>
        </w:tc>
        <w:tc>
          <w:tcPr>
            <w:tcW w:w="687" w:type="pct"/>
          </w:tcPr>
          <w:p w:rsidR="00814520" w:rsidRPr="0093114F" w:rsidRDefault="00814520" w:rsidP="00814520">
            <w:pPr>
              <w:spacing w:before="120" w:after="120"/>
              <w:rPr>
                <w:sz w:val="20"/>
                <w:szCs w:val="20"/>
              </w:rPr>
            </w:pPr>
            <w:r>
              <w:rPr>
                <w:sz w:val="20"/>
                <w:szCs w:val="20"/>
                <w:lang w:eastAsia="en-US"/>
              </w:rPr>
              <w:t>Rat</w:t>
            </w:r>
          </w:p>
        </w:tc>
        <w:tc>
          <w:tcPr>
            <w:tcW w:w="1298" w:type="pct"/>
          </w:tcPr>
          <w:p w:rsidR="00814520" w:rsidRPr="0093114F" w:rsidRDefault="00814520" w:rsidP="00814520">
            <w:pPr>
              <w:spacing w:before="120" w:after="120"/>
              <w:rPr>
                <w:sz w:val="20"/>
                <w:szCs w:val="20"/>
              </w:rPr>
            </w:pPr>
            <w:r>
              <w:rPr>
                <w:sz w:val="20"/>
                <w:szCs w:val="20"/>
              </w:rPr>
              <w:t>&gt;5000 ( no deaths)</w:t>
            </w:r>
          </w:p>
        </w:tc>
        <w:tc>
          <w:tcPr>
            <w:tcW w:w="820" w:type="pct"/>
          </w:tcPr>
          <w:p w:rsidR="00814520" w:rsidRPr="0093114F" w:rsidRDefault="00814520" w:rsidP="00814520">
            <w:pPr>
              <w:spacing w:before="120" w:after="120"/>
              <w:rPr>
                <w:sz w:val="20"/>
                <w:szCs w:val="20"/>
              </w:rPr>
            </w:pPr>
            <w:r>
              <w:rPr>
                <w:sz w:val="20"/>
                <w:szCs w:val="20"/>
              </w:rPr>
              <w:t>-</w:t>
            </w:r>
          </w:p>
        </w:tc>
      </w:tr>
      <w:tr w:rsidR="00814520" w:rsidRPr="0093114F" w:rsidTr="009D530B">
        <w:tc>
          <w:tcPr>
            <w:tcW w:w="2195" w:type="pct"/>
          </w:tcPr>
          <w:p w:rsidR="00814520" w:rsidRPr="0093114F" w:rsidRDefault="00814520" w:rsidP="00814520">
            <w:pPr>
              <w:spacing w:before="120" w:after="120"/>
              <w:rPr>
                <w:sz w:val="20"/>
                <w:szCs w:val="20"/>
              </w:rPr>
            </w:pPr>
            <w:r w:rsidRPr="0093114F">
              <w:rPr>
                <w:sz w:val="20"/>
                <w:szCs w:val="20"/>
              </w:rPr>
              <w:t>Acute inhalational toxicity LC</w:t>
            </w:r>
            <w:r w:rsidRPr="0093114F">
              <w:rPr>
                <w:sz w:val="20"/>
                <w:szCs w:val="20"/>
                <w:vertAlign w:val="subscript"/>
              </w:rPr>
              <w:t>50</w:t>
            </w:r>
            <w:r w:rsidRPr="0093114F">
              <w:rPr>
                <w:sz w:val="20"/>
                <w:szCs w:val="20"/>
              </w:rPr>
              <w:t xml:space="preserve"> (mg/m</w:t>
            </w:r>
            <w:r w:rsidRPr="0093114F">
              <w:rPr>
                <w:sz w:val="20"/>
                <w:szCs w:val="20"/>
                <w:vertAlign w:val="superscript"/>
              </w:rPr>
              <w:t>3</w:t>
            </w:r>
            <w:r w:rsidRPr="0093114F">
              <w:rPr>
                <w:sz w:val="20"/>
                <w:szCs w:val="20"/>
              </w:rPr>
              <w:t>/4h)</w:t>
            </w:r>
          </w:p>
        </w:tc>
        <w:tc>
          <w:tcPr>
            <w:tcW w:w="687" w:type="pct"/>
          </w:tcPr>
          <w:p w:rsidR="00814520" w:rsidRPr="0093114F" w:rsidRDefault="00814520" w:rsidP="00814520">
            <w:pPr>
              <w:spacing w:before="120" w:after="120"/>
              <w:rPr>
                <w:sz w:val="20"/>
                <w:szCs w:val="20"/>
              </w:rPr>
            </w:pPr>
            <w:r>
              <w:rPr>
                <w:sz w:val="20"/>
                <w:szCs w:val="20"/>
                <w:lang w:eastAsia="en-US"/>
              </w:rPr>
              <w:t>Rat</w:t>
            </w:r>
          </w:p>
        </w:tc>
        <w:tc>
          <w:tcPr>
            <w:tcW w:w="1298" w:type="pct"/>
          </w:tcPr>
          <w:p w:rsidR="00814520" w:rsidRPr="0093114F" w:rsidRDefault="00814520" w:rsidP="00814520">
            <w:pPr>
              <w:spacing w:before="120" w:after="120"/>
              <w:rPr>
                <w:sz w:val="20"/>
                <w:szCs w:val="20"/>
              </w:rPr>
            </w:pPr>
            <w:r>
              <w:rPr>
                <w:sz w:val="20"/>
                <w:szCs w:val="20"/>
              </w:rPr>
              <w:t>&gt;1120 (no deaths)</w:t>
            </w:r>
          </w:p>
        </w:tc>
        <w:tc>
          <w:tcPr>
            <w:tcW w:w="820" w:type="pct"/>
          </w:tcPr>
          <w:p w:rsidR="00814520" w:rsidRPr="0093114F" w:rsidRDefault="00814520" w:rsidP="00814520">
            <w:pPr>
              <w:spacing w:before="120" w:after="120"/>
              <w:rPr>
                <w:sz w:val="20"/>
                <w:szCs w:val="20"/>
              </w:rPr>
            </w:pPr>
            <w:r>
              <w:rPr>
                <w:sz w:val="20"/>
                <w:szCs w:val="20"/>
              </w:rPr>
              <w:t>Schedule 6</w:t>
            </w:r>
          </w:p>
        </w:tc>
      </w:tr>
      <w:tr w:rsidR="00814520" w:rsidRPr="0093114F" w:rsidTr="009D530B">
        <w:tc>
          <w:tcPr>
            <w:tcW w:w="2195" w:type="pct"/>
          </w:tcPr>
          <w:p w:rsidR="00814520" w:rsidRPr="0093114F" w:rsidRDefault="00814520" w:rsidP="00814520">
            <w:pPr>
              <w:spacing w:before="120" w:after="120"/>
              <w:rPr>
                <w:sz w:val="20"/>
                <w:szCs w:val="20"/>
              </w:rPr>
            </w:pPr>
            <w:r w:rsidRPr="0093114F">
              <w:rPr>
                <w:sz w:val="20"/>
                <w:szCs w:val="20"/>
              </w:rPr>
              <w:t>Skin irritation</w:t>
            </w:r>
          </w:p>
        </w:tc>
        <w:tc>
          <w:tcPr>
            <w:tcW w:w="687" w:type="pct"/>
          </w:tcPr>
          <w:p w:rsidR="00814520" w:rsidRPr="0093114F" w:rsidRDefault="00814520" w:rsidP="00814520">
            <w:pPr>
              <w:spacing w:before="120" w:after="120"/>
              <w:rPr>
                <w:sz w:val="20"/>
                <w:szCs w:val="20"/>
              </w:rPr>
            </w:pPr>
            <w:r>
              <w:rPr>
                <w:sz w:val="20"/>
                <w:szCs w:val="20"/>
              </w:rPr>
              <w:t>Rabbit</w:t>
            </w:r>
          </w:p>
        </w:tc>
        <w:tc>
          <w:tcPr>
            <w:tcW w:w="1298" w:type="pct"/>
          </w:tcPr>
          <w:p w:rsidR="00814520" w:rsidRPr="0093114F" w:rsidRDefault="00814520" w:rsidP="00814520">
            <w:pPr>
              <w:spacing w:before="120" w:after="120"/>
              <w:rPr>
                <w:sz w:val="20"/>
                <w:szCs w:val="20"/>
              </w:rPr>
            </w:pPr>
            <w:r w:rsidRPr="001B4AA3">
              <w:rPr>
                <w:sz w:val="20"/>
                <w:szCs w:val="20"/>
              </w:rPr>
              <w:t>Non-irritant</w:t>
            </w:r>
          </w:p>
        </w:tc>
        <w:tc>
          <w:tcPr>
            <w:tcW w:w="820" w:type="pct"/>
          </w:tcPr>
          <w:p w:rsidR="00814520" w:rsidRPr="0093114F" w:rsidRDefault="00814520" w:rsidP="00814520">
            <w:pPr>
              <w:spacing w:before="120" w:after="120"/>
              <w:rPr>
                <w:sz w:val="20"/>
                <w:szCs w:val="20"/>
              </w:rPr>
            </w:pPr>
            <w:r>
              <w:rPr>
                <w:sz w:val="20"/>
                <w:szCs w:val="20"/>
              </w:rPr>
              <w:t>-</w:t>
            </w:r>
          </w:p>
        </w:tc>
      </w:tr>
      <w:tr w:rsidR="00814520" w:rsidRPr="0093114F" w:rsidTr="009D530B">
        <w:tc>
          <w:tcPr>
            <w:tcW w:w="2195" w:type="pct"/>
          </w:tcPr>
          <w:p w:rsidR="00814520" w:rsidRPr="0093114F" w:rsidRDefault="009D530B" w:rsidP="00814520">
            <w:pPr>
              <w:spacing w:before="120" w:after="120"/>
              <w:rPr>
                <w:sz w:val="20"/>
                <w:szCs w:val="20"/>
              </w:rPr>
            </w:pPr>
            <w:r>
              <w:rPr>
                <w:sz w:val="20"/>
                <w:szCs w:val="20"/>
              </w:rPr>
              <w:t>Eye irritation</w:t>
            </w:r>
          </w:p>
        </w:tc>
        <w:tc>
          <w:tcPr>
            <w:tcW w:w="687" w:type="pct"/>
          </w:tcPr>
          <w:p w:rsidR="00814520" w:rsidRPr="0093114F" w:rsidRDefault="00814520" w:rsidP="00814520">
            <w:pPr>
              <w:spacing w:before="120" w:after="120"/>
              <w:rPr>
                <w:sz w:val="20"/>
                <w:szCs w:val="20"/>
              </w:rPr>
            </w:pPr>
            <w:r>
              <w:rPr>
                <w:sz w:val="20"/>
                <w:szCs w:val="20"/>
              </w:rPr>
              <w:t>Rabbit</w:t>
            </w:r>
          </w:p>
        </w:tc>
        <w:tc>
          <w:tcPr>
            <w:tcW w:w="1298" w:type="pct"/>
          </w:tcPr>
          <w:p w:rsidR="00814520" w:rsidRPr="0093114F" w:rsidRDefault="00814520" w:rsidP="00814520">
            <w:pPr>
              <w:spacing w:before="120" w:after="120"/>
              <w:rPr>
                <w:sz w:val="20"/>
                <w:szCs w:val="20"/>
              </w:rPr>
            </w:pPr>
            <w:r w:rsidRPr="001B4AA3">
              <w:rPr>
                <w:sz w:val="20"/>
                <w:szCs w:val="20"/>
              </w:rPr>
              <w:t>Non-irritant</w:t>
            </w:r>
          </w:p>
        </w:tc>
        <w:tc>
          <w:tcPr>
            <w:tcW w:w="820" w:type="pct"/>
          </w:tcPr>
          <w:p w:rsidR="00814520" w:rsidRPr="0093114F" w:rsidRDefault="00814520" w:rsidP="00814520">
            <w:pPr>
              <w:spacing w:before="120" w:after="120"/>
              <w:rPr>
                <w:sz w:val="20"/>
                <w:szCs w:val="20"/>
              </w:rPr>
            </w:pPr>
            <w:r>
              <w:rPr>
                <w:sz w:val="20"/>
                <w:szCs w:val="20"/>
              </w:rPr>
              <w:t>-</w:t>
            </w:r>
          </w:p>
        </w:tc>
      </w:tr>
      <w:tr w:rsidR="00814520" w:rsidRPr="0093114F" w:rsidTr="009D530B">
        <w:tc>
          <w:tcPr>
            <w:tcW w:w="2195" w:type="pct"/>
          </w:tcPr>
          <w:p w:rsidR="00814520" w:rsidRPr="0093114F" w:rsidRDefault="00814520" w:rsidP="00814520">
            <w:pPr>
              <w:spacing w:before="120" w:after="120"/>
              <w:rPr>
                <w:sz w:val="20"/>
                <w:szCs w:val="20"/>
              </w:rPr>
            </w:pPr>
            <w:r w:rsidRPr="0093114F">
              <w:rPr>
                <w:sz w:val="20"/>
                <w:szCs w:val="20"/>
              </w:rPr>
              <w:t xml:space="preserve">Skin </w:t>
            </w:r>
            <w:r w:rsidRPr="001B4AA3">
              <w:rPr>
                <w:sz w:val="20"/>
                <w:szCs w:val="20"/>
              </w:rPr>
              <w:t>sensitisation (LLNA)</w:t>
            </w:r>
          </w:p>
        </w:tc>
        <w:tc>
          <w:tcPr>
            <w:tcW w:w="687" w:type="pct"/>
          </w:tcPr>
          <w:p w:rsidR="00814520" w:rsidRPr="0093114F" w:rsidRDefault="00814520" w:rsidP="00814520">
            <w:pPr>
              <w:spacing w:before="120" w:after="120"/>
              <w:rPr>
                <w:sz w:val="20"/>
                <w:szCs w:val="20"/>
              </w:rPr>
            </w:pPr>
            <w:r>
              <w:rPr>
                <w:sz w:val="20"/>
                <w:szCs w:val="20"/>
              </w:rPr>
              <w:t>Mouse</w:t>
            </w:r>
          </w:p>
        </w:tc>
        <w:tc>
          <w:tcPr>
            <w:tcW w:w="1298" w:type="pct"/>
          </w:tcPr>
          <w:p w:rsidR="00814520" w:rsidRPr="0093114F" w:rsidRDefault="00814520" w:rsidP="00814520">
            <w:pPr>
              <w:spacing w:before="120" w:after="120"/>
              <w:rPr>
                <w:sz w:val="20"/>
                <w:szCs w:val="20"/>
              </w:rPr>
            </w:pPr>
            <w:r>
              <w:rPr>
                <w:sz w:val="20"/>
                <w:szCs w:val="20"/>
              </w:rPr>
              <w:t>Sensitiser (EC</w:t>
            </w:r>
            <w:r w:rsidRPr="001B4AA3">
              <w:rPr>
                <w:sz w:val="20"/>
                <w:szCs w:val="20"/>
                <w:vertAlign w:val="subscript"/>
              </w:rPr>
              <w:t>3</w:t>
            </w:r>
            <w:r>
              <w:rPr>
                <w:sz w:val="20"/>
                <w:szCs w:val="20"/>
              </w:rPr>
              <w:t xml:space="preserve"> ~0.4%)*</w:t>
            </w:r>
          </w:p>
        </w:tc>
        <w:tc>
          <w:tcPr>
            <w:tcW w:w="820" w:type="pct"/>
          </w:tcPr>
          <w:p w:rsidR="00814520" w:rsidRPr="0093114F" w:rsidRDefault="00814520" w:rsidP="00814520">
            <w:pPr>
              <w:spacing w:before="120" w:after="120"/>
              <w:rPr>
                <w:sz w:val="20"/>
                <w:szCs w:val="20"/>
              </w:rPr>
            </w:pPr>
            <w:r>
              <w:rPr>
                <w:sz w:val="20"/>
                <w:szCs w:val="20"/>
              </w:rPr>
              <w:t>Schedule 6</w:t>
            </w:r>
          </w:p>
        </w:tc>
      </w:tr>
    </w:tbl>
    <w:p w:rsidR="00814520" w:rsidRPr="002B4610" w:rsidRDefault="00814520" w:rsidP="00C43B02">
      <w:pPr>
        <w:pStyle w:val="Tabledescription"/>
      </w:pPr>
      <w:r w:rsidRPr="002B4610">
        <w:t xml:space="preserve">*Note </w:t>
      </w:r>
      <w:proofErr w:type="gramStart"/>
      <w:r w:rsidRPr="00C43B02">
        <w:t>This</w:t>
      </w:r>
      <w:proofErr w:type="gramEnd"/>
      <w:r w:rsidRPr="002B4610">
        <w:t xml:space="preserve"> value could not be found in the assessment report</w:t>
      </w:r>
    </w:p>
    <w:p w:rsidR="00814520" w:rsidRPr="00C43B02" w:rsidRDefault="00C43B02" w:rsidP="00C43B02">
      <w:pPr>
        <w:pStyle w:val="Heading6"/>
        <w:rPr>
          <w:rFonts w:eastAsiaTheme="majorEastAsia"/>
        </w:rPr>
      </w:pPr>
      <w:r w:rsidRPr="00C43B02">
        <w:rPr>
          <w:rFonts w:eastAsiaTheme="majorEastAsia"/>
        </w:rPr>
        <w:t>Acute toxicity</w:t>
      </w:r>
    </w:p>
    <w:p w:rsidR="00814520" w:rsidRDefault="00814520" w:rsidP="006C182D">
      <w:pPr>
        <w:rPr>
          <w:highlight w:val="cyan"/>
        </w:rPr>
      </w:pPr>
      <w:r>
        <w:t xml:space="preserve">In rat studies, </w:t>
      </w:r>
      <w:proofErr w:type="spellStart"/>
      <w:r>
        <w:t>s</w:t>
      </w:r>
      <w:r w:rsidRPr="005A28FF">
        <w:t>piropidion</w:t>
      </w:r>
      <w:proofErr w:type="spellEnd"/>
      <w:r>
        <w:t xml:space="preserve"> had low acute oral and acute dermal toxicity, and moderate acute inhalational toxicity.</w:t>
      </w:r>
    </w:p>
    <w:p w:rsidR="00814520" w:rsidRDefault="00814520" w:rsidP="00814520">
      <w:pPr>
        <w:pStyle w:val="Heading6"/>
        <w:rPr>
          <w:rFonts w:eastAsiaTheme="majorEastAsia"/>
        </w:rPr>
      </w:pPr>
      <w:r>
        <w:rPr>
          <w:rFonts w:eastAsiaTheme="majorEastAsia"/>
        </w:rPr>
        <w:t>Skin irritation</w:t>
      </w:r>
    </w:p>
    <w:p w:rsidR="00814520" w:rsidRDefault="00814520" w:rsidP="006C182D">
      <w:pPr>
        <w:rPr>
          <w:highlight w:val="cyan"/>
        </w:rPr>
      </w:pPr>
      <w:proofErr w:type="spellStart"/>
      <w:r w:rsidRPr="005A28FF">
        <w:t>Spiropidion</w:t>
      </w:r>
      <w:proofErr w:type="spellEnd"/>
      <w:r>
        <w:t xml:space="preserve"> was not a skin irritant in rabbit studies.</w:t>
      </w:r>
    </w:p>
    <w:p w:rsidR="00814520" w:rsidRPr="00735FFC" w:rsidRDefault="00814520" w:rsidP="00814520">
      <w:pPr>
        <w:pStyle w:val="Heading6"/>
      </w:pPr>
      <w:r>
        <w:lastRenderedPageBreak/>
        <w:t>Eye irritation</w:t>
      </w:r>
    </w:p>
    <w:p w:rsidR="00814520" w:rsidRDefault="00814520" w:rsidP="006C182D">
      <w:pPr>
        <w:rPr>
          <w:highlight w:val="cyan"/>
        </w:rPr>
      </w:pPr>
      <w:proofErr w:type="spellStart"/>
      <w:r w:rsidRPr="005A28FF">
        <w:t>Spiropidion</w:t>
      </w:r>
      <w:proofErr w:type="spellEnd"/>
      <w:r>
        <w:t xml:space="preserve"> was not an eye irritant in rabbit studies.</w:t>
      </w:r>
    </w:p>
    <w:p w:rsidR="00814520" w:rsidRDefault="00814520" w:rsidP="00814520">
      <w:pPr>
        <w:pStyle w:val="Heading6"/>
        <w:rPr>
          <w:rFonts w:eastAsiaTheme="majorEastAsia"/>
        </w:rPr>
      </w:pPr>
      <w:r>
        <w:rPr>
          <w:rFonts w:eastAsiaTheme="majorEastAsia"/>
        </w:rPr>
        <w:t>Sensitization</w:t>
      </w:r>
    </w:p>
    <w:p w:rsidR="00814520" w:rsidRDefault="00814520" w:rsidP="006C182D">
      <w:proofErr w:type="spellStart"/>
      <w:r w:rsidRPr="005A28FF">
        <w:t>Spiropidion</w:t>
      </w:r>
      <w:proofErr w:type="spellEnd"/>
      <w:r>
        <w:t xml:space="preserve"> was a skin sensitiser in mouse LLNA test (estimated EC</w:t>
      </w:r>
      <w:r w:rsidRPr="00BE0816">
        <w:rPr>
          <w:vertAlign w:val="subscript"/>
        </w:rPr>
        <w:t>3</w:t>
      </w:r>
      <w:r>
        <w:t>~0.4%).</w:t>
      </w:r>
    </w:p>
    <w:p w:rsidR="00814520" w:rsidRDefault="00814520" w:rsidP="00814520">
      <w:pPr>
        <w:pStyle w:val="Heading6"/>
        <w:rPr>
          <w:rFonts w:eastAsiaTheme="majorEastAsia"/>
        </w:rPr>
      </w:pPr>
      <w:r>
        <w:rPr>
          <w:rFonts w:eastAsiaTheme="majorEastAsia"/>
        </w:rPr>
        <w:t>Repeat-dose toxicity</w:t>
      </w:r>
    </w:p>
    <w:p w:rsidR="00814520" w:rsidRDefault="00814520" w:rsidP="006C182D">
      <w:proofErr w:type="spellStart"/>
      <w:r w:rsidRPr="00295777">
        <w:t>Spiropidion</w:t>
      </w:r>
      <w:proofErr w:type="spellEnd"/>
      <w:r w:rsidRPr="00295777">
        <w:t xml:space="preserve"> was tested in short-term repeat-dose toxicity studies </w:t>
      </w:r>
      <w:r>
        <w:t>when administered in the diet to</w:t>
      </w:r>
      <w:r w:rsidRPr="00295777">
        <w:t xml:space="preserve"> mice and rats and in dogs when administered by oral capsule. Long-term dietary toxicity/carcinogenicity studies were performed in mice and rats. The more common effects included decreased bodyweight, bodyweight gain and food intake, and slight to moderate changes in cholesterol and triglycerides.</w:t>
      </w:r>
    </w:p>
    <w:p w:rsidR="00814520" w:rsidRPr="009E0DAD" w:rsidRDefault="00814520" w:rsidP="006C182D">
      <w:r w:rsidRPr="00295777">
        <w:t>The more marked observations were severe adverse clinical signs of systemic neurotoxicity in the form of seizures, tremors or convulsions (and associated clinical signs) that were considered to be treatment-related and the severity of these</w:t>
      </w:r>
      <w:r>
        <w:t>,</w:t>
      </w:r>
      <w:r w:rsidRPr="00295777">
        <w:t xml:space="preserve"> warranted unscheduled sacrifice. There were no findings at necropsy or at microscopic examination re</w:t>
      </w:r>
      <w:r>
        <w:t xml:space="preserve">lated to </w:t>
      </w:r>
      <w:r w:rsidRPr="00295777">
        <w:t>these observations.</w:t>
      </w:r>
      <w:r>
        <w:t xml:space="preserve"> </w:t>
      </w:r>
      <w:proofErr w:type="spellStart"/>
      <w:r w:rsidRPr="009E0DAD">
        <w:t>Spiropidion</w:t>
      </w:r>
      <w:proofErr w:type="spellEnd"/>
      <w:r w:rsidRPr="009E0DAD">
        <w:t xml:space="preserve"> did not cause any dose-dependent treatment-related effects on in-cage, in-hand, arena reactivity and motor activity observations in an acute neurotoxicity study in rats. Repeat-dose neurotoxicity or developmental neurotoxicity studies were not available</w:t>
      </w:r>
      <w:r>
        <w:t>.</w:t>
      </w:r>
    </w:p>
    <w:p w:rsidR="00814520" w:rsidRDefault="00814520" w:rsidP="006C182D">
      <w:r>
        <w:t xml:space="preserve">Dogs appeared more sensitive than mice and rats to </w:t>
      </w:r>
      <w:proofErr w:type="spellStart"/>
      <w:r w:rsidRPr="009E0DAD">
        <w:t>spiropidion</w:t>
      </w:r>
      <w:r>
        <w:t>’s</w:t>
      </w:r>
      <w:proofErr w:type="spellEnd"/>
      <w:r>
        <w:t xml:space="preserve"> neurotoxic effects, although the difference may be attributable to the route, </w:t>
      </w:r>
      <w:r w:rsidRPr="00716FA7">
        <w:t>i.e.</w:t>
      </w:r>
      <w:r>
        <w:t xml:space="preserve"> oral gavage/capsule in </w:t>
      </w:r>
      <w:proofErr w:type="gramStart"/>
      <w:r>
        <w:t>dogs</w:t>
      </w:r>
      <w:proofErr w:type="gramEnd"/>
      <w:r>
        <w:t xml:space="preserve"> </w:t>
      </w:r>
      <w:r w:rsidRPr="00444488">
        <w:rPr>
          <w:i/>
        </w:rPr>
        <w:t>vs</w:t>
      </w:r>
      <w:r>
        <w:t xml:space="preserve"> diet in mice and rats. The lowest NOAEL values based on neurotoxic effects were </w:t>
      </w:r>
      <w:r w:rsidRPr="001672F0">
        <w:t>117/126 mg/kg </w:t>
      </w:r>
      <w:proofErr w:type="spellStart"/>
      <w:r w:rsidRPr="001672F0">
        <w:t>bw</w:t>
      </w:r>
      <w:proofErr w:type="spellEnd"/>
      <w:r w:rsidRPr="001672F0">
        <w:t>/d (</w:t>
      </w:r>
      <w:r>
        <w:t>M</w:t>
      </w:r>
      <w:r w:rsidRPr="001672F0">
        <w:t>/</w:t>
      </w:r>
      <w:r>
        <w:t xml:space="preserve">F) in mice, </w:t>
      </w:r>
      <w:r w:rsidRPr="001672F0">
        <w:t>44 mg/kg </w:t>
      </w:r>
      <w:proofErr w:type="spellStart"/>
      <w:r w:rsidRPr="001672F0">
        <w:t>bw</w:t>
      </w:r>
      <w:proofErr w:type="spellEnd"/>
      <w:r w:rsidRPr="001672F0">
        <w:t>/d (</w:t>
      </w:r>
      <w:r>
        <w:t>M&amp;F</w:t>
      </w:r>
      <w:r w:rsidRPr="001672F0">
        <w:t>) in rats and 10 mg/kg </w:t>
      </w:r>
      <w:proofErr w:type="spellStart"/>
      <w:r w:rsidRPr="001672F0">
        <w:t>bw</w:t>
      </w:r>
      <w:proofErr w:type="spellEnd"/>
      <w:r w:rsidRPr="001672F0">
        <w:t xml:space="preserve">/d </w:t>
      </w:r>
      <w:r>
        <w:t xml:space="preserve">(M&amp;F) </w:t>
      </w:r>
      <w:r w:rsidRPr="001672F0">
        <w:t>in dogs</w:t>
      </w:r>
      <w:r>
        <w:t>.</w:t>
      </w:r>
    </w:p>
    <w:p w:rsidR="00814520" w:rsidRDefault="00814520" w:rsidP="006C182D">
      <w:r w:rsidRPr="009E0DAD">
        <w:t>The Acute Reference Dose (</w:t>
      </w:r>
      <w:proofErr w:type="spellStart"/>
      <w:r w:rsidRPr="009E0DAD">
        <w:t>ARfD</w:t>
      </w:r>
      <w:proofErr w:type="spellEnd"/>
      <w:r w:rsidRPr="009E0DAD">
        <w:t xml:space="preserve">) for </w:t>
      </w:r>
      <w:proofErr w:type="spellStart"/>
      <w:r w:rsidRPr="009E0DAD">
        <w:t>spiropidion</w:t>
      </w:r>
      <w:proofErr w:type="spellEnd"/>
      <w:r w:rsidRPr="009E0DAD">
        <w:t xml:space="preserve"> was established at 0.3 mg/kg </w:t>
      </w:r>
      <w:proofErr w:type="spellStart"/>
      <w:proofErr w:type="gramStart"/>
      <w:r w:rsidRPr="009E0DAD">
        <w:t>bw</w:t>
      </w:r>
      <w:proofErr w:type="spellEnd"/>
      <w:proofErr w:type="gramEnd"/>
      <w:r w:rsidRPr="009E0DAD">
        <w:t xml:space="preserve"> based on a NOAEL of 30 mg/kg </w:t>
      </w:r>
      <w:proofErr w:type="spellStart"/>
      <w:r w:rsidRPr="009E0DAD">
        <w:t>bw</w:t>
      </w:r>
      <w:proofErr w:type="spellEnd"/>
      <w:r w:rsidRPr="009E0DAD">
        <w:t xml:space="preserve"> in a short term oral dosing study in dogs, where clinical signs of neurotoxicity were seen after two days at 100 mg/kg </w:t>
      </w:r>
      <w:proofErr w:type="spellStart"/>
      <w:r w:rsidRPr="009E0DAD">
        <w:t>bw</w:t>
      </w:r>
      <w:proofErr w:type="spellEnd"/>
      <w:r w:rsidRPr="009E0DAD">
        <w:t xml:space="preserve">/d and after four days at 65 mg/kg </w:t>
      </w:r>
      <w:proofErr w:type="spellStart"/>
      <w:r w:rsidRPr="009E0DAD">
        <w:t>bw</w:t>
      </w:r>
      <w:proofErr w:type="spellEnd"/>
      <w:r w:rsidRPr="009E0DAD">
        <w:t>/d.</w:t>
      </w:r>
      <w:r>
        <w:t xml:space="preserve"> In a 52 week dog study, a NOAEL of </w:t>
      </w:r>
      <w:r w:rsidRPr="00702DE3">
        <w:t>10</w:t>
      </w:r>
      <w:r>
        <w:t> </w:t>
      </w:r>
      <w:r w:rsidRPr="00702DE3">
        <w:t>mg/kg</w:t>
      </w:r>
      <w:r>
        <w:t> </w:t>
      </w:r>
      <w:proofErr w:type="spellStart"/>
      <w:r w:rsidRPr="00702DE3">
        <w:t>bw</w:t>
      </w:r>
      <w:proofErr w:type="spellEnd"/>
      <w:r w:rsidRPr="00702DE3">
        <w:t>/d</w:t>
      </w:r>
      <w:r>
        <w:t xml:space="preserve"> was established, based on neurotoxic effects at the higher dose of 30 </w:t>
      </w:r>
      <w:r w:rsidRPr="00702DE3">
        <w:t>mg/kg</w:t>
      </w:r>
      <w:r>
        <w:t> </w:t>
      </w:r>
      <w:proofErr w:type="spellStart"/>
      <w:r w:rsidRPr="00702DE3">
        <w:t>bw</w:t>
      </w:r>
      <w:proofErr w:type="spellEnd"/>
      <w:r w:rsidRPr="00702DE3">
        <w:t>/d</w:t>
      </w:r>
      <w:r>
        <w:t>.</w:t>
      </w:r>
    </w:p>
    <w:p w:rsidR="00814520" w:rsidRDefault="00814520" w:rsidP="006C182D">
      <w:r>
        <w:t xml:space="preserve">An acute </w:t>
      </w:r>
      <w:r w:rsidRPr="00185A0C">
        <w:t>neurotoxicity NOAEL</w:t>
      </w:r>
      <w:r>
        <w:t xml:space="preserve"> was established at </w:t>
      </w:r>
      <w:r w:rsidRPr="00185A0C">
        <w:t xml:space="preserve">150 mg/kg </w:t>
      </w:r>
      <w:proofErr w:type="spellStart"/>
      <w:proofErr w:type="gramStart"/>
      <w:r w:rsidRPr="00185A0C">
        <w:t>bw</w:t>
      </w:r>
      <w:proofErr w:type="spellEnd"/>
      <w:proofErr w:type="gramEnd"/>
      <w:r>
        <w:t xml:space="preserve"> in </w:t>
      </w:r>
      <w:r w:rsidRPr="00185A0C">
        <w:t xml:space="preserve">female rats, based on convulsions 8 h </w:t>
      </w:r>
      <w:r>
        <w:t xml:space="preserve">after dosing at 500 mg/kg </w:t>
      </w:r>
      <w:proofErr w:type="spellStart"/>
      <w:r>
        <w:t>bw</w:t>
      </w:r>
      <w:proofErr w:type="spellEnd"/>
      <w:r w:rsidRPr="00185A0C">
        <w:t>.</w:t>
      </w:r>
    </w:p>
    <w:p w:rsidR="00814520" w:rsidRDefault="00716FA7" w:rsidP="00814520">
      <w:pPr>
        <w:pStyle w:val="Heading6"/>
        <w:rPr>
          <w:rFonts w:eastAsiaTheme="majorEastAsia"/>
        </w:rPr>
      </w:pPr>
      <w:r>
        <w:rPr>
          <w:rFonts w:eastAsiaTheme="majorEastAsia"/>
        </w:rPr>
        <w:t>Genotoxicity</w:t>
      </w:r>
    </w:p>
    <w:p w:rsidR="00814520" w:rsidRDefault="00814520" w:rsidP="006C182D">
      <w:proofErr w:type="spellStart"/>
      <w:r>
        <w:t>S</w:t>
      </w:r>
      <w:r w:rsidRPr="00D90E85">
        <w:t>piropidion</w:t>
      </w:r>
      <w:r>
        <w:t>’s</w:t>
      </w:r>
      <w:proofErr w:type="spellEnd"/>
      <w:r>
        <w:t xml:space="preserve"> potential for g</w:t>
      </w:r>
      <w:r w:rsidRPr="00C84730">
        <w:t xml:space="preserve">enotoxicity was investigated </w:t>
      </w:r>
      <w:r>
        <w:t>in</w:t>
      </w:r>
      <w:r w:rsidRPr="00C84730">
        <w:t xml:space="preserve"> a standard battery of </w:t>
      </w:r>
      <w:r w:rsidRPr="004A748F">
        <w:rPr>
          <w:i/>
        </w:rPr>
        <w:t>in vitro</w:t>
      </w:r>
      <w:r w:rsidRPr="00C84730">
        <w:t xml:space="preserve"> and </w:t>
      </w:r>
      <w:r w:rsidRPr="004A748F">
        <w:rPr>
          <w:i/>
        </w:rPr>
        <w:t>in vivo</w:t>
      </w:r>
      <w:r>
        <w:t xml:space="preserve"> tests. </w:t>
      </w:r>
      <w:r w:rsidRPr="00C84730">
        <w:t xml:space="preserve">All tests were negative except </w:t>
      </w:r>
      <w:r>
        <w:t>for</w:t>
      </w:r>
      <w:r w:rsidRPr="00C84730">
        <w:t xml:space="preserve"> one </w:t>
      </w:r>
      <w:r w:rsidRPr="004A748F">
        <w:rPr>
          <w:i/>
        </w:rPr>
        <w:t>in vitro</w:t>
      </w:r>
      <w:r w:rsidRPr="00C84730">
        <w:t xml:space="preserve"> test for chromosome abe</w:t>
      </w:r>
      <w:r>
        <w:t xml:space="preserve">rration in human </w:t>
      </w:r>
      <w:proofErr w:type="gramStart"/>
      <w:r>
        <w:t xml:space="preserve">lymphocytes, which tested </w:t>
      </w:r>
      <w:proofErr w:type="spellStart"/>
      <w:r>
        <w:t>s</w:t>
      </w:r>
      <w:r w:rsidRPr="0073388D">
        <w:t>piropidion</w:t>
      </w:r>
      <w:proofErr w:type="spellEnd"/>
      <w:r w:rsidRPr="0073388D">
        <w:t xml:space="preserve"> up </w:t>
      </w:r>
      <w:r>
        <w:t>to precipitating concentrations,</w:t>
      </w:r>
      <w:r w:rsidRPr="0073388D">
        <w:t xml:space="preserve"> and </w:t>
      </w:r>
      <w:r>
        <w:t>was</w:t>
      </w:r>
      <w:proofErr w:type="gramEnd"/>
      <w:r>
        <w:t xml:space="preserve"> positive in </w:t>
      </w:r>
      <w:r w:rsidRPr="00992510">
        <w:t xml:space="preserve">the absence and </w:t>
      </w:r>
      <w:r>
        <w:t xml:space="preserve">in the </w:t>
      </w:r>
      <w:r w:rsidRPr="00992510">
        <w:t>presence of metabolic activation</w:t>
      </w:r>
      <w:r>
        <w:t xml:space="preserve">. </w:t>
      </w:r>
      <w:r w:rsidRPr="001A0E9C">
        <w:t>Consider</w:t>
      </w:r>
      <w:r>
        <w:t xml:space="preserve">ation of </w:t>
      </w:r>
      <w:r w:rsidRPr="001A0E9C">
        <w:t>all available genotoxicity studies together</w:t>
      </w:r>
      <w:r>
        <w:t xml:space="preserve"> indicated that overall, </w:t>
      </w:r>
      <w:proofErr w:type="spellStart"/>
      <w:r w:rsidRPr="00992510">
        <w:t>spiropidion</w:t>
      </w:r>
      <w:proofErr w:type="spellEnd"/>
      <w:r>
        <w:t xml:space="preserve"> appeared unlikely to be genotoxic in humans.</w:t>
      </w:r>
    </w:p>
    <w:p w:rsidR="00814520" w:rsidRDefault="00814520" w:rsidP="00814520">
      <w:pPr>
        <w:pStyle w:val="Heading6"/>
        <w:rPr>
          <w:rFonts w:eastAsiaTheme="majorEastAsia"/>
        </w:rPr>
      </w:pPr>
      <w:r>
        <w:rPr>
          <w:rFonts w:eastAsiaTheme="majorEastAsia"/>
        </w:rPr>
        <w:t>Carcinogenicity</w:t>
      </w:r>
    </w:p>
    <w:p w:rsidR="00814520" w:rsidRDefault="00814520" w:rsidP="006C182D">
      <w:proofErr w:type="spellStart"/>
      <w:r>
        <w:t>S</w:t>
      </w:r>
      <w:r w:rsidRPr="00D90E85">
        <w:t>piropidion</w:t>
      </w:r>
      <w:proofErr w:type="spellEnd"/>
      <w:r>
        <w:t xml:space="preserve"> </w:t>
      </w:r>
      <w:r w:rsidRPr="00C84730">
        <w:t>was not carcinogenic in life time studies in mice and rats</w:t>
      </w:r>
      <w:r>
        <w:t>; n</w:t>
      </w:r>
      <w:r w:rsidRPr="009429C2">
        <w:t>o treatment-related neoplastic findings were identified</w:t>
      </w:r>
      <w:r>
        <w:t xml:space="preserve"> in these studies. </w:t>
      </w:r>
      <w:r w:rsidRPr="00C84730">
        <w:t>NOAEL</w:t>
      </w:r>
      <w:r>
        <w:t xml:space="preserve">s for carcinogenicity were </w:t>
      </w:r>
      <w:r w:rsidRPr="00C84730">
        <w:t xml:space="preserve">24 </w:t>
      </w:r>
      <w:r>
        <w:t>and</w:t>
      </w:r>
      <w:r w:rsidRPr="00C84730">
        <w:t xml:space="preserve"> 18.7</w:t>
      </w:r>
      <w:r>
        <w:t> </w:t>
      </w:r>
      <w:r w:rsidRPr="00C84730">
        <w:t>mg/k</w:t>
      </w:r>
      <w:r>
        <w:t xml:space="preserve">g </w:t>
      </w:r>
      <w:proofErr w:type="spellStart"/>
      <w:r>
        <w:t>bw</w:t>
      </w:r>
      <w:proofErr w:type="spellEnd"/>
      <w:r>
        <w:t>/d, the highest dose tested in male and female rats, respectively.</w:t>
      </w:r>
    </w:p>
    <w:p w:rsidR="00814520" w:rsidRDefault="00814520" w:rsidP="006C182D">
      <w:r>
        <w:t xml:space="preserve">Based on a </w:t>
      </w:r>
      <w:r w:rsidRPr="00C84730">
        <w:t>weight of evidence approach</w:t>
      </w:r>
      <w:r w:rsidRPr="002F40AA">
        <w:t xml:space="preserve"> </w:t>
      </w:r>
      <w:r>
        <w:t xml:space="preserve">considering that an </w:t>
      </w:r>
      <w:r w:rsidRPr="004A748F">
        <w:rPr>
          <w:i/>
        </w:rPr>
        <w:t>in vitro</w:t>
      </w:r>
      <w:r w:rsidRPr="00C84730">
        <w:t xml:space="preserve"> micronucleus test for chromosomal aberration in human lymphocytes</w:t>
      </w:r>
      <w:r>
        <w:t xml:space="preserve">, and all </w:t>
      </w:r>
      <w:r w:rsidRPr="002F40AA">
        <w:rPr>
          <w:i/>
        </w:rPr>
        <w:t>in vivo</w:t>
      </w:r>
      <w:r w:rsidRPr="00C84730">
        <w:t xml:space="preserve"> genotoxicity studies, </w:t>
      </w:r>
      <w:r>
        <w:t xml:space="preserve">including </w:t>
      </w:r>
      <w:r w:rsidRPr="004A748F">
        <w:rPr>
          <w:i/>
        </w:rPr>
        <w:t>in vivo</w:t>
      </w:r>
      <w:r w:rsidRPr="00C84730">
        <w:t xml:space="preserve"> tests for micronucleus damage and chromosomal aberration</w:t>
      </w:r>
      <w:r>
        <w:t xml:space="preserve">, were negative; and </w:t>
      </w:r>
      <w:r w:rsidRPr="00C84730">
        <w:t>the absence of carcinogenicity in life-time studies in mice and rats</w:t>
      </w:r>
      <w:r>
        <w:t xml:space="preserve">, it was concluded that </w:t>
      </w:r>
      <w:proofErr w:type="spellStart"/>
      <w:r w:rsidRPr="002F40AA">
        <w:t>spiropidion</w:t>
      </w:r>
      <w:proofErr w:type="spellEnd"/>
      <w:r w:rsidRPr="002F40AA">
        <w:t xml:space="preserve"> is unlikely to pose a carcinogenic risk to humans.</w:t>
      </w:r>
    </w:p>
    <w:p w:rsidR="00814520" w:rsidRDefault="00814520" w:rsidP="00814520">
      <w:pPr>
        <w:pStyle w:val="Heading6"/>
        <w:rPr>
          <w:rFonts w:eastAsiaTheme="majorEastAsia"/>
        </w:rPr>
      </w:pPr>
      <w:r>
        <w:rPr>
          <w:rFonts w:eastAsiaTheme="majorEastAsia"/>
        </w:rPr>
        <w:lastRenderedPageBreak/>
        <w:t>Reproduction and developmental toxicity</w:t>
      </w:r>
    </w:p>
    <w:p w:rsidR="00814520" w:rsidRDefault="00814520" w:rsidP="006C182D">
      <w:pPr>
        <w:rPr>
          <w:lang w:val="en-US"/>
        </w:rPr>
      </w:pPr>
      <w:r w:rsidRPr="00D90E85">
        <w:t xml:space="preserve">Reproductive toxicity of </w:t>
      </w:r>
      <w:proofErr w:type="spellStart"/>
      <w:r w:rsidRPr="00D90E85">
        <w:t>spiropidion</w:t>
      </w:r>
      <w:proofErr w:type="spellEnd"/>
      <w:r w:rsidRPr="00D90E85">
        <w:t xml:space="preserve"> was investigated in a 2 generation study in rats</w:t>
      </w:r>
      <w:r>
        <w:t xml:space="preserve">. </w:t>
      </w:r>
      <w:r w:rsidRPr="004934C6">
        <w:rPr>
          <w:lang w:val="en-US"/>
        </w:rPr>
        <w:t xml:space="preserve">There were no </w:t>
      </w:r>
      <w:r>
        <w:rPr>
          <w:lang w:val="en-US"/>
        </w:rPr>
        <w:t xml:space="preserve">treatment related </w:t>
      </w:r>
      <w:r w:rsidRPr="004934C6">
        <w:rPr>
          <w:lang w:val="en-US"/>
        </w:rPr>
        <w:t xml:space="preserve">effects on reproductive performance, mating </w:t>
      </w:r>
      <w:proofErr w:type="spellStart"/>
      <w:r w:rsidRPr="004934C6">
        <w:rPr>
          <w:lang w:val="en-US"/>
        </w:rPr>
        <w:t>behaviour</w:t>
      </w:r>
      <w:proofErr w:type="spellEnd"/>
      <w:r w:rsidRPr="004934C6">
        <w:rPr>
          <w:lang w:val="en-US"/>
        </w:rPr>
        <w:t xml:space="preserve">, </w:t>
      </w:r>
      <w:proofErr w:type="spellStart"/>
      <w:r>
        <w:rPr>
          <w:lang w:val="en-US"/>
        </w:rPr>
        <w:t>oestrus</w:t>
      </w:r>
      <w:proofErr w:type="spellEnd"/>
      <w:r>
        <w:rPr>
          <w:lang w:val="en-US"/>
        </w:rPr>
        <w:t xml:space="preserve"> cycles, sperm </w:t>
      </w:r>
      <w:r w:rsidRPr="00764414">
        <w:rPr>
          <w:lang w:val="en-US"/>
        </w:rPr>
        <w:t>motility, sperm concentration or sperm morphology</w:t>
      </w:r>
      <w:r>
        <w:rPr>
          <w:lang w:val="en-US"/>
        </w:rPr>
        <w:t xml:space="preserve">, fertility, </w:t>
      </w:r>
      <w:r w:rsidRPr="004934C6">
        <w:rPr>
          <w:lang w:val="en-US"/>
        </w:rPr>
        <w:t>conception</w:t>
      </w:r>
      <w:r>
        <w:rPr>
          <w:lang w:val="en-US"/>
        </w:rPr>
        <w:t xml:space="preserve">, litter sizes, survival, gender ratio or </w:t>
      </w:r>
      <w:r w:rsidRPr="004934C6">
        <w:rPr>
          <w:lang w:val="en-US"/>
        </w:rPr>
        <w:t>pup development</w:t>
      </w:r>
      <w:r>
        <w:rPr>
          <w:lang w:val="en-US"/>
        </w:rPr>
        <w:t>, organ weights or macroscopic examinations</w:t>
      </w:r>
      <w:r w:rsidRPr="004934C6">
        <w:rPr>
          <w:lang w:val="en-US"/>
        </w:rPr>
        <w:t>.</w:t>
      </w:r>
      <w:r>
        <w:rPr>
          <w:lang w:val="en-US"/>
        </w:rPr>
        <w:t xml:space="preserve"> At microscopic examination, an increased incidence of thyroid </w:t>
      </w:r>
      <w:r w:rsidRPr="004934C6">
        <w:rPr>
          <w:lang w:val="en-US"/>
        </w:rPr>
        <w:t xml:space="preserve">follicular epithelial </w:t>
      </w:r>
      <w:r>
        <w:rPr>
          <w:lang w:val="en-US"/>
        </w:rPr>
        <w:t xml:space="preserve">cell </w:t>
      </w:r>
      <w:r w:rsidRPr="004934C6">
        <w:rPr>
          <w:lang w:val="en-US"/>
        </w:rPr>
        <w:t>hypertrophy</w:t>
      </w:r>
      <w:r>
        <w:rPr>
          <w:lang w:val="en-US"/>
        </w:rPr>
        <w:t xml:space="preserve"> (minimal)</w:t>
      </w:r>
      <w:r w:rsidRPr="004934C6">
        <w:rPr>
          <w:lang w:val="en-US"/>
        </w:rPr>
        <w:t xml:space="preserve"> </w:t>
      </w:r>
      <w:r>
        <w:rPr>
          <w:lang w:val="en-US"/>
        </w:rPr>
        <w:t>was noted in</w:t>
      </w:r>
      <w:r w:rsidRPr="004934C6">
        <w:rPr>
          <w:lang w:val="en-US"/>
        </w:rPr>
        <w:t xml:space="preserve"> </w:t>
      </w:r>
      <w:r>
        <w:rPr>
          <w:lang w:val="en-US"/>
        </w:rPr>
        <w:t>9/22 females of both F0</w:t>
      </w:r>
      <w:r w:rsidRPr="004934C6">
        <w:rPr>
          <w:lang w:val="en-US"/>
        </w:rPr>
        <w:t xml:space="preserve"> and F1 generations that received </w:t>
      </w:r>
      <w:r>
        <w:rPr>
          <w:lang w:val="en-US"/>
        </w:rPr>
        <w:t>the highest dose. T</w:t>
      </w:r>
      <w:r w:rsidRPr="004934C6">
        <w:rPr>
          <w:lang w:val="en-US"/>
        </w:rPr>
        <w:t xml:space="preserve">his </w:t>
      </w:r>
      <w:r>
        <w:rPr>
          <w:lang w:val="en-US"/>
        </w:rPr>
        <w:t xml:space="preserve">finding was not present at lower doses, </w:t>
      </w:r>
      <w:proofErr w:type="gramStart"/>
      <w:r>
        <w:rPr>
          <w:lang w:val="en-US"/>
        </w:rPr>
        <w:t>nor</w:t>
      </w:r>
      <w:proofErr w:type="gramEnd"/>
      <w:r>
        <w:rPr>
          <w:lang w:val="en-US"/>
        </w:rPr>
        <w:t xml:space="preserve"> in males. In the absence of a clear </w:t>
      </w:r>
      <w:r w:rsidRPr="004934C6">
        <w:rPr>
          <w:lang w:val="en-US"/>
        </w:rPr>
        <w:t xml:space="preserve">functional deficiency in reproductive performance, </w:t>
      </w:r>
      <w:r>
        <w:rPr>
          <w:lang w:val="en-US"/>
        </w:rPr>
        <w:t xml:space="preserve">the increased incidence was </w:t>
      </w:r>
      <w:r w:rsidRPr="004934C6">
        <w:rPr>
          <w:lang w:val="en-US"/>
        </w:rPr>
        <w:t>consid</w:t>
      </w:r>
      <w:r>
        <w:rPr>
          <w:lang w:val="en-US"/>
        </w:rPr>
        <w:t>ered to be non-adverse with regard to reproductive toxicity. T</w:t>
      </w:r>
      <w:r w:rsidRPr="004934C6">
        <w:rPr>
          <w:lang w:val="en-US"/>
        </w:rPr>
        <w:t xml:space="preserve">he NOAEL for reproductive toxicity was </w:t>
      </w:r>
      <w:r>
        <w:rPr>
          <w:lang w:val="en-US"/>
        </w:rPr>
        <w:t>the highest dose</w:t>
      </w:r>
      <w:r w:rsidRPr="00CB481C">
        <w:rPr>
          <w:i/>
          <w:lang w:val="en-US"/>
        </w:rPr>
        <w:t>, i.e.</w:t>
      </w:r>
      <w:r>
        <w:rPr>
          <w:lang w:val="en-US"/>
        </w:rPr>
        <w:t xml:space="preserve"> </w:t>
      </w:r>
      <w:r w:rsidRPr="004934C6">
        <w:rPr>
          <w:lang w:val="en-US"/>
        </w:rPr>
        <w:t>24</w:t>
      </w:r>
      <w:r>
        <w:rPr>
          <w:lang w:val="en-US"/>
        </w:rPr>
        <w:t> and 23 mg/kg </w:t>
      </w:r>
      <w:proofErr w:type="spellStart"/>
      <w:r>
        <w:rPr>
          <w:lang w:val="en-US"/>
        </w:rPr>
        <w:t>bw</w:t>
      </w:r>
      <w:proofErr w:type="spellEnd"/>
      <w:r>
        <w:rPr>
          <w:lang w:val="en-US"/>
        </w:rPr>
        <w:t>/d for F0</w:t>
      </w:r>
      <w:r w:rsidRPr="004934C6">
        <w:rPr>
          <w:lang w:val="en-US"/>
        </w:rPr>
        <w:t> and F1 generation females</w:t>
      </w:r>
      <w:r>
        <w:rPr>
          <w:lang w:val="en-US"/>
        </w:rPr>
        <w:t xml:space="preserve">, respectively; and </w:t>
      </w:r>
      <w:r w:rsidRPr="004934C6">
        <w:rPr>
          <w:lang w:val="en-US"/>
        </w:rPr>
        <w:t>3</w:t>
      </w:r>
      <w:r>
        <w:rPr>
          <w:lang w:val="en-US"/>
        </w:rPr>
        <w:t>1 and</w:t>
      </w:r>
      <w:r w:rsidRPr="004934C6">
        <w:rPr>
          <w:lang w:val="en-US"/>
        </w:rPr>
        <w:t xml:space="preserve"> 38 mg/kg </w:t>
      </w:r>
      <w:proofErr w:type="spellStart"/>
      <w:r w:rsidRPr="004934C6">
        <w:rPr>
          <w:lang w:val="en-US"/>
        </w:rPr>
        <w:t>bw</w:t>
      </w:r>
      <w:proofErr w:type="spellEnd"/>
      <w:r w:rsidRPr="004934C6">
        <w:rPr>
          <w:lang w:val="en-US"/>
        </w:rPr>
        <w:t>/d</w:t>
      </w:r>
      <w:r>
        <w:rPr>
          <w:lang w:val="en-US"/>
        </w:rPr>
        <w:t>, for F0 </w:t>
      </w:r>
      <w:r w:rsidRPr="004934C6">
        <w:rPr>
          <w:lang w:val="en-US"/>
        </w:rPr>
        <w:t>and F1 generation</w:t>
      </w:r>
      <w:r>
        <w:rPr>
          <w:lang w:val="en-US"/>
        </w:rPr>
        <w:t>s</w:t>
      </w:r>
      <w:r w:rsidRPr="004934C6">
        <w:rPr>
          <w:lang w:val="en-US"/>
        </w:rPr>
        <w:t xml:space="preserve"> </w:t>
      </w:r>
      <w:r>
        <w:rPr>
          <w:lang w:val="en-US"/>
        </w:rPr>
        <w:t>males, respectively.</w:t>
      </w:r>
    </w:p>
    <w:p w:rsidR="00814520" w:rsidRDefault="00814520" w:rsidP="006C182D">
      <w:r>
        <w:t xml:space="preserve">Developmental toxicity studies indicated that </w:t>
      </w:r>
      <w:proofErr w:type="spellStart"/>
      <w:r w:rsidRPr="00D90E85">
        <w:t>spiropidion</w:t>
      </w:r>
      <w:proofErr w:type="spellEnd"/>
      <w:r>
        <w:t xml:space="preserve"> was not </w:t>
      </w:r>
      <w:r w:rsidRPr="00F029D1">
        <w:t>teratogenic in rats and rabbits.</w:t>
      </w:r>
    </w:p>
    <w:p w:rsidR="00814520" w:rsidRDefault="00814520" w:rsidP="00814520">
      <w:pPr>
        <w:pStyle w:val="Heading6"/>
        <w:rPr>
          <w:rFonts w:eastAsiaTheme="majorEastAsia"/>
        </w:rPr>
      </w:pPr>
      <w:r>
        <w:rPr>
          <w:rFonts w:eastAsiaTheme="majorEastAsia"/>
        </w:rPr>
        <w:t>Observation in humans</w:t>
      </w:r>
    </w:p>
    <w:p w:rsidR="00814520" w:rsidRDefault="00814520" w:rsidP="00814520">
      <w:pPr>
        <w:rPr>
          <w:rFonts w:eastAsiaTheme="majorEastAsia"/>
        </w:rPr>
      </w:pPr>
      <w:r>
        <w:rPr>
          <w:rFonts w:eastAsiaTheme="majorEastAsia"/>
        </w:rPr>
        <w:t>No data were available.</w:t>
      </w:r>
    </w:p>
    <w:p w:rsidR="00814520" w:rsidRDefault="00814520" w:rsidP="00814520">
      <w:pPr>
        <w:pStyle w:val="Heading6"/>
        <w:rPr>
          <w:rFonts w:eastAsiaTheme="majorEastAsia"/>
        </w:rPr>
      </w:pPr>
      <w:r>
        <w:rPr>
          <w:rFonts w:eastAsiaTheme="majorEastAsia"/>
        </w:rPr>
        <w:t>Public exposure</w:t>
      </w:r>
    </w:p>
    <w:p w:rsidR="00814520" w:rsidRDefault="00814520" w:rsidP="006C182D">
      <w:r>
        <w:t xml:space="preserve">No data were available. Public exposure estimation is not possible at this stage, as the composition and uses of potential products containing </w:t>
      </w:r>
      <w:proofErr w:type="spellStart"/>
      <w:r>
        <w:t>s</w:t>
      </w:r>
      <w:r w:rsidRPr="005A28FF">
        <w:t>piropidion</w:t>
      </w:r>
      <w:proofErr w:type="spellEnd"/>
      <w:r>
        <w:t xml:space="preserve"> that may later be proposed are not known.</w:t>
      </w:r>
    </w:p>
    <w:p w:rsidR="00814520" w:rsidRDefault="00814520" w:rsidP="006C182D">
      <w:r>
        <w:t>Nevertheless, it may be noteworthy that (</w:t>
      </w:r>
      <w:proofErr w:type="spellStart"/>
      <w:r w:rsidRPr="00C84730">
        <w:rPr>
          <w:i/>
        </w:rPr>
        <w:t>i</w:t>
      </w:r>
      <w:proofErr w:type="spellEnd"/>
      <w:r>
        <w:t xml:space="preserve">) submissions to register agricultural products containing </w:t>
      </w:r>
      <w:proofErr w:type="spellStart"/>
      <w:r>
        <w:t>s</w:t>
      </w:r>
      <w:r w:rsidRPr="005A28FF">
        <w:t>piropidion</w:t>
      </w:r>
      <w:proofErr w:type="spellEnd"/>
      <w:r>
        <w:t xml:space="preserve"> for the control of s</w:t>
      </w:r>
      <w:r w:rsidRPr="00612B6D">
        <w:t>ap sucking pests including various insects and mites</w:t>
      </w:r>
      <w:r>
        <w:t xml:space="preserve"> may be anticipated and (</w:t>
      </w:r>
      <w:r w:rsidRPr="00612B6D">
        <w:rPr>
          <w:i/>
        </w:rPr>
        <w:t>ii</w:t>
      </w:r>
      <w:r>
        <w:t xml:space="preserve">) </w:t>
      </w:r>
      <w:proofErr w:type="spellStart"/>
      <w:r>
        <w:t>s</w:t>
      </w:r>
      <w:r w:rsidRPr="00C84730">
        <w:t>piropidion</w:t>
      </w:r>
      <w:proofErr w:type="spellEnd"/>
      <w:r w:rsidRPr="00C84730">
        <w:t xml:space="preserve"> is a “pro-pesticide”, </w:t>
      </w:r>
      <w:r>
        <w:t xml:space="preserve">which is </w:t>
      </w:r>
      <w:r w:rsidRPr="00C84730">
        <w:t xml:space="preserve">rapidly metabolised </w:t>
      </w:r>
      <w:r>
        <w:t>to the active metabolite</w:t>
      </w:r>
      <w:r w:rsidRPr="00C74076">
        <w:t xml:space="preserve"> </w:t>
      </w:r>
      <w:r w:rsidRPr="00C84730">
        <w:t>in plant and animal t</w:t>
      </w:r>
      <w:r>
        <w:t>issues.</w:t>
      </w:r>
    </w:p>
    <w:p w:rsidR="00814520" w:rsidRPr="006E7802" w:rsidRDefault="006E7802" w:rsidP="00814520">
      <w:pPr>
        <w:pStyle w:val="Heading4"/>
      </w:pPr>
      <w:bookmarkStart w:id="8" w:name="_Toc6403898"/>
      <w:bookmarkStart w:id="9" w:name="_Toc8656088"/>
      <w:r>
        <w:lastRenderedPageBreak/>
        <w:t>1</w:t>
      </w:r>
      <w:r w:rsidR="00814520" w:rsidRPr="00814520">
        <w:t>.3</w:t>
      </w:r>
      <w:bookmarkStart w:id="10" w:name="_Toc531097542"/>
      <w:bookmarkStart w:id="11" w:name="_Toc6302157"/>
      <w:r w:rsidR="00896866">
        <w:t xml:space="preserve">. </w:t>
      </w:r>
      <w:r w:rsidR="00814520" w:rsidRPr="00814520">
        <w:t>6-</w:t>
      </w:r>
      <w:r w:rsidR="00814520" w:rsidRPr="006E7802">
        <w:t>Benzyladenine</w:t>
      </w:r>
      <w:bookmarkEnd w:id="8"/>
      <w:bookmarkEnd w:id="9"/>
      <w:bookmarkEnd w:id="10"/>
      <w:bookmarkEnd w:id="11"/>
    </w:p>
    <w:p w:rsidR="00814520" w:rsidRPr="0019029E" w:rsidRDefault="00814520" w:rsidP="00814520">
      <w:pPr>
        <w:pStyle w:val="Heading5"/>
      </w:pPr>
      <w:r>
        <w:t>Delegate’s final decision</w:t>
      </w:r>
    </w:p>
    <w:tbl>
      <w:tblPr>
        <w:tblStyle w:val="TableGrid"/>
        <w:tblW w:w="9286" w:type="dxa"/>
        <w:tblInd w:w="108" w:type="dxa"/>
        <w:tblBorders>
          <w:top w:val="single" w:sz="12" w:space="0" w:color="002C47" w:themeColor="text1"/>
          <w:left w:val="single" w:sz="12" w:space="0" w:color="002C47" w:themeColor="text1"/>
          <w:bottom w:val="single" w:sz="12" w:space="0" w:color="002C47" w:themeColor="text1"/>
          <w:right w:val="single" w:sz="12" w:space="0" w:color="002C47" w:themeColor="text1"/>
          <w:insideH w:val="single" w:sz="12" w:space="0" w:color="002C47" w:themeColor="text1"/>
          <w:insideV w:val="single" w:sz="12" w:space="0" w:color="002C47" w:themeColor="text1"/>
        </w:tblBorders>
        <w:tblLook w:val="04A0" w:firstRow="1" w:lastRow="0" w:firstColumn="1" w:lastColumn="0" w:noHBand="0" w:noVBand="1"/>
      </w:tblPr>
      <w:tblGrid>
        <w:gridCol w:w="9286"/>
      </w:tblGrid>
      <w:tr w:rsidR="00814520" w:rsidTr="00E35544">
        <w:tc>
          <w:tcPr>
            <w:tcW w:w="9286" w:type="dxa"/>
            <w:shd w:val="clear" w:color="auto" w:fill="D2EDFF" w:themeFill="text2" w:themeFillTint="1A"/>
          </w:tcPr>
          <w:p w:rsidR="00814520" w:rsidRPr="00A6563B" w:rsidRDefault="00814520" w:rsidP="00814520">
            <w:pPr>
              <w:pStyle w:val="Heading6"/>
            </w:pPr>
            <w:r>
              <w:t>Final decision:</w:t>
            </w:r>
          </w:p>
          <w:p w:rsidR="00814520" w:rsidRDefault="00814520" w:rsidP="006C182D">
            <w:r w:rsidRPr="003D0981">
              <w:t>The delegate's final decision under regulation 42ZCZU</w:t>
            </w:r>
            <w:r w:rsidRPr="003D0981">
              <w:rPr>
                <w:bCs/>
                <w:lang w:val="en-US"/>
              </w:rPr>
              <w:t xml:space="preserve"> </w:t>
            </w:r>
            <w:r w:rsidR="0023048F">
              <w:t xml:space="preserve">of the </w:t>
            </w:r>
            <w:r w:rsidRPr="003D0981">
              <w:rPr>
                <w:i/>
                <w:iCs/>
              </w:rPr>
              <w:t xml:space="preserve">Therapeutic Goods Regulations 1990 </w:t>
            </w:r>
            <w:r w:rsidRPr="003D0981">
              <w:t xml:space="preserve">(the Regulations) is to amend the current Poisons Standard in relation to </w:t>
            </w:r>
            <w:r>
              <w:t>6-benzyladenine as follows:</w:t>
            </w:r>
          </w:p>
          <w:p w:rsidR="00814520" w:rsidRPr="008C23D5" w:rsidRDefault="00814520" w:rsidP="008B785B">
            <w:pPr>
              <w:ind w:left="459"/>
              <w:rPr>
                <w:b/>
                <w:sz w:val="20"/>
              </w:rPr>
            </w:pPr>
            <w:r w:rsidRPr="008C23D5">
              <w:rPr>
                <w:b/>
              </w:rPr>
              <w:t xml:space="preserve">Schedule 6 </w:t>
            </w:r>
            <w:r>
              <w:rPr>
                <w:b/>
              </w:rPr>
              <w:t>– Amend Entry</w:t>
            </w:r>
          </w:p>
          <w:p w:rsidR="00814520" w:rsidRDefault="00814520" w:rsidP="008B785B">
            <w:pPr>
              <w:ind w:left="459"/>
            </w:pPr>
            <w:r w:rsidRPr="00B8546C">
              <w:t xml:space="preserve">6-BENZYLADENINE </w:t>
            </w:r>
            <w:r w:rsidRPr="00B8546C">
              <w:rPr>
                <w:b/>
              </w:rPr>
              <w:t>except</w:t>
            </w:r>
            <w:r w:rsidRPr="00B8546C">
              <w:t xml:space="preserve"> in preparations containing </w:t>
            </w:r>
            <w:r w:rsidRPr="00B8546C">
              <w:rPr>
                <w:b/>
                <w:strike/>
              </w:rPr>
              <w:t>2</w:t>
            </w:r>
            <w:r w:rsidRPr="00B8546C">
              <w:rPr>
                <w:b/>
              </w:rPr>
              <w:t xml:space="preserve"> </w:t>
            </w:r>
            <w:r w:rsidRPr="00B8546C">
              <w:rPr>
                <w:b/>
                <w:color w:val="FF0000"/>
              </w:rPr>
              <w:t>10</w:t>
            </w:r>
            <w:r w:rsidRPr="00B8546C">
              <w:rPr>
                <w:b/>
              </w:rPr>
              <w:t xml:space="preserve"> per cent</w:t>
            </w:r>
            <w:r w:rsidRPr="00B8546C">
              <w:t xml:space="preserve"> or less of 6-benzyladenine.</w:t>
            </w:r>
          </w:p>
          <w:p w:rsidR="00814520" w:rsidRPr="00CC0DB3" w:rsidRDefault="00814520" w:rsidP="008B785B">
            <w:pPr>
              <w:ind w:left="459"/>
              <w:rPr>
                <w:b/>
              </w:rPr>
            </w:pPr>
            <w:r w:rsidRPr="00CC0DB3">
              <w:rPr>
                <w:b/>
              </w:rPr>
              <w:t>Index – New Entry</w:t>
            </w:r>
          </w:p>
          <w:p w:rsidR="00814520" w:rsidRPr="00CC0DB3" w:rsidRDefault="00814520" w:rsidP="008B785B">
            <w:pPr>
              <w:ind w:left="459"/>
              <w:rPr>
                <w:b/>
                <w:color w:val="FF0000"/>
              </w:rPr>
            </w:pPr>
            <w:r w:rsidRPr="00CC0DB3">
              <w:rPr>
                <w:b/>
                <w:color w:val="FF0000"/>
              </w:rPr>
              <w:t>6-BENZYLADENINE</w:t>
            </w:r>
          </w:p>
          <w:p w:rsidR="00814520" w:rsidRDefault="00814520" w:rsidP="008B785B">
            <w:pPr>
              <w:ind w:left="459"/>
              <w:rPr>
                <w:color w:val="FF0000"/>
              </w:rPr>
            </w:pPr>
            <w:r w:rsidRPr="00CC0DB3">
              <w:rPr>
                <w:color w:val="FF0000"/>
              </w:rPr>
              <w:t>Schedule 6</w:t>
            </w:r>
          </w:p>
          <w:p w:rsidR="00814520" w:rsidRPr="004B2F35" w:rsidRDefault="00814520" w:rsidP="00445E77">
            <w:pPr>
              <w:pStyle w:val="Heading6"/>
            </w:pPr>
            <w:r w:rsidRPr="004B2F35">
              <w:t>Delegate’s considerations</w:t>
            </w:r>
          </w:p>
          <w:p w:rsidR="00814520" w:rsidRPr="00961457" w:rsidRDefault="00814520" w:rsidP="006C182D">
            <w:pPr>
              <w:pStyle w:val="ListBullet"/>
            </w:pPr>
            <w:r w:rsidRPr="00961457">
              <w:t xml:space="preserve">The </w:t>
            </w:r>
            <w:hyperlink w:anchor="_Applicant’s_scheduling_proposal_2" w:history="1">
              <w:r w:rsidRPr="00961457">
                <w:rPr>
                  <w:rStyle w:val="Hyperlink"/>
                </w:rPr>
                <w:t>application</w:t>
              </w:r>
            </w:hyperlink>
            <w:r w:rsidRPr="00961457">
              <w:t xml:space="preserve"> to amend the current Poisons Standard with respect to 6-benzyladenine</w:t>
            </w:r>
          </w:p>
          <w:p w:rsidR="00814520" w:rsidRPr="00961457" w:rsidRDefault="00814520" w:rsidP="006C182D">
            <w:pPr>
              <w:pStyle w:val="ListBullet"/>
            </w:pPr>
            <w:r w:rsidRPr="00961457">
              <w:t xml:space="preserve">The Australian Health Ministers’ Advisory Council’s </w:t>
            </w:r>
            <w:hyperlink r:id="rId25" w:history="1">
              <w:r w:rsidRPr="004B2F35">
                <w:rPr>
                  <w:rStyle w:val="Hyperlink"/>
                </w:rPr>
                <w:t>Scheduling Policy Framework</w:t>
              </w:r>
            </w:hyperlink>
            <w:r w:rsidRPr="00961457">
              <w:t xml:space="preserve"> (SPF</w:t>
            </w:r>
            <w:r w:rsidR="008B785B">
              <w:t> </w:t>
            </w:r>
            <w:r w:rsidRPr="00961457">
              <w:t>2018); and</w:t>
            </w:r>
          </w:p>
          <w:p w:rsidR="00814520" w:rsidRPr="00961457" w:rsidRDefault="00814520" w:rsidP="006C182D">
            <w:pPr>
              <w:pStyle w:val="ListBullet"/>
            </w:pPr>
            <w:r w:rsidRPr="00961457">
              <w:t xml:space="preserve">Section 52E of the </w:t>
            </w:r>
            <w:r w:rsidRPr="00961457">
              <w:rPr>
                <w:i/>
              </w:rPr>
              <w:t>Therapeutic Goods Act 1989</w:t>
            </w:r>
            <w:r w:rsidRPr="00961457">
              <w:t>, in particular: (a) the risks and benefits of the use of a substance; (b) the purposes for which a substance is to be used and the extent of use of a substance; (c) the toxicity of a substance; and (f) any other matters that the Secretary considers necessary to protect public health.</w:t>
            </w:r>
          </w:p>
          <w:p w:rsidR="00814520" w:rsidRPr="00043015" w:rsidRDefault="00814520" w:rsidP="00814520">
            <w:pPr>
              <w:pStyle w:val="Heading6"/>
            </w:pPr>
            <w:r>
              <w:t xml:space="preserve">Implementation date: </w:t>
            </w:r>
            <w:r w:rsidRPr="00961457">
              <w:rPr>
                <w:b w:val="0"/>
              </w:rPr>
              <w:t>1 June 2019</w:t>
            </w:r>
          </w:p>
          <w:p w:rsidR="00814520" w:rsidRDefault="00814520" w:rsidP="00814520">
            <w:pPr>
              <w:pStyle w:val="Heading6"/>
            </w:pPr>
            <w:r>
              <w:t>Reasons</w:t>
            </w:r>
          </w:p>
          <w:p w:rsidR="00814520" w:rsidRDefault="00814520" w:rsidP="006C182D">
            <w:r w:rsidRPr="00B93717">
              <w:t>The matters under subsection 52E (1) of the</w:t>
            </w:r>
            <w:r w:rsidR="008B785B">
              <w:t xml:space="preserve"> </w:t>
            </w:r>
            <w:r w:rsidRPr="00B93717">
              <w:rPr>
                <w:i/>
                <w:iCs/>
              </w:rPr>
              <w:t>Therapeutic Goods Act 1989</w:t>
            </w:r>
            <w:r w:rsidR="008B785B">
              <w:rPr>
                <w:i/>
                <w:iCs/>
              </w:rPr>
              <w:t xml:space="preserve"> </w:t>
            </w:r>
            <w:r w:rsidRPr="00B93717">
              <w:t>considered relevant by the delegate for the decision include:</w:t>
            </w:r>
          </w:p>
          <w:p w:rsidR="00814520" w:rsidRDefault="00814520" w:rsidP="001837A1">
            <w:pPr>
              <w:pStyle w:val="Numberbullet2-52E1reasons"/>
              <w:numPr>
                <w:ilvl w:val="0"/>
                <w:numId w:val="48"/>
              </w:numPr>
            </w:pPr>
            <w:r w:rsidRPr="003B0767">
              <w:t>the risks and benefits of the use of a substance:</w:t>
            </w:r>
          </w:p>
          <w:p w:rsidR="00814520" w:rsidRDefault="00814520" w:rsidP="006C182D">
            <w:r>
              <w:t>Agricultural p</w:t>
            </w:r>
            <w:r w:rsidRPr="009420EE">
              <w:t>roduct</w:t>
            </w:r>
            <w:r>
              <w:t>s</w:t>
            </w:r>
            <w:r w:rsidRPr="009420EE">
              <w:t xml:space="preserve"> containing 2 per </w:t>
            </w:r>
            <w:r>
              <w:t xml:space="preserve">cent </w:t>
            </w:r>
            <w:r w:rsidRPr="00EF20EF">
              <w:t>6-benzyladenine</w:t>
            </w:r>
            <w:r>
              <w:t xml:space="preserve"> are currently approved by the APVMA for use as plant growth regulators.</w:t>
            </w:r>
          </w:p>
          <w:p w:rsidR="00814520" w:rsidRPr="003B0767" w:rsidRDefault="00814520" w:rsidP="006C182D">
            <w:r>
              <w:t xml:space="preserve">A proposed new product containing 9.6 per cent </w:t>
            </w:r>
            <w:r w:rsidRPr="00EF20EF">
              <w:t>6-benzyladenine</w:t>
            </w:r>
            <w:r>
              <w:t xml:space="preserve"> is a slight skin and eye irritant. However, it is not a skin sensitiser.</w:t>
            </w:r>
          </w:p>
          <w:p w:rsidR="00814520" w:rsidRPr="00005E88" w:rsidRDefault="00814520" w:rsidP="001837A1">
            <w:pPr>
              <w:pStyle w:val="Numberbullet2-52E1reasons"/>
              <w:rPr>
                <w:u w:val="none"/>
              </w:rPr>
            </w:pPr>
            <w:r>
              <w:t xml:space="preserve">the </w:t>
            </w:r>
            <w:r w:rsidRPr="000046FA">
              <w:t>purposes</w:t>
            </w:r>
            <w:r>
              <w:t xml:space="preserve"> for which a </w:t>
            </w:r>
            <w:r w:rsidRPr="0023048F">
              <w:t>substance</w:t>
            </w:r>
            <w:r>
              <w:t xml:space="preserve"> is to be used and the extent of use of a substance:</w:t>
            </w:r>
          </w:p>
          <w:p w:rsidR="00814520" w:rsidRPr="00043015" w:rsidRDefault="00814520" w:rsidP="006C182D">
            <w:r>
              <w:t xml:space="preserve">A proposed new agricultural chemical product, containing 100 g/L (9.6 %) </w:t>
            </w:r>
            <w:r w:rsidRPr="00AA436B">
              <w:t>6-benzyladenine</w:t>
            </w:r>
            <w:r>
              <w:t>, is</w:t>
            </w:r>
            <w:r w:rsidRPr="00AA436B">
              <w:t xml:space="preserve"> </w:t>
            </w:r>
            <w:r>
              <w:t>for use in apples. The use profile in apples will be the same as that for a registered product containing 20 g/L (1.9 %) 6-benzyladenine.</w:t>
            </w:r>
          </w:p>
          <w:p w:rsidR="00814520" w:rsidRDefault="00814520" w:rsidP="001837A1">
            <w:pPr>
              <w:pStyle w:val="Numberbullet2-52E1reasons"/>
            </w:pPr>
            <w:r w:rsidRPr="00704EDD">
              <w:t>the toxicity of a substance:</w:t>
            </w:r>
          </w:p>
          <w:p w:rsidR="00814520" w:rsidRDefault="00814520" w:rsidP="006C182D">
            <w:r>
              <w:t>The submitted data demonstrated that the acute toxicity profile of the</w:t>
            </w:r>
            <w:r w:rsidRPr="009420EE">
              <w:t xml:space="preserve"> product containing 9.8 per cent of 6-benzylademine is not materially different to that of the product containing 2 per cent 6-benzyladenine, which was considered by the Scheduling Committee to establish the </w:t>
            </w:r>
            <w:r w:rsidRPr="009420EE">
              <w:lastRenderedPageBreak/>
              <w:t>current 2 per cent cut-off level in Poison Standard.</w:t>
            </w:r>
          </w:p>
          <w:p w:rsidR="00814520" w:rsidRPr="00005E88" w:rsidRDefault="00814520" w:rsidP="006C182D">
            <w:r>
              <w:t>Studies show that it has low acute oral toxicity, low acute dermal toxicity and low inhalation toxicity.</w:t>
            </w:r>
          </w:p>
          <w:p w:rsidR="00814520" w:rsidRDefault="00814520" w:rsidP="002B2D1F">
            <w:pPr>
              <w:pStyle w:val="Numberbullet2-52E1reasons"/>
            </w:pPr>
            <w:r w:rsidRPr="00704EDD">
              <w:t>the dosage, formulation, labelling, packaging and presentation of a substance:</w:t>
            </w:r>
          </w:p>
          <w:p w:rsidR="00814520" w:rsidRDefault="00814520" w:rsidP="00814520">
            <w:r>
              <w:t>Nil.</w:t>
            </w:r>
          </w:p>
          <w:p w:rsidR="00814520" w:rsidRDefault="00814520" w:rsidP="002B2D1F">
            <w:pPr>
              <w:pStyle w:val="Numberbullet2-52E1reasons"/>
            </w:pPr>
            <w:r w:rsidRPr="000046FA">
              <w:t>the potential for abuse of a substance</w:t>
            </w:r>
            <w:r>
              <w:t>:</w:t>
            </w:r>
          </w:p>
          <w:p w:rsidR="00814520" w:rsidRPr="00043015" w:rsidRDefault="00814520" w:rsidP="00814520">
            <w:r>
              <w:t>Nil.</w:t>
            </w:r>
          </w:p>
          <w:p w:rsidR="00814520" w:rsidRPr="00A866AE" w:rsidRDefault="00814520" w:rsidP="002B2D1F">
            <w:pPr>
              <w:pStyle w:val="Numberbullet2-52E1reasons"/>
            </w:pPr>
            <w:r w:rsidRPr="000046FA">
              <w:t>any other matters that the Secretary considers necessary to protect public health</w:t>
            </w:r>
            <w:r>
              <w:t>:</w:t>
            </w:r>
          </w:p>
          <w:p w:rsidR="00814520" w:rsidRPr="0023048F" w:rsidRDefault="00814520" w:rsidP="006C182D">
            <w:r w:rsidRPr="00AA436B">
              <w:rPr>
                <w:i/>
              </w:rPr>
              <w:t xml:space="preserve">A </w:t>
            </w:r>
            <w:r>
              <w:t xml:space="preserve">6-benzyladenine-containing </w:t>
            </w:r>
            <w:r w:rsidRPr="0023048F">
              <w:t>product containing 9.5 per cent 6-benzyadenine is currently registered in the USA.</w:t>
            </w:r>
          </w:p>
          <w:p w:rsidR="00814520" w:rsidRPr="00814520" w:rsidRDefault="00814520" w:rsidP="0023048F">
            <w:pPr>
              <w:pStyle w:val="Heading6"/>
            </w:pPr>
            <w:r w:rsidRPr="00814520">
              <w:t>Overall conclusions</w:t>
            </w:r>
          </w:p>
          <w:p w:rsidR="00814520" w:rsidRDefault="00814520" w:rsidP="006C182D">
            <w:r>
              <w:t xml:space="preserve">After consideration of all the relevant information, the delegate is satisfied that the weight of evidence supports that an amendment of the Schedule 6 cut-off concentration level from 2 per cent to 10 per cent is justified. The toxicological data provided supports that the toxicological profile of the product containing 100 g/L (9.6 %) </w:t>
            </w:r>
            <w:r w:rsidRPr="00AA436B">
              <w:t>6-</w:t>
            </w:r>
            <w:proofErr w:type="gramStart"/>
            <w:r w:rsidRPr="00AA436B">
              <w:t>benzyladenine</w:t>
            </w:r>
            <w:r>
              <w:t>,</w:t>
            </w:r>
            <w:proofErr w:type="gramEnd"/>
            <w:r>
              <w:t xml:space="preserve"> </w:t>
            </w:r>
            <w:r w:rsidRPr="009420EE">
              <w:rPr>
                <w:rFonts w:asciiTheme="minorHAnsi" w:hAnsiTheme="minorHAnsi"/>
              </w:rPr>
              <w:t xml:space="preserve">is not materially different to that of the product containing </w:t>
            </w:r>
            <w:r>
              <w:t>20 g/L (1.9 %) 6-benzyladenine and the 100 g/L 6-benzyladenine product will have the same uses as those approved for the 20 g/L product.</w:t>
            </w:r>
          </w:p>
          <w:p w:rsidR="00814520" w:rsidRPr="00043015" w:rsidRDefault="00814520" w:rsidP="006C182D">
            <w:r w:rsidRPr="00BF7F95">
              <w:t>On the basis that the proposed changes to the existing entry do not involve dow</w:t>
            </w:r>
            <w:r>
              <w:t>n-scheduling or up-scheduling, the delegate is</w:t>
            </w:r>
            <w:r w:rsidRPr="00BF7F95">
              <w:t xml:space="preserve"> satisfied that the application is not captured as a ‘rescheduling’ consideration as described in the </w:t>
            </w:r>
            <w:r w:rsidRPr="006C182D">
              <w:rPr>
                <w:i/>
              </w:rPr>
              <w:t>Scheduling Handbook, Guidance for amending the Poisons Standard, 2018</w:t>
            </w:r>
            <w:r w:rsidRPr="00BF7F95">
              <w:t>.</w:t>
            </w:r>
          </w:p>
        </w:tc>
      </w:tr>
    </w:tbl>
    <w:p w:rsidR="00814520" w:rsidRPr="0023048F" w:rsidRDefault="00814520" w:rsidP="0023048F">
      <w:pPr>
        <w:pStyle w:val="Heading5"/>
      </w:pPr>
      <w:bookmarkStart w:id="12" w:name="_Applicant’s_scheduling_proposal_2"/>
      <w:bookmarkEnd w:id="12"/>
      <w:r w:rsidRPr="0023048F">
        <w:lastRenderedPageBreak/>
        <w:t>Applicant’s scheduling proposal and reasons for proposal</w:t>
      </w:r>
    </w:p>
    <w:p w:rsidR="00814520" w:rsidRPr="00F700AD" w:rsidRDefault="00814520" w:rsidP="005B4D3A">
      <w:r w:rsidRPr="00F700AD">
        <w:t xml:space="preserve">An application was submitted by the Australian Pesticides and Veterinary Medicines Authority (APVMA) to </w:t>
      </w:r>
      <w:r>
        <w:t xml:space="preserve">amend the </w:t>
      </w:r>
      <w:r w:rsidR="0023048F">
        <w:t xml:space="preserve">Schedule 6 entry for </w:t>
      </w:r>
      <w:r w:rsidRPr="00B8546C">
        <w:t>6-benzyladenine</w:t>
      </w:r>
      <w:r w:rsidR="0023048F">
        <w:t xml:space="preserve"> in the Poisons Standard.</w:t>
      </w:r>
    </w:p>
    <w:p w:rsidR="00814520" w:rsidRPr="004B2F35" w:rsidRDefault="00814520" w:rsidP="005B4D3A">
      <w:r w:rsidRPr="004B2F35">
        <w:t>The applicant’s reasons for the proposal are:</w:t>
      </w:r>
    </w:p>
    <w:p w:rsidR="00814520" w:rsidRPr="00FA3A53" w:rsidRDefault="00814520" w:rsidP="005B4D3A">
      <w:pPr>
        <w:pStyle w:val="ListBullet"/>
      </w:pPr>
      <w:r w:rsidRPr="00FA3A53">
        <w:t xml:space="preserve">Submitted toxicity data for the </w:t>
      </w:r>
      <w:r>
        <w:t>product containing 9.8</w:t>
      </w:r>
      <w:r w:rsidRPr="00FA3A53">
        <w:t>% 6-</w:t>
      </w:r>
      <w:r w:rsidRPr="0023048F">
        <w:t>benzyladenine</w:t>
      </w:r>
      <w:r w:rsidRPr="00FA3A53">
        <w:t xml:space="preserve"> showed a similar hazard </w:t>
      </w:r>
      <w:r w:rsidRPr="005B4D3A">
        <w:t>profile</w:t>
      </w:r>
      <w:r w:rsidRPr="00FA3A53">
        <w:t xml:space="preserve"> t</w:t>
      </w:r>
      <w:r>
        <w:t xml:space="preserve">o an APVMA registered product, containing 2% </w:t>
      </w:r>
      <w:r w:rsidRPr="00FA3A53">
        <w:t>6-benzyladenine</w:t>
      </w:r>
      <w:r>
        <w:t>;</w:t>
      </w:r>
    </w:p>
    <w:p w:rsidR="00814520" w:rsidRPr="00FA536D" w:rsidRDefault="00814520" w:rsidP="0023048F">
      <w:pPr>
        <w:pStyle w:val="ListBullet"/>
      </w:pPr>
      <w:r w:rsidRPr="003C6F35">
        <w:rPr>
          <w:rFonts w:ascii="Times New Roman" w:hAnsi="Times New Roman"/>
          <w:bCs/>
          <w:highlight w:val="black"/>
          <w:lang w:eastAsia="en-AU"/>
        </w:rPr>
        <w:t>XXXXXXX</w:t>
      </w:r>
      <w:r>
        <w:rPr>
          <w:rFonts w:ascii="Times New Roman" w:hAnsi="Times New Roman"/>
          <w:bCs/>
          <w:lang w:eastAsia="en-AU"/>
        </w:rPr>
        <w:t xml:space="preserve"> </w:t>
      </w:r>
      <w:r w:rsidRPr="00FA536D">
        <w:t xml:space="preserve">was considered by </w:t>
      </w:r>
      <w:r>
        <w:t>the NDPSC in 1995</w:t>
      </w:r>
      <w:r w:rsidRPr="00FA536D">
        <w:t xml:space="preserve"> </w:t>
      </w:r>
      <w:r>
        <w:t>for</w:t>
      </w:r>
      <w:r w:rsidRPr="00FA536D">
        <w:t xml:space="preserve"> the </w:t>
      </w:r>
      <w:r>
        <w:t xml:space="preserve">purpose of </w:t>
      </w:r>
      <w:r w:rsidRPr="0023048F">
        <w:t>establishing</w:t>
      </w:r>
      <w:r>
        <w:t xml:space="preserve"> a 2</w:t>
      </w:r>
      <w:r w:rsidRPr="00FA536D">
        <w:t xml:space="preserve">% cut-off </w:t>
      </w:r>
      <w:r>
        <w:t xml:space="preserve">for </w:t>
      </w:r>
      <w:r w:rsidRPr="00FA3A53">
        <w:t xml:space="preserve">6-benzyladenine </w:t>
      </w:r>
      <w:r>
        <w:t>from Schedule 6; and</w:t>
      </w:r>
    </w:p>
    <w:p w:rsidR="00814520" w:rsidRDefault="00814520" w:rsidP="005B4D3A">
      <w:pPr>
        <w:pStyle w:val="ListBullet"/>
      </w:pPr>
      <w:r w:rsidRPr="000660E7">
        <w:t xml:space="preserve">The formulation details for </w:t>
      </w:r>
      <w:r w:rsidRPr="003C6F35">
        <w:rPr>
          <w:highlight w:val="black"/>
        </w:rPr>
        <w:t>XX</w:t>
      </w:r>
      <w:r>
        <w:rPr>
          <w:highlight w:val="black"/>
        </w:rPr>
        <w:t>SXSS</w:t>
      </w:r>
      <w:r w:rsidRPr="003C6F35">
        <w:rPr>
          <w:highlight w:val="black"/>
        </w:rPr>
        <w:t>XXX</w:t>
      </w:r>
      <w:r w:rsidRPr="000660E7">
        <w:t xml:space="preserve"> indicate that the product contains scheduled excipients but they are present at concentrations below their</w:t>
      </w:r>
      <w:r>
        <w:t xml:space="preserve"> relevant SUSMP cut-off levels. </w:t>
      </w:r>
    </w:p>
    <w:p w:rsidR="00814520" w:rsidRDefault="00814520" w:rsidP="005B4D3A">
      <w:pPr>
        <w:pStyle w:val="Heading5"/>
      </w:pPr>
      <w:r>
        <w:t>Current scheduling status</w:t>
      </w:r>
    </w:p>
    <w:p w:rsidR="00814520" w:rsidRDefault="00814520" w:rsidP="005B4D3A">
      <w:r w:rsidRPr="008C23D5">
        <w:t>6-Benzyla</w:t>
      </w:r>
      <w:r>
        <w:t>denine is currently in Schedule</w:t>
      </w:r>
      <w:r w:rsidRPr="008C23D5">
        <w:t xml:space="preserve"> 6 of the </w:t>
      </w:r>
      <w:r w:rsidRPr="003C6F35">
        <w:t>Poison Standard</w:t>
      </w:r>
      <w:r w:rsidRPr="008C23D5">
        <w:t xml:space="preserve"> as follows:</w:t>
      </w:r>
    </w:p>
    <w:p w:rsidR="00814520" w:rsidRPr="0023048F" w:rsidRDefault="0023048F" w:rsidP="0023048F">
      <w:pPr>
        <w:ind w:left="426"/>
        <w:rPr>
          <w:b/>
          <w:sz w:val="20"/>
        </w:rPr>
      </w:pPr>
      <w:r w:rsidRPr="0023048F">
        <w:rPr>
          <w:b/>
        </w:rPr>
        <w:t>Schedule 6</w:t>
      </w:r>
    </w:p>
    <w:p w:rsidR="00814520" w:rsidRPr="005D638B" w:rsidRDefault="00814520" w:rsidP="0023048F">
      <w:pPr>
        <w:ind w:left="426"/>
      </w:pPr>
      <w:r>
        <w:t xml:space="preserve">6-BENZYLADENINE </w:t>
      </w:r>
      <w:r w:rsidRPr="008C23D5">
        <w:rPr>
          <w:b/>
        </w:rPr>
        <w:t>except</w:t>
      </w:r>
      <w:r w:rsidRPr="002F3C13">
        <w:t xml:space="preserve"> in preparations containing </w:t>
      </w:r>
      <w:r>
        <w:rPr>
          <w:b/>
        </w:rPr>
        <w:t>2</w:t>
      </w:r>
      <w:r w:rsidRPr="00AF49FA">
        <w:rPr>
          <w:b/>
        </w:rPr>
        <w:t xml:space="preserve"> per cent</w:t>
      </w:r>
      <w:r w:rsidRPr="002F3C13">
        <w:t xml:space="preserve"> or less</w:t>
      </w:r>
      <w:r>
        <w:t xml:space="preserve"> of 6-benzyladenine</w:t>
      </w:r>
    </w:p>
    <w:p w:rsidR="00814520" w:rsidRDefault="00814520" w:rsidP="005B4D3A">
      <w:pPr>
        <w:pStyle w:val="Heading6"/>
      </w:pPr>
      <w:r>
        <w:lastRenderedPageBreak/>
        <w:t xml:space="preserve">Scheduling </w:t>
      </w:r>
      <w:r w:rsidRPr="005B4D3A">
        <w:t>history</w:t>
      </w:r>
    </w:p>
    <w:p w:rsidR="00814520" w:rsidRDefault="00814520" w:rsidP="005B4D3A">
      <w:r>
        <w:t xml:space="preserve">6-Benyladenine was first considered for scheduling by the National Health and Medical Research Council Poison Schedule (Standing) Committee in August 1979. In view of the data submitted at the time by </w:t>
      </w:r>
      <w:r w:rsidRPr="003C6F35">
        <w:rPr>
          <w:highlight w:val="black"/>
        </w:rPr>
        <w:t>XXXXXXXXX</w:t>
      </w:r>
      <w:r>
        <w:t>, the Committee recommended that 6-benzylade</w:t>
      </w:r>
      <w:r w:rsidR="00565FC4">
        <w:t>nine be exempt from scheduling.</w:t>
      </w:r>
    </w:p>
    <w:p w:rsidR="00814520" w:rsidRPr="00B22A09" w:rsidRDefault="00814520" w:rsidP="005B4D3A">
      <w:pPr>
        <w:rPr>
          <w:rFonts w:asciiTheme="minorHAnsi" w:hAnsiTheme="minorHAnsi" w:cs="Arial"/>
          <w:szCs w:val="24"/>
        </w:rPr>
      </w:pPr>
      <w:r>
        <w:t xml:space="preserve">In February 1995 the Committee considered further toxicological data from </w:t>
      </w:r>
      <w:r w:rsidRPr="003C6F35">
        <w:rPr>
          <w:highlight w:val="black"/>
        </w:rPr>
        <w:t>XXXXXXXXX</w:t>
      </w:r>
      <w:r>
        <w:t xml:space="preserve"> concerning the scheduling of 6-benzyladenine. </w:t>
      </w:r>
      <w:r w:rsidRPr="00B22A09">
        <w:rPr>
          <w:rFonts w:asciiTheme="minorHAnsi" w:hAnsiTheme="minorHAnsi" w:cs="Arial"/>
          <w:szCs w:val="24"/>
        </w:rPr>
        <w:t>The Committee considered that despite the moderate a</w:t>
      </w:r>
      <w:r>
        <w:rPr>
          <w:rFonts w:asciiTheme="minorHAnsi" w:hAnsiTheme="minorHAnsi" w:cs="Arial"/>
          <w:szCs w:val="24"/>
        </w:rPr>
        <w:t xml:space="preserve">cute toxicity (reflecting an S6 </w:t>
      </w:r>
      <w:r w:rsidRPr="00B22A09">
        <w:rPr>
          <w:rFonts w:asciiTheme="minorHAnsi" w:hAnsiTheme="minorHAnsi" w:cs="Arial"/>
          <w:szCs w:val="24"/>
        </w:rPr>
        <w:t>classification) the proposed limited use pattern of 6-benzyladenine</w:t>
      </w:r>
      <w:r>
        <w:rPr>
          <w:rFonts w:asciiTheme="minorHAnsi" w:hAnsiTheme="minorHAnsi" w:cs="Arial"/>
          <w:szCs w:val="24"/>
        </w:rPr>
        <w:t xml:space="preserve"> (i.e.as a plant growth regulator for use on apples) indicated that </w:t>
      </w:r>
      <w:r w:rsidRPr="00B22A09">
        <w:rPr>
          <w:rFonts w:asciiTheme="minorHAnsi" w:hAnsiTheme="minorHAnsi" w:cs="Arial"/>
          <w:szCs w:val="24"/>
        </w:rPr>
        <w:t>inclusion in Schedule 5 with an exemption for pre</w:t>
      </w:r>
      <w:r>
        <w:rPr>
          <w:rFonts w:asciiTheme="minorHAnsi" w:hAnsiTheme="minorHAnsi" w:cs="Arial"/>
          <w:szCs w:val="24"/>
        </w:rPr>
        <w:t xml:space="preserve">parations containing 2% or less </w:t>
      </w:r>
      <w:r w:rsidRPr="00B22A09">
        <w:rPr>
          <w:rFonts w:asciiTheme="minorHAnsi" w:hAnsiTheme="minorHAnsi" w:cs="Arial"/>
          <w:szCs w:val="24"/>
        </w:rPr>
        <w:t>was appropriate.</w:t>
      </w:r>
    </w:p>
    <w:p w:rsidR="00814520" w:rsidRPr="005D638B" w:rsidRDefault="00814520" w:rsidP="005B4D3A">
      <w:r>
        <w:t>Subsequent to the meeting the Committee was requested to reconsider two critical acute studies in rats; one study gave an LD</w:t>
      </w:r>
      <w:r w:rsidRPr="00554B10">
        <w:rPr>
          <w:vertAlign w:val="subscript"/>
        </w:rPr>
        <w:t>50</w:t>
      </w:r>
      <w:r>
        <w:t xml:space="preserve"> of 1380 mg/kg </w:t>
      </w:r>
      <w:proofErr w:type="spellStart"/>
      <w:proofErr w:type="gramStart"/>
      <w:r>
        <w:t>bw</w:t>
      </w:r>
      <w:proofErr w:type="spellEnd"/>
      <w:proofErr w:type="gramEnd"/>
      <w:r>
        <w:t xml:space="preserve"> whereas a later study gave an LD</w:t>
      </w:r>
      <w:r w:rsidRPr="00554B10">
        <w:rPr>
          <w:vertAlign w:val="subscript"/>
        </w:rPr>
        <w:t>50</w:t>
      </w:r>
      <w:r>
        <w:t xml:space="preserve"> of 1290 mg/kg </w:t>
      </w:r>
      <w:proofErr w:type="spellStart"/>
      <w:r>
        <w:t>bw</w:t>
      </w:r>
      <w:proofErr w:type="spellEnd"/>
      <w:r>
        <w:t>. The Chief Toxicologist at the time advised that there was no reason to discriminate between the two rat studies and both should be considered valid. The Committee was also provided with oral acute toxicity data relating to mice studies with an LD</w:t>
      </w:r>
      <w:r w:rsidRPr="00554B10">
        <w:rPr>
          <w:vertAlign w:val="subscript"/>
        </w:rPr>
        <w:t>50</w:t>
      </w:r>
      <w:r>
        <w:t xml:space="preserve"> of 1300 mg/kg </w:t>
      </w:r>
      <w:proofErr w:type="spellStart"/>
      <w:proofErr w:type="gramStart"/>
      <w:r>
        <w:t>bw</w:t>
      </w:r>
      <w:proofErr w:type="spellEnd"/>
      <w:proofErr w:type="gramEnd"/>
      <w:r>
        <w:t>. Following consideration of the additional data, the Committee considered that the acute oral toxicity indicated that Schedule 6 with a 2 per cent cut-off to exemption from scheduling was appropriate.</w:t>
      </w:r>
    </w:p>
    <w:p w:rsidR="00814520" w:rsidRDefault="00814520" w:rsidP="005B4D3A">
      <w:pPr>
        <w:pStyle w:val="Heading6"/>
      </w:pPr>
      <w:r>
        <w:t>Austra</w:t>
      </w:r>
      <w:r w:rsidR="009578C4">
        <w:t>lian regulations</w:t>
      </w:r>
    </w:p>
    <w:p w:rsidR="00814520" w:rsidRPr="00E56D3D" w:rsidRDefault="00814520" w:rsidP="009578C4">
      <w:pPr>
        <w:pStyle w:val="ListBullet"/>
      </w:pPr>
      <w:r w:rsidRPr="00E56D3D">
        <w:t>6-Benzyladenine is an AP</w:t>
      </w:r>
      <w:r w:rsidR="009578C4">
        <w:t>VMA approved active constituent</w:t>
      </w:r>
    </w:p>
    <w:p w:rsidR="00814520" w:rsidRPr="00E56D3D" w:rsidRDefault="00814520" w:rsidP="005B4D3A">
      <w:pPr>
        <w:pStyle w:val="ListBullet"/>
      </w:pPr>
      <w:r w:rsidRPr="003C6F35">
        <w:rPr>
          <w:highlight w:val="black"/>
        </w:rPr>
        <w:t>XXXXX</w:t>
      </w:r>
      <w:r w:rsidRPr="00E56D3D">
        <w:t xml:space="preserve"> (19g/L) and </w:t>
      </w:r>
      <w:r w:rsidRPr="003C6F35">
        <w:rPr>
          <w:highlight w:val="black"/>
        </w:rPr>
        <w:t>XXXXX</w:t>
      </w:r>
      <w:r w:rsidRPr="00E56D3D">
        <w:t xml:space="preserve"> (20 g/L</w:t>
      </w:r>
      <w:r w:rsidR="009578C4">
        <w:t>) are APVMA registered products</w:t>
      </w:r>
    </w:p>
    <w:p w:rsidR="00814520" w:rsidRPr="00E56D3D" w:rsidRDefault="00814520" w:rsidP="005B4D3A">
      <w:pPr>
        <w:pStyle w:val="ListBullet"/>
      </w:pPr>
      <w:r w:rsidRPr="00E56D3D">
        <w:t xml:space="preserve">6-Benzyladenine is not listed on the </w:t>
      </w:r>
      <w:r w:rsidRPr="005B4D3A">
        <w:t>current</w:t>
      </w:r>
      <w:r>
        <w:t xml:space="preserve"> </w:t>
      </w:r>
      <w:hyperlink r:id="rId26" w:history="1">
        <w:r w:rsidRPr="00395F5F">
          <w:rPr>
            <w:rStyle w:val="Hyperlink"/>
          </w:rPr>
          <w:t>Therapeutic Goods (Permissible I</w:t>
        </w:r>
        <w:r>
          <w:rPr>
            <w:rStyle w:val="Hyperlink"/>
          </w:rPr>
          <w:t xml:space="preserve">ngredients) Determination No. 4 </w:t>
        </w:r>
        <w:r w:rsidRPr="00395F5F">
          <w:rPr>
            <w:rStyle w:val="Hyperlink"/>
          </w:rPr>
          <w:t>of 2018</w:t>
        </w:r>
        <w:r w:rsidRPr="009578C4">
          <w:rPr>
            <w:rStyle w:val="Hyperlink"/>
            <w:color w:val="auto"/>
            <w:u w:val="none"/>
          </w:rPr>
          <w:t>.</w:t>
        </w:r>
      </w:hyperlink>
    </w:p>
    <w:p w:rsidR="00814520" w:rsidRDefault="00814520" w:rsidP="005B4D3A">
      <w:pPr>
        <w:pStyle w:val="ListBullet"/>
      </w:pPr>
      <w:r w:rsidRPr="00E56D3D">
        <w:t xml:space="preserve">6-Benzyladenine is not an excipient or active in </w:t>
      </w:r>
      <w:r w:rsidRPr="005B4D3A">
        <w:t>any</w:t>
      </w:r>
      <w:r w:rsidRPr="00E56D3D">
        <w:t xml:space="preserve"> medicines on the </w:t>
      </w:r>
      <w:hyperlink r:id="rId27" w:history="1">
        <w:r w:rsidRPr="00E56D3D">
          <w:rPr>
            <w:rStyle w:val="Hyperlink"/>
            <w:color w:val="auto"/>
            <w:u w:val="none"/>
          </w:rPr>
          <w:t>ARTG</w:t>
        </w:r>
      </w:hyperlink>
      <w:r w:rsidRPr="00E56D3D">
        <w:t>.</w:t>
      </w:r>
    </w:p>
    <w:p w:rsidR="00814520" w:rsidRDefault="00814520" w:rsidP="005B4D3A">
      <w:pPr>
        <w:pStyle w:val="Heading6"/>
      </w:pPr>
      <w:r>
        <w:t xml:space="preserve">International </w:t>
      </w:r>
      <w:r w:rsidRPr="005B4D3A">
        <w:t>regulations</w:t>
      </w:r>
    </w:p>
    <w:p w:rsidR="00814520" w:rsidRPr="00D642BB" w:rsidRDefault="00814520" w:rsidP="005B4D3A">
      <w:pPr>
        <w:pStyle w:val="ListBullet"/>
        <w:rPr>
          <w:rFonts w:cs="Arial"/>
        </w:rPr>
      </w:pPr>
      <w:r w:rsidRPr="003C6F35">
        <w:rPr>
          <w:highlight w:val="black"/>
        </w:rPr>
        <w:t>XXXXX</w:t>
      </w:r>
      <w:r w:rsidRPr="00E56D3D">
        <w:t xml:space="preserve"> </w:t>
      </w:r>
      <w:r w:rsidRPr="00D642BB">
        <w:t xml:space="preserve">is currently registered (for use in apples and pears) in the USA as </w:t>
      </w:r>
      <w:r w:rsidRPr="003C6F35">
        <w:rPr>
          <w:highlight w:val="black"/>
        </w:rPr>
        <w:t>XXXXX</w:t>
      </w:r>
      <w:r w:rsidR="009578C4">
        <w:t>.</w:t>
      </w:r>
    </w:p>
    <w:p w:rsidR="00814520" w:rsidRPr="00EB6A3A" w:rsidRDefault="00814520" w:rsidP="005B4D3A">
      <w:pPr>
        <w:pStyle w:val="ListBullet"/>
        <w:rPr>
          <w:rFonts w:cs="ArialUnicodeMS"/>
        </w:rPr>
      </w:pPr>
      <w:r w:rsidRPr="00D642BB">
        <w:t>The applicant</w:t>
      </w:r>
      <w:r>
        <w:t xml:space="preserve"> to the APVMA </w:t>
      </w:r>
      <w:r w:rsidRPr="00D642BB">
        <w:t>states applications have been submitted for registration</w:t>
      </w:r>
      <w:r>
        <w:t xml:space="preserve"> </w:t>
      </w:r>
      <w:r w:rsidRPr="00D642BB">
        <w:t xml:space="preserve">in </w:t>
      </w:r>
      <w:r w:rsidRPr="00D642BB">
        <w:rPr>
          <w:rFonts w:cs="ArialUnicodeMS"/>
        </w:rPr>
        <w:t xml:space="preserve">Austria, Belgium, Czech Republic, France, Germany, Italy, The Netherlands, </w:t>
      </w:r>
      <w:r w:rsidRPr="005B4D3A">
        <w:t>Portugal</w:t>
      </w:r>
      <w:r w:rsidRPr="00D642BB">
        <w:rPr>
          <w:rFonts w:cs="ArialUnicodeMS"/>
        </w:rPr>
        <w:t xml:space="preserve"> and </w:t>
      </w:r>
      <w:r>
        <w:rPr>
          <w:rFonts w:cs="ArialUnicodeMS"/>
        </w:rPr>
        <w:t xml:space="preserve">Spain, </w:t>
      </w:r>
      <w:r>
        <w:t>which are currently under evaluation.</w:t>
      </w:r>
    </w:p>
    <w:p w:rsidR="00814520" w:rsidRDefault="00814520" w:rsidP="009578C4">
      <w:pPr>
        <w:pStyle w:val="Heading6"/>
        <w:pageBreakBefore/>
      </w:pPr>
      <w:r w:rsidRPr="009578C4">
        <w:lastRenderedPageBreak/>
        <w:t>Substance</w:t>
      </w:r>
      <w:r>
        <w:t xml:space="preserve"> summary</w:t>
      </w:r>
    </w:p>
    <w:p w:rsidR="00814520" w:rsidRPr="007B1756" w:rsidRDefault="00814520" w:rsidP="009578C4">
      <w:pPr>
        <w:pStyle w:val="TableTitle0"/>
        <w:keepNext/>
        <w:keepLines/>
      </w:pPr>
      <w:r w:rsidRPr="007B1756">
        <w:t xml:space="preserve">Table 1: Chemical information for </w:t>
      </w:r>
      <w:r>
        <w:t>6-Benzyladenine</w:t>
      </w:r>
    </w:p>
    <w:tbl>
      <w:tblPr>
        <w:tblStyle w:val="TableTGAblue"/>
        <w:tblW w:w="9214" w:type="dxa"/>
        <w:tblInd w:w="108" w:type="dxa"/>
        <w:tblLook w:val="04A0" w:firstRow="1" w:lastRow="0" w:firstColumn="1" w:lastColumn="0" w:noHBand="0" w:noVBand="1"/>
      </w:tblPr>
      <w:tblGrid>
        <w:gridCol w:w="3402"/>
        <w:gridCol w:w="5812"/>
      </w:tblGrid>
      <w:tr w:rsidR="00814520" w:rsidRPr="001253A8" w:rsidTr="00493089">
        <w:trPr>
          <w:cnfStyle w:val="100000000000" w:firstRow="1" w:lastRow="0" w:firstColumn="0" w:lastColumn="0" w:oddVBand="0" w:evenVBand="0" w:oddHBand="0" w:evenHBand="0" w:firstRowFirstColumn="0" w:firstRowLastColumn="0" w:lastRowFirstColumn="0" w:lastRowLastColumn="0"/>
        </w:trPr>
        <w:tc>
          <w:tcPr>
            <w:tcW w:w="3402" w:type="dxa"/>
            <w:vAlign w:val="center"/>
          </w:tcPr>
          <w:p w:rsidR="00814520" w:rsidRPr="001253A8" w:rsidRDefault="00814520" w:rsidP="00814520">
            <w:pPr>
              <w:rPr>
                <w:sz w:val="20"/>
                <w:szCs w:val="20"/>
              </w:rPr>
            </w:pPr>
            <w:r w:rsidRPr="001253A8">
              <w:rPr>
                <w:sz w:val="20"/>
                <w:szCs w:val="20"/>
              </w:rPr>
              <w:t>Property</w:t>
            </w:r>
          </w:p>
        </w:tc>
        <w:tc>
          <w:tcPr>
            <w:tcW w:w="5812" w:type="dxa"/>
            <w:vAlign w:val="center"/>
          </w:tcPr>
          <w:p w:rsidR="00814520" w:rsidRPr="001253A8" w:rsidRDefault="00814520" w:rsidP="00814520">
            <w:pPr>
              <w:rPr>
                <w:sz w:val="20"/>
                <w:szCs w:val="20"/>
                <w:lang w:eastAsia="en-US"/>
              </w:rPr>
            </w:pPr>
            <w:r>
              <w:t>6-BENZYLADENINE</w:t>
            </w:r>
          </w:p>
        </w:tc>
      </w:tr>
      <w:tr w:rsidR="00814520" w:rsidRPr="001253A8" w:rsidTr="00493089">
        <w:trPr>
          <w:trHeight w:val="2698"/>
        </w:trPr>
        <w:tc>
          <w:tcPr>
            <w:tcW w:w="3402" w:type="dxa"/>
          </w:tcPr>
          <w:p w:rsidR="00814520" w:rsidRPr="001253A8" w:rsidRDefault="00814520" w:rsidP="00814520">
            <w:pPr>
              <w:spacing w:before="120" w:after="120"/>
              <w:rPr>
                <w:sz w:val="20"/>
                <w:szCs w:val="20"/>
              </w:rPr>
            </w:pPr>
            <w:r w:rsidRPr="001253A8">
              <w:rPr>
                <w:sz w:val="20"/>
                <w:szCs w:val="20"/>
              </w:rPr>
              <w:t>Chemical structure</w:t>
            </w:r>
          </w:p>
        </w:tc>
        <w:tc>
          <w:tcPr>
            <w:tcW w:w="5812" w:type="dxa"/>
          </w:tcPr>
          <w:p w:rsidR="00814520" w:rsidRPr="001253A8" w:rsidRDefault="00814520" w:rsidP="009578C4">
            <w:pPr>
              <w:rPr>
                <w:i/>
                <w:iCs/>
                <w:sz w:val="20"/>
                <w:szCs w:val="20"/>
              </w:rPr>
            </w:pPr>
            <w:r w:rsidRPr="003957EF">
              <w:rPr>
                <w:rFonts w:ascii="Segoe UI" w:eastAsia="Times New Roman" w:hAnsi="Segoe UI" w:cs="Segoe UI"/>
                <w:noProof/>
                <w:color w:val="212121"/>
                <w:sz w:val="24"/>
                <w:szCs w:val="24"/>
              </w:rPr>
              <w:drawing>
                <wp:inline distT="0" distB="0" distL="0" distR="0" wp14:anchorId="139A9B8D" wp14:editId="2D4E1C0F">
                  <wp:extent cx="1663429" cy="1616855"/>
                  <wp:effectExtent l="0" t="0" r="0" b="2540"/>
                  <wp:docPr id="4" name="Picture 4" descr="Chemical structure of 6-benzylade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6-Benzyladenine.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72834" cy="1625997"/>
                          </a:xfrm>
                          <a:prstGeom prst="rect">
                            <a:avLst/>
                          </a:prstGeom>
                          <a:noFill/>
                          <a:ln>
                            <a:noFill/>
                          </a:ln>
                        </pic:spPr>
                      </pic:pic>
                    </a:graphicData>
                  </a:graphic>
                </wp:inline>
              </w:drawing>
            </w:r>
          </w:p>
        </w:tc>
      </w:tr>
      <w:tr w:rsidR="00814520" w:rsidRPr="001253A8" w:rsidTr="00493089">
        <w:trPr>
          <w:trHeight w:val="330"/>
        </w:trPr>
        <w:tc>
          <w:tcPr>
            <w:tcW w:w="3402" w:type="dxa"/>
          </w:tcPr>
          <w:p w:rsidR="00814520" w:rsidRPr="001253A8" w:rsidRDefault="00814520" w:rsidP="00814520">
            <w:pPr>
              <w:spacing w:before="120" w:after="120"/>
              <w:rPr>
                <w:sz w:val="20"/>
                <w:szCs w:val="20"/>
              </w:rPr>
            </w:pPr>
            <w:r w:rsidRPr="001253A8">
              <w:rPr>
                <w:sz w:val="20"/>
                <w:szCs w:val="20"/>
              </w:rPr>
              <w:t>Molecular formula</w:t>
            </w:r>
          </w:p>
        </w:tc>
        <w:tc>
          <w:tcPr>
            <w:tcW w:w="5812" w:type="dxa"/>
          </w:tcPr>
          <w:p w:rsidR="00814520" w:rsidRPr="00A60F05" w:rsidRDefault="00814520" w:rsidP="00814520">
            <w:pPr>
              <w:rPr>
                <w:rFonts w:asciiTheme="minorHAnsi" w:hAnsiTheme="minorHAnsi"/>
                <w:noProof/>
                <w:sz w:val="20"/>
                <w:szCs w:val="20"/>
              </w:rPr>
            </w:pPr>
            <w:r w:rsidRPr="00A60F05">
              <w:rPr>
                <w:rFonts w:asciiTheme="minorHAnsi" w:hAnsiTheme="minorHAnsi" w:cs="Arial"/>
                <w:color w:val="222222"/>
              </w:rPr>
              <w:t>C</w:t>
            </w:r>
            <w:r>
              <w:rPr>
                <w:rFonts w:asciiTheme="minorHAnsi" w:hAnsiTheme="minorHAnsi" w:cs="Arial"/>
                <w:color w:val="222222"/>
                <w:vertAlign w:val="subscript"/>
              </w:rPr>
              <w:t>12</w:t>
            </w:r>
            <w:r w:rsidRPr="00A60F05">
              <w:rPr>
                <w:rFonts w:asciiTheme="minorHAnsi" w:hAnsiTheme="minorHAnsi" w:cs="Arial"/>
                <w:color w:val="222222"/>
              </w:rPr>
              <w:t>H</w:t>
            </w:r>
            <w:r>
              <w:rPr>
                <w:rFonts w:asciiTheme="minorHAnsi" w:hAnsiTheme="minorHAnsi" w:cs="Arial"/>
                <w:color w:val="222222"/>
                <w:vertAlign w:val="subscript"/>
              </w:rPr>
              <w:t>11</w:t>
            </w:r>
            <w:r w:rsidRPr="00A60F05">
              <w:rPr>
                <w:rFonts w:asciiTheme="minorHAnsi" w:hAnsiTheme="minorHAnsi" w:cs="Arial"/>
                <w:color w:val="222222"/>
              </w:rPr>
              <w:t>N</w:t>
            </w:r>
            <w:r>
              <w:rPr>
                <w:rFonts w:asciiTheme="minorHAnsi" w:hAnsiTheme="minorHAnsi" w:cs="Arial"/>
                <w:color w:val="222222"/>
                <w:vertAlign w:val="subscript"/>
              </w:rPr>
              <w:t>5</w:t>
            </w:r>
          </w:p>
        </w:tc>
      </w:tr>
      <w:tr w:rsidR="00814520" w:rsidRPr="001253A8" w:rsidTr="00493089">
        <w:trPr>
          <w:trHeight w:val="590"/>
        </w:trPr>
        <w:tc>
          <w:tcPr>
            <w:tcW w:w="3402" w:type="dxa"/>
          </w:tcPr>
          <w:p w:rsidR="00814520" w:rsidRPr="001253A8" w:rsidRDefault="00814520" w:rsidP="00814520">
            <w:pPr>
              <w:spacing w:before="120" w:after="120"/>
              <w:rPr>
                <w:sz w:val="20"/>
                <w:szCs w:val="20"/>
              </w:rPr>
            </w:pPr>
            <w:r w:rsidRPr="001253A8">
              <w:rPr>
                <w:sz w:val="20"/>
                <w:szCs w:val="20"/>
              </w:rPr>
              <w:t>CAS names</w:t>
            </w:r>
          </w:p>
        </w:tc>
        <w:tc>
          <w:tcPr>
            <w:tcW w:w="5812" w:type="dxa"/>
          </w:tcPr>
          <w:p w:rsidR="00814520" w:rsidRPr="00D642BB" w:rsidRDefault="00814520" w:rsidP="00814520">
            <w:pPr>
              <w:spacing w:before="120" w:after="120"/>
              <w:rPr>
                <w:rFonts w:asciiTheme="minorHAnsi" w:hAnsiTheme="minorHAnsi" w:cs="Segoe UI"/>
                <w:sz w:val="20"/>
                <w:szCs w:val="20"/>
                <w:lang w:val="en"/>
              </w:rPr>
            </w:pPr>
            <w:r>
              <w:rPr>
                <w:color w:val="212121"/>
                <w:sz w:val="20"/>
                <w:szCs w:val="20"/>
              </w:rPr>
              <w:t>6-benzyladenine</w:t>
            </w:r>
          </w:p>
        </w:tc>
      </w:tr>
      <w:tr w:rsidR="00814520" w:rsidRPr="001253A8" w:rsidTr="00493089">
        <w:tc>
          <w:tcPr>
            <w:tcW w:w="3402" w:type="dxa"/>
          </w:tcPr>
          <w:p w:rsidR="00814520" w:rsidRPr="001253A8" w:rsidRDefault="00814520" w:rsidP="00814520">
            <w:pPr>
              <w:spacing w:before="120" w:after="120"/>
              <w:rPr>
                <w:sz w:val="20"/>
                <w:szCs w:val="20"/>
              </w:rPr>
            </w:pPr>
            <w:r>
              <w:rPr>
                <w:sz w:val="20"/>
                <w:szCs w:val="20"/>
              </w:rPr>
              <w:t>CAS number</w:t>
            </w:r>
          </w:p>
        </w:tc>
        <w:tc>
          <w:tcPr>
            <w:tcW w:w="5812" w:type="dxa"/>
          </w:tcPr>
          <w:p w:rsidR="00814520" w:rsidRPr="001253A8" w:rsidRDefault="00814520" w:rsidP="00814520">
            <w:pPr>
              <w:spacing w:after="0" w:line="240" w:lineRule="auto"/>
              <w:rPr>
                <w:sz w:val="20"/>
                <w:szCs w:val="20"/>
              </w:rPr>
            </w:pPr>
            <w:r>
              <w:rPr>
                <w:rStyle w:val="ilfuvd"/>
                <w:rFonts w:asciiTheme="minorHAnsi" w:hAnsiTheme="minorHAnsi" w:cs="Arial"/>
                <w:color w:val="222222"/>
              </w:rPr>
              <w:t>1214-39-7</w:t>
            </w:r>
          </w:p>
        </w:tc>
      </w:tr>
      <w:tr w:rsidR="00814520" w:rsidRPr="001253A8" w:rsidTr="00493089">
        <w:tc>
          <w:tcPr>
            <w:tcW w:w="3402" w:type="dxa"/>
          </w:tcPr>
          <w:p w:rsidR="00814520" w:rsidRPr="001253A8" w:rsidRDefault="00814520" w:rsidP="00814520">
            <w:pPr>
              <w:spacing w:before="120" w:after="120"/>
              <w:rPr>
                <w:sz w:val="20"/>
                <w:szCs w:val="20"/>
              </w:rPr>
            </w:pPr>
            <w:r w:rsidRPr="001253A8">
              <w:rPr>
                <w:sz w:val="20"/>
                <w:szCs w:val="20"/>
              </w:rPr>
              <w:t>IUPAC and/or common and/or other names</w:t>
            </w:r>
          </w:p>
        </w:tc>
        <w:tc>
          <w:tcPr>
            <w:tcW w:w="5812" w:type="dxa"/>
          </w:tcPr>
          <w:p w:rsidR="00814520" w:rsidRPr="004E1DC9" w:rsidRDefault="00814520" w:rsidP="00814520">
            <w:pPr>
              <w:spacing w:after="0" w:line="240" w:lineRule="auto"/>
              <w:rPr>
                <w:sz w:val="20"/>
                <w:szCs w:val="20"/>
              </w:rPr>
            </w:pPr>
            <w:r w:rsidRPr="004E1DC9">
              <w:rPr>
                <w:rStyle w:val="Emphasis"/>
                <w:rFonts w:asciiTheme="minorHAnsi" w:hAnsiTheme="minorHAnsi" w:cs="Arial"/>
                <w:color w:val="auto"/>
                <w:sz w:val="20"/>
                <w:szCs w:val="20"/>
              </w:rPr>
              <w:t>N</w:t>
            </w:r>
            <w:r w:rsidRPr="004E1DC9">
              <w:rPr>
                <w:rStyle w:val="Emphasis"/>
                <w:rFonts w:asciiTheme="minorHAnsi" w:hAnsiTheme="minorHAnsi" w:cs="Arial"/>
                <w:color w:val="auto"/>
                <w:sz w:val="20"/>
                <w:szCs w:val="20"/>
                <w:vertAlign w:val="superscript"/>
              </w:rPr>
              <w:t>6</w:t>
            </w:r>
            <w:r w:rsidRPr="004E1DC9">
              <w:rPr>
                <w:rStyle w:val="Emphasis"/>
                <w:rFonts w:asciiTheme="minorHAnsi" w:hAnsiTheme="minorHAnsi" w:cs="Arial"/>
                <w:color w:val="auto"/>
                <w:sz w:val="20"/>
                <w:szCs w:val="20"/>
              </w:rPr>
              <w:t>-benzyladenine;</w:t>
            </w:r>
            <w:r w:rsidRPr="004E1DC9">
              <w:rPr>
                <w:rFonts w:asciiTheme="minorHAnsi" w:hAnsiTheme="minorHAnsi" w:cs="Segoe UI"/>
                <w:sz w:val="20"/>
                <w:szCs w:val="20"/>
                <w:lang w:val="en"/>
              </w:rPr>
              <w:t xml:space="preserve"> N-benzyl-7H-purin-6-amine</w:t>
            </w:r>
            <w:r w:rsidRPr="004E1DC9">
              <w:rPr>
                <w:sz w:val="20"/>
                <w:szCs w:val="20"/>
              </w:rPr>
              <w:t>;</w:t>
            </w:r>
            <w:r w:rsidRPr="004E1DC9">
              <w:rPr>
                <w:rStyle w:val="Emphasis"/>
                <w:rFonts w:asciiTheme="minorHAnsi" w:hAnsiTheme="minorHAnsi" w:cs="Arial"/>
                <w:color w:val="auto"/>
                <w:sz w:val="20"/>
                <w:szCs w:val="20"/>
              </w:rPr>
              <w:t xml:space="preserve"> 6</w:t>
            </w:r>
            <w:r w:rsidRPr="004E1DC9">
              <w:rPr>
                <w:rStyle w:val="st1"/>
                <w:rFonts w:asciiTheme="minorHAnsi" w:hAnsiTheme="minorHAnsi" w:cs="Arial"/>
                <w:sz w:val="20"/>
                <w:szCs w:val="20"/>
              </w:rPr>
              <w:t>-</w:t>
            </w:r>
            <w:r w:rsidRPr="004E1DC9">
              <w:rPr>
                <w:rStyle w:val="Emphasis"/>
                <w:rFonts w:asciiTheme="minorHAnsi" w:hAnsiTheme="minorHAnsi" w:cs="Arial"/>
                <w:color w:val="auto"/>
                <w:sz w:val="20"/>
                <w:szCs w:val="20"/>
              </w:rPr>
              <w:t>benzylaminopurine; N-phenylmethyl-1H-purine-6-amine</w:t>
            </w:r>
          </w:p>
        </w:tc>
      </w:tr>
    </w:tbl>
    <w:p w:rsidR="00814520" w:rsidRPr="00493089" w:rsidRDefault="00814520" w:rsidP="00493089">
      <w:pPr>
        <w:pStyle w:val="TableTitle0"/>
      </w:pPr>
      <w:r w:rsidRPr="003D2D93">
        <w:t xml:space="preserve">Table 2: Acute toxicity end-points for </w:t>
      </w:r>
      <w:r w:rsidRPr="003C6F35">
        <w:rPr>
          <w:highlight w:val="black"/>
        </w:rPr>
        <w:t>XXXXX</w:t>
      </w:r>
      <w:r w:rsidRPr="00E56D3D">
        <w:t xml:space="preserve"> </w:t>
      </w:r>
      <w:r>
        <w:rPr>
          <w:rFonts w:cs="ArialUnicodeMS"/>
        </w:rPr>
        <w:t xml:space="preserve">(10% 6-benzyladenine) </w:t>
      </w:r>
      <w:r w:rsidRPr="00914532">
        <w:rPr>
          <w:rFonts w:cs="ArialUnicodeMS"/>
        </w:rPr>
        <w:t>an</w:t>
      </w:r>
      <w:r w:rsidRPr="00EB6A3A">
        <w:rPr>
          <w:rFonts w:cs="ArialUnicodeMS"/>
        </w:rPr>
        <w:t xml:space="preserve">d </w:t>
      </w:r>
      <w:r w:rsidRPr="003C6F35">
        <w:rPr>
          <w:highlight w:val="black"/>
        </w:rPr>
        <w:t>XXXXX</w:t>
      </w:r>
      <w:r w:rsidRPr="00E56D3D">
        <w:t xml:space="preserve"> </w:t>
      </w:r>
      <w:r>
        <w:rPr>
          <w:bCs/>
        </w:rPr>
        <w:t>(2% 6-benzyladenine)</w:t>
      </w:r>
    </w:p>
    <w:tbl>
      <w:tblPr>
        <w:tblStyle w:val="TableTGAblue"/>
        <w:tblW w:w="5000" w:type="pct"/>
        <w:tblInd w:w="132" w:type="dxa"/>
        <w:tblLayout w:type="fixed"/>
        <w:tblLook w:val="04A0" w:firstRow="1" w:lastRow="0" w:firstColumn="1" w:lastColumn="0" w:noHBand="0" w:noVBand="1"/>
      </w:tblPr>
      <w:tblGrid>
        <w:gridCol w:w="2813"/>
        <w:gridCol w:w="1138"/>
        <w:gridCol w:w="1840"/>
        <w:gridCol w:w="1842"/>
        <w:gridCol w:w="1653"/>
      </w:tblGrid>
      <w:tr w:rsidR="00493089" w:rsidRPr="0093114F" w:rsidTr="00493089">
        <w:trPr>
          <w:cnfStyle w:val="100000000000" w:firstRow="1" w:lastRow="0" w:firstColumn="0" w:lastColumn="0" w:oddVBand="0" w:evenVBand="0" w:oddHBand="0" w:evenHBand="0" w:firstRowFirstColumn="0" w:firstRowLastColumn="0" w:lastRowFirstColumn="0" w:lastRowLastColumn="0"/>
        </w:trPr>
        <w:tc>
          <w:tcPr>
            <w:tcW w:w="1514" w:type="pct"/>
          </w:tcPr>
          <w:p w:rsidR="00814520" w:rsidRPr="0093114F" w:rsidRDefault="00814520" w:rsidP="00814520">
            <w:pPr>
              <w:pStyle w:val="TableHeading"/>
              <w:spacing w:before="120" w:after="120"/>
              <w:rPr>
                <w:rFonts w:cstheme="majorHAnsi"/>
                <w:b/>
                <w:sz w:val="20"/>
                <w:szCs w:val="20"/>
              </w:rPr>
            </w:pPr>
            <w:r w:rsidRPr="0093114F">
              <w:rPr>
                <w:rFonts w:cstheme="majorHAnsi"/>
                <w:b/>
                <w:sz w:val="20"/>
                <w:szCs w:val="20"/>
              </w:rPr>
              <w:t>Toxicity</w:t>
            </w:r>
          </w:p>
        </w:tc>
        <w:tc>
          <w:tcPr>
            <w:tcW w:w="613" w:type="pct"/>
          </w:tcPr>
          <w:p w:rsidR="00814520" w:rsidRPr="0093114F" w:rsidRDefault="00814520" w:rsidP="00814520">
            <w:pPr>
              <w:pStyle w:val="TableHeading"/>
              <w:spacing w:before="120" w:after="120"/>
              <w:rPr>
                <w:rFonts w:cstheme="majorHAnsi"/>
                <w:b/>
                <w:sz w:val="20"/>
                <w:szCs w:val="20"/>
              </w:rPr>
            </w:pPr>
            <w:r w:rsidRPr="0093114F">
              <w:rPr>
                <w:rFonts w:cstheme="majorHAnsi"/>
                <w:b/>
                <w:sz w:val="20"/>
                <w:szCs w:val="20"/>
              </w:rPr>
              <w:t>Species</w:t>
            </w:r>
          </w:p>
        </w:tc>
        <w:tc>
          <w:tcPr>
            <w:tcW w:w="991" w:type="pct"/>
          </w:tcPr>
          <w:p w:rsidR="00814520" w:rsidRPr="0093114F" w:rsidRDefault="00814520" w:rsidP="00814520">
            <w:pPr>
              <w:pStyle w:val="TableHeading"/>
              <w:spacing w:before="120" w:after="120"/>
              <w:rPr>
                <w:rFonts w:cstheme="majorHAnsi"/>
                <w:b/>
                <w:sz w:val="20"/>
                <w:szCs w:val="20"/>
              </w:rPr>
            </w:pPr>
            <w:r>
              <w:rPr>
                <w:rFonts w:cstheme="majorHAnsi"/>
                <w:b/>
                <w:sz w:val="20"/>
                <w:szCs w:val="20"/>
              </w:rPr>
              <w:t>End-point (10% product)*</w:t>
            </w:r>
          </w:p>
        </w:tc>
        <w:tc>
          <w:tcPr>
            <w:tcW w:w="992" w:type="pct"/>
          </w:tcPr>
          <w:p w:rsidR="00814520" w:rsidRPr="0093114F" w:rsidRDefault="00814520" w:rsidP="00814520">
            <w:pPr>
              <w:pStyle w:val="TableHeading"/>
              <w:spacing w:before="120" w:after="120"/>
              <w:rPr>
                <w:rFonts w:cstheme="majorHAnsi"/>
                <w:sz w:val="20"/>
                <w:szCs w:val="20"/>
              </w:rPr>
            </w:pPr>
            <w:r w:rsidRPr="003B3985">
              <w:rPr>
                <w:rFonts w:cstheme="majorHAnsi"/>
                <w:b/>
                <w:sz w:val="20"/>
                <w:szCs w:val="20"/>
              </w:rPr>
              <w:t>End</w:t>
            </w:r>
            <w:r>
              <w:rPr>
                <w:rFonts w:cstheme="majorHAnsi"/>
                <w:b/>
                <w:sz w:val="20"/>
                <w:szCs w:val="20"/>
              </w:rPr>
              <w:t>-</w:t>
            </w:r>
            <w:r w:rsidRPr="003B3985">
              <w:rPr>
                <w:rFonts w:cstheme="majorHAnsi"/>
                <w:b/>
                <w:sz w:val="20"/>
                <w:szCs w:val="20"/>
              </w:rPr>
              <w:t>point</w:t>
            </w:r>
            <w:r>
              <w:rPr>
                <w:rFonts w:cstheme="majorHAnsi"/>
                <w:b/>
                <w:sz w:val="20"/>
                <w:szCs w:val="20"/>
              </w:rPr>
              <w:t xml:space="preserve"> (2</w:t>
            </w:r>
            <w:r w:rsidRPr="003B3985">
              <w:rPr>
                <w:rFonts w:cstheme="majorHAnsi"/>
                <w:b/>
                <w:sz w:val="20"/>
                <w:szCs w:val="20"/>
              </w:rPr>
              <w:t>% product)</w:t>
            </w:r>
            <w:r>
              <w:rPr>
                <w:rFonts w:cstheme="majorHAnsi"/>
                <w:b/>
                <w:sz w:val="20"/>
                <w:szCs w:val="20"/>
              </w:rPr>
              <w:t>**</w:t>
            </w:r>
          </w:p>
        </w:tc>
        <w:tc>
          <w:tcPr>
            <w:tcW w:w="891" w:type="pct"/>
          </w:tcPr>
          <w:p w:rsidR="00814520" w:rsidRPr="0093114F" w:rsidRDefault="00814520" w:rsidP="00814520">
            <w:pPr>
              <w:pStyle w:val="TableHeading"/>
              <w:spacing w:before="120" w:after="120"/>
              <w:rPr>
                <w:rFonts w:cstheme="majorHAnsi"/>
                <w:b/>
                <w:sz w:val="20"/>
                <w:szCs w:val="20"/>
              </w:rPr>
            </w:pPr>
            <w:r w:rsidRPr="0093114F">
              <w:rPr>
                <w:rFonts w:cstheme="majorHAnsi"/>
                <w:b/>
                <w:sz w:val="20"/>
                <w:szCs w:val="20"/>
              </w:rPr>
              <w:t>SPF</w:t>
            </w:r>
            <w:r>
              <w:rPr>
                <w:rFonts w:cstheme="majorHAnsi"/>
                <w:b/>
                <w:sz w:val="20"/>
                <w:szCs w:val="20"/>
              </w:rPr>
              <w:t xml:space="preserve"> (2018)</w:t>
            </w:r>
            <w:r w:rsidRPr="0093114F">
              <w:rPr>
                <w:rFonts w:cstheme="majorHAnsi"/>
                <w:b/>
                <w:sz w:val="20"/>
                <w:szCs w:val="20"/>
              </w:rPr>
              <w:t xml:space="preserve"> Classification</w:t>
            </w:r>
            <w:r w:rsidRPr="00AC68E2">
              <w:rPr>
                <w:rStyle w:val="FootnoteReference"/>
              </w:rPr>
              <w:footnoteReference w:id="3"/>
            </w:r>
          </w:p>
        </w:tc>
      </w:tr>
      <w:tr w:rsidR="00493089" w:rsidRPr="00270BA0" w:rsidTr="00493089">
        <w:tc>
          <w:tcPr>
            <w:tcW w:w="1514" w:type="pct"/>
          </w:tcPr>
          <w:p w:rsidR="00814520" w:rsidRPr="00270BA0" w:rsidRDefault="00493089" w:rsidP="00493089">
            <w:pPr>
              <w:spacing w:before="120" w:after="120"/>
              <w:rPr>
                <w:sz w:val="20"/>
                <w:szCs w:val="20"/>
              </w:rPr>
            </w:pPr>
            <w:r>
              <w:rPr>
                <w:sz w:val="20"/>
                <w:szCs w:val="20"/>
              </w:rPr>
              <w:t>Acute oral toxicity</w:t>
            </w:r>
            <w:r>
              <w:rPr>
                <w:sz w:val="20"/>
                <w:szCs w:val="20"/>
              </w:rPr>
              <w:br/>
            </w:r>
            <w:r w:rsidR="00814520" w:rsidRPr="00270BA0">
              <w:rPr>
                <w:sz w:val="20"/>
                <w:szCs w:val="20"/>
              </w:rPr>
              <w:t>LD</w:t>
            </w:r>
            <w:r w:rsidR="00814520" w:rsidRPr="00270BA0">
              <w:rPr>
                <w:sz w:val="20"/>
                <w:szCs w:val="20"/>
                <w:vertAlign w:val="subscript"/>
              </w:rPr>
              <w:t>50</w:t>
            </w:r>
            <w:r w:rsidR="00814520" w:rsidRPr="00270BA0">
              <w:rPr>
                <w:sz w:val="20"/>
                <w:szCs w:val="20"/>
              </w:rPr>
              <w:t xml:space="preserve"> (mg/kg </w:t>
            </w:r>
            <w:proofErr w:type="spellStart"/>
            <w:r w:rsidR="00814520" w:rsidRPr="00270BA0">
              <w:rPr>
                <w:sz w:val="20"/>
                <w:szCs w:val="20"/>
              </w:rPr>
              <w:t>bw</w:t>
            </w:r>
            <w:proofErr w:type="spellEnd"/>
            <w:r w:rsidR="00814520" w:rsidRPr="00270BA0">
              <w:rPr>
                <w:sz w:val="20"/>
                <w:szCs w:val="20"/>
              </w:rPr>
              <w:t>)</w:t>
            </w:r>
          </w:p>
        </w:tc>
        <w:tc>
          <w:tcPr>
            <w:tcW w:w="613" w:type="pct"/>
          </w:tcPr>
          <w:p w:rsidR="00814520" w:rsidRPr="00270BA0" w:rsidRDefault="00814520" w:rsidP="00814520">
            <w:pPr>
              <w:spacing w:before="120" w:after="120"/>
              <w:rPr>
                <w:sz w:val="20"/>
                <w:szCs w:val="20"/>
                <w:lang w:eastAsia="en-US"/>
              </w:rPr>
            </w:pPr>
            <w:r w:rsidRPr="00270BA0">
              <w:rPr>
                <w:sz w:val="20"/>
                <w:szCs w:val="20"/>
                <w:lang w:eastAsia="en-US"/>
              </w:rPr>
              <w:t>Rat</w:t>
            </w:r>
          </w:p>
        </w:tc>
        <w:tc>
          <w:tcPr>
            <w:tcW w:w="991" w:type="pct"/>
          </w:tcPr>
          <w:p w:rsidR="00814520" w:rsidRPr="00270BA0" w:rsidRDefault="00814520" w:rsidP="00814520">
            <w:pPr>
              <w:spacing w:before="120" w:after="120"/>
              <w:rPr>
                <w:sz w:val="20"/>
                <w:szCs w:val="20"/>
              </w:rPr>
            </w:pPr>
            <w:r>
              <w:rPr>
                <w:sz w:val="20"/>
                <w:szCs w:val="20"/>
              </w:rPr>
              <w:t xml:space="preserve">&gt;5000 </w:t>
            </w:r>
            <w:r w:rsidRPr="00270BA0">
              <w:rPr>
                <w:sz w:val="20"/>
                <w:szCs w:val="20"/>
              </w:rPr>
              <w:t>(no deaths)</w:t>
            </w:r>
          </w:p>
        </w:tc>
        <w:tc>
          <w:tcPr>
            <w:tcW w:w="992" w:type="pct"/>
          </w:tcPr>
          <w:p w:rsidR="00814520" w:rsidRPr="00201A24" w:rsidRDefault="00814520" w:rsidP="00814520">
            <w:pPr>
              <w:spacing w:before="120" w:after="120"/>
              <w:rPr>
                <w:sz w:val="20"/>
              </w:rPr>
            </w:pPr>
            <w:r w:rsidRPr="00201A24">
              <w:rPr>
                <w:sz w:val="20"/>
                <w:szCs w:val="20"/>
              </w:rPr>
              <w:t>&gt;5000 (no deaths)</w:t>
            </w:r>
          </w:p>
        </w:tc>
        <w:tc>
          <w:tcPr>
            <w:tcW w:w="891" w:type="pct"/>
          </w:tcPr>
          <w:p w:rsidR="00814520" w:rsidRPr="00270BA0" w:rsidRDefault="00814520" w:rsidP="00814520">
            <w:pPr>
              <w:spacing w:before="120" w:after="120"/>
              <w:rPr>
                <w:sz w:val="20"/>
                <w:szCs w:val="20"/>
              </w:rPr>
            </w:pPr>
            <w:r>
              <w:rPr>
                <w:sz w:val="20"/>
                <w:szCs w:val="20"/>
              </w:rPr>
              <w:t>Nil</w:t>
            </w:r>
          </w:p>
        </w:tc>
      </w:tr>
      <w:tr w:rsidR="00493089" w:rsidRPr="00270BA0" w:rsidTr="00493089">
        <w:tc>
          <w:tcPr>
            <w:tcW w:w="1514" w:type="pct"/>
          </w:tcPr>
          <w:p w:rsidR="00814520" w:rsidRPr="00270BA0" w:rsidRDefault="00493089" w:rsidP="00814520">
            <w:pPr>
              <w:spacing w:before="120" w:after="120"/>
              <w:rPr>
                <w:sz w:val="20"/>
                <w:szCs w:val="20"/>
              </w:rPr>
            </w:pPr>
            <w:r>
              <w:rPr>
                <w:sz w:val="20"/>
                <w:szCs w:val="20"/>
              </w:rPr>
              <w:t>Acute dermal toxicity</w:t>
            </w:r>
            <w:r w:rsidR="00814520" w:rsidRPr="00270BA0">
              <w:rPr>
                <w:sz w:val="20"/>
                <w:szCs w:val="20"/>
              </w:rPr>
              <w:br/>
              <w:t>LD</w:t>
            </w:r>
            <w:r w:rsidR="00814520" w:rsidRPr="00270BA0">
              <w:rPr>
                <w:sz w:val="20"/>
                <w:szCs w:val="20"/>
                <w:vertAlign w:val="subscript"/>
              </w:rPr>
              <w:t>50</w:t>
            </w:r>
            <w:r w:rsidR="00814520" w:rsidRPr="00270BA0">
              <w:rPr>
                <w:sz w:val="20"/>
                <w:szCs w:val="20"/>
              </w:rPr>
              <w:t xml:space="preserve"> (mg/kg </w:t>
            </w:r>
            <w:proofErr w:type="spellStart"/>
            <w:r w:rsidR="00814520" w:rsidRPr="00270BA0">
              <w:rPr>
                <w:sz w:val="20"/>
                <w:szCs w:val="20"/>
              </w:rPr>
              <w:t>bw</w:t>
            </w:r>
            <w:proofErr w:type="spellEnd"/>
            <w:r w:rsidR="00814520" w:rsidRPr="00270BA0">
              <w:rPr>
                <w:sz w:val="20"/>
                <w:szCs w:val="20"/>
              </w:rPr>
              <w:t>)</w:t>
            </w:r>
          </w:p>
        </w:tc>
        <w:tc>
          <w:tcPr>
            <w:tcW w:w="613" w:type="pct"/>
          </w:tcPr>
          <w:p w:rsidR="00814520" w:rsidRPr="00270BA0" w:rsidRDefault="00814520" w:rsidP="00814520">
            <w:pPr>
              <w:spacing w:before="120" w:after="120"/>
              <w:rPr>
                <w:sz w:val="20"/>
                <w:szCs w:val="20"/>
              </w:rPr>
            </w:pPr>
            <w:r w:rsidRPr="00270BA0">
              <w:rPr>
                <w:sz w:val="20"/>
                <w:szCs w:val="20"/>
                <w:lang w:eastAsia="en-US"/>
              </w:rPr>
              <w:t>Rat</w:t>
            </w:r>
          </w:p>
        </w:tc>
        <w:tc>
          <w:tcPr>
            <w:tcW w:w="991" w:type="pct"/>
          </w:tcPr>
          <w:p w:rsidR="00814520" w:rsidRPr="00270BA0" w:rsidRDefault="00814520" w:rsidP="00814520">
            <w:pPr>
              <w:spacing w:before="120" w:after="120"/>
              <w:rPr>
                <w:sz w:val="20"/>
                <w:szCs w:val="20"/>
              </w:rPr>
            </w:pPr>
            <w:r>
              <w:rPr>
                <w:sz w:val="20"/>
                <w:szCs w:val="20"/>
              </w:rPr>
              <w:t xml:space="preserve">&gt;2050 </w:t>
            </w:r>
            <w:r w:rsidRPr="00270BA0">
              <w:rPr>
                <w:sz w:val="20"/>
                <w:szCs w:val="20"/>
              </w:rPr>
              <w:t>(no deaths)</w:t>
            </w:r>
          </w:p>
        </w:tc>
        <w:tc>
          <w:tcPr>
            <w:tcW w:w="992" w:type="pct"/>
          </w:tcPr>
          <w:p w:rsidR="00814520" w:rsidRPr="00201A24" w:rsidRDefault="00814520" w:rsidP="00814520">
            <w:pPr>
              <w:spacing w:before="120" w:after="120"/>
              <w:rPr>
                <w:sz w:val="20"/>
              </w:rPr>
            </w:pPr>
            <w:r w:rsidRPr="00201A24">
              <w:rPr>
                <w:sz w:val="20"/>
                <w:szCs w:val="20"/>
              </w:rPr>
              <w:t>&gt;5000 (no deaths)</w:t>
            </w:r>
          </w:p>
        </w:tc>
        <w:tc>
          <w:tcPr>
            <w:tcW w:w="891" w:type="pct"/>
          </w:tcPr>
          <w:p w:rsidR="00814520" w:rsidRPr="00270BA0" w:rsidRDefault="00814520" w:rsidP="00814520">
            <w:pPr>
              <w:spacing w:before="120" w:after="120"/>
              <w:rPr>
                <w:sz w:val="20"/>
                <w:szCs w:val="20"/>
              </w:rPr>
            </w:pPr>
            <w:r>
              <w:rPr>
                <w:sz w:val="20"/>
                <w:szCs w:val="20"/>
              </w:rPr>
              <w:t>Schedule 5</w:t>
            </w:r>
          </w:p>
        </w:tc>
      </w:tr>
      <w:tr w:rsidR="00493089" w:rsidRPr="00270BA0" w:rsidTr="00493089">
        <w:tc>
          <w:tcPr>
            <w:tcW w:w="1514" w:type="pct"/>
          </w:tcPr>
          <w:p w:rsidR="00814520" w:rsidRPr="00270BA0" w:rsidRDefault="00814520" w:rsidP="00814520">
            <w:pPr>
              <w:spacing w:before="120" w:after="120"/>
              <w:rPr>
                <w:sz w:val="20"/>
                <w:szCs w:val="20"/>
              </w:rPr>
            </w:pPr>
            <w:r w:rsidRPr="00270BA0">
              <w:rPr>
                <w:sz w:val="20"/>
                <w:szCs w:val="20"/>
              </w:rPr>
              <w:t>Acute inhalat</w:t>
            </w:r>
            <w:r w:rsidR="00493089">
              <w:rPr>
                <w:sz w:val="20"/>
                <w:szCs w:val="20"/>
              </w:rPr>
              <w:t>ional toxicity</w:t>
            </w:r>
            <w:r w:rsidRPr="00270BA0">
              <w:rPr>
                <w:sz w:val="20"/>
                <w:szCs w:val="20"/>
              </w:rPr>
              <w:br/>
              <w:t>LC</w:t>
            </w:r>
            <w:r w:rsidRPr="00270BA0">
              <w:rPr>
                <w:sz w:val="20"/>
                <w:szCs w:val="20"/>
                <w:vertAlign w:val="subscript"/>
              </w:rPr>
              <w:t>50</w:t>
            </w:r>
            <w:r w:rsidRPr="00270BA0">
              <w:rPr>
                <w:sz w:val="20"/>
                <w:szCs w:val="20"/>
              </w:rPr>
              <w:t xml:space="preserve"> (mg/m</w:t>
            </w:r>
            <w:r w:rsidRPr="00270BA0">
              <w:rPr>
                <w:sz w:val="20"/>
                <w:szCs w:val="20"/>
                <w:vertAlign w:val="superscript"/>
              </w:rPr>
              <w:t>3</w:t>
            </w:r>
            <w:r w:rsidRPr="00270BA0">
              <w:rPr>
                <w:sz w:val="20"/>
                <w:szCs w:val="20"/>
              </w:rPr>
              <w:t>/4h)</w:t>
            </w:r>
          </w:p>
        </w:tc>
        <w:tc>
          <w:tcPr>
            <w:tcW w:w="613" w:type="pct"/>
          </w:tcPr>
          <w:p w:rsidR="00814520" w:rsidRPr="00270BA0" w:rsidRDefault="00814520" w:rsidP="00814520">
            <w:pPr>
              <w:spacing w:before="120" w:after="120"/>
              <w:rPr>
                <w:sz w:val="20"/>
                <w:szCs w:val="20"/>
              </w:rPr>
            </w:pPr>
            <w:r>
              <w:rPr>
                <w:sz w:val="20"/>
                <w:szCs w:val="20"/>
              </w:rPr>
              <w:t>Rat</w:t>
            </w:r>
          </w:p>
        </w:tc>
        <w:tc>
          <w:tcPr>
            <w:tcW w:w="991" w:type="pct"/>
          </w:tcPr>
          <w:p w:rsidR="00814520" w:rsidRPr="00270BA0" w:rsidRDefault="00814520" w:rsidP="00814520">
            <w:pPr>
              <w:spacing w:before="120" w:after="120"/>
              <w:rPr>
                <w:sz w:val="20"/>
                <w:szCs w:val="20"/>
              </w:rPr>
            </w:pPr>
            <w:r w:rsidRPr="00270BA0">
              <w:rPr>
                <w:sz w:val="20"/>
                <w:szCs w:val="20"/>
              </w:rPr>
              <w:t>&gt;</w:t>
            </w:r>
            <w:r>
              <w:rPr>
                <w:sz w:val="20"/>
                <w:szCs w:val="20"/>
              </w:rPr>
              <w:t>2060 (no deaths</w:t>
            </w:r>
            <w:r w:rsidRPr="00270BA0">
              <w:rPr>
                <w:sz w:val="20"/>
                <w:szCs w:val="20"/>
              </w:rPr>
              <w:t>)</w:t>
            </w:r>
          </w:p>
        </w:tc>
        <w:tc>
          <w:tcPr>
            <w:tcW w:w="992" w:type="pct"/>
          </w:tcPr>
          <w:p w:rsidR="00814520" w:rsidRPr="00201A24" w:rsidRDefault="00814520" w:rsidP="00814520">
            <w:pPr>
              <w:spacing w:before="120" w:after="120"/>
              <w:rPr>
                <w:sz w:val="20"/>
              </w:rPr>
            </w:pPr>
            <w:r w:rsidRPr="00201A24">
              <w:rPr>
                <w:sz w:val="20"/>
                <w:szCs w:val="20"/>
              </w:rPr>
              <w:t>&gt;3000 (estimate)</w:t>
            </w:r>
          </w:p>
        </w:tc>
        <w:tc>
          <w:tcPr>
            <w:tcW w:w="891" w:type="pct"/>
          </w:tcPr>
          <w:p w:rsidR="00814520" w:rsidRPr="00270BA0" w:rsidRDefault="00493089" w:rsidP="00814520">
            <w:pPr>
              <w:spacing w:before="120" w:after="120"/>
              <w:rPr>
                <w:sz w:val="20"/>
                <w:szCs w:val="20"/>
              </w:rPr>
            </w:pPr>
            <w:r>
              <w:rPr>
                <w:sz w:val="20"/>
                <w:szCs w:val="20"/>
              </w:rPr>
              <w:t>Schedule 5</w:t>
            </w:r>
          </w:p>
        </w:tc>
      </w:tr>
      <w:tr w:rsidR="00493089" w:rsidRPr="00270BA0" w:rsidTr="00493089">
        <w:tc>
          <w:tcPr>
            <w:tcW w:w="1514" w:type="pct"/>
          </w:tcPr>
          <w:p w:rsidR="00814520" w:rsidRPr="00270BA0" w:rsidRDefault="00814520" w:rsidP="00814520">
            <w:pPr>
              <w:spacing w:before="120" w:after="120"/>
              <w:rPr>
                <w:sz w:val="20"/>
                <w:szCs w:val="20"/>
              </w:rPr>
            </w:pPr>
            <w:r w:rsidRPr="00270BA0">
              <w:rPr>
                <w:sz w:val="20"/>
                <w:szCs w:val="20"/>
              </w:rPr>
              <w:t>Skin irritation</w:t>
            </w:r>
          </w:p>
        </w:tc>
        <w:tc>
          <w:tcPr>
            <w:tcW w:w="613" w:type="pct"/>
          </w:tcPr>
          <w:p w:rsidR="00814520" w:rsidRPr="00270BA0" w:rsidRDefault="00814520" w:rsidP="00814520">
            <w:pPr>
              <w:spacing w:before="120" w:after="120"/>
              <w:rPr>
                <w:sz w:val="20"/>
                <w:szCs w:val="20"/>
              </w:rPr>
            </w:pPr>
            <w:r w:rsidRPr="00270BA0">
              <w:rPr>
                <w:sz w:val="20"/>
                <w:szCs w:val="20"/>
              </w:rPr>
              <w:t>Rabbit</w:t>
            </w:r>
          </w:p>
        </w:tc>
        <w:tc>
          <w:tcPr>
            <w:tcW w:w="991" w:type="pct"/>
          </w:tcPr>
          <w:p w:rsidR="00814520" w:rsidRPr="00270BA0" w:rsidRDefault="00814520" w:rsidP="00814520">
            <w:pPr>
              <w:spacing w:before="120" w:after="120"/>
              <w:rPr>
                <w:sz w:val="20"/>
                <w:szCs w:val="20"/>
              </w:rPr>
            </w:pPr>
            <w:r w:rsidRPr="00270BA0">
              <w:rPr>
                <w:sz w:val="20"/>
                <w:szCs w:val="20"/>
              </w:rPr>
              <w:t xml:space="preserve">Slight </w:t>
            </w:r>
            <w:r>
              <w:rPr>
                <w:sz w:val="20"/>
                <w:szCs w:val="20"/>
              </w:rPr>
              <w:t xml:space="preserve">irritant </w:t>
            </w:r>
          </w:p>
        </w:tc>
        <w:tc>
          <w:tcPr>
            <w:tcW w:w="992" w:type="pct"/>
          </w:tcPr>
          <w:p w:rsidR="00814520" w:rsidRPr="00201A24" w:rsidRDefault="00814520" w:rsidP="00814520">
            <w:pPr>
              <w:spacing w:before="120" w:after="120"/>
              <w:rPr>
                <w:sz w:val="20"/>
              </w:rPr>
            </w:pPr>
            <w:r w:rsidRPr="00201A24">
              <w:rPr>
                <w:sz w:val="20"/>
                <w:szCs w:val="20"/>
              </w:rPr>
              <w:t>Slight irritant</w:t>
            </w:r>
          </w:p>
        </w:tc>
        <w:tc>
          <w:tcPr>
            <w:tcW w:w="891" w:type="pct"/>
          </w:tcPr>
          <w:p w:rsidR="00814520" w:rsidRPr="00270BA0" w:rsidRDefault="00814520" w:rsidP="00814520">
            <w:pPr>
              <w:spacing w:before="120" w:after="120"/>
              <w:rPr>
                <w:sz w:val="20"/>
                <w:szCs w:val="20"/>
              </w:rPr>
            </w:pPr>
            <w:r w:rsidRPr="00B7396C">
              <w:rPr>
                <w:sz w:val="20"/>
                <w:szCs w:val="20"/>
              </w:rPr>
              <w:t>Schedule 5</w:t>
            </w:r>
          </w:p>
        </w:tc>
      </w:tr>
      <w:tr w:rsidR="00493089" w:rsidRPr="00270BA0" w:rsidTr="00493089">
        <w:tc>
          <w:tcPr>
            <w:tcW w:w="1514" w:type="pct"/>
          </w:tcPr>
          <w:p w:rsidR="00814520" w:rsidRPr="008235BA" w:rsidRDefault="00493089" w:rsidP="00814520">
            <w:pPr>
              <w:spacing w:before="120" w:after="120"/>
              <w:rPr>
                <w:sz w:val="20"/>
                <w:szCs w:val="20"/>
              </w:rPr>
            </w:pPr>
            <w:r>
              <w:rPr>
                <w:sz w:val="20"/>
                <w:szCs w:val="20"/>
              </w:rPr>
              <w:t>Eye irritation</w:t>
            </w:r>
          </w:p>
        </w:tc>
        <w:tc>
          <w:tcPr>
            <w:tcW w:w="613" w:type="pct"/>
          </w:tcPr>
          <w:p w:rsidR="00814520" w:rsidRPr="008235BA" w:rsidRDefault="00814520" w:rsidP="00814520">
            <w:pPr>
              <w:spacing w:before="120" w:after="120"/>
              <w:rPr>
                <w:sz w:val="20"/>
                <w:szCs w:val="20"/>
              </w:rPr>
            </w:pPr>
            <w:r>
              <w:rPr>
                <w:sz w:val="20"/>
                <w:szCs w:val="20"/>
              </w:rPr>
              <w:t>Rabbit</w:t>
            </w:r>
          </w:p>
        </w:tc>
        <w:tc>
          <w:tcPr>
            <w:tcW w:w="991" w:type="pct"/>
          </w:tcPr>
          <w:p w:rsidR="00814520" w:rsidRPr="00270BA0" w:rsidRDefault="00814520" w:rsidP="00814520">
            <w:pPr>
              <w:spacing w:before="120" w:after="120"/>
              <w:rPr>
                <w:sz w:val="20"/>
                <w:szCs w:val="20"/>
              </w:rPr>
            </w:pPr>
            <w:r w:rsidRPr="00270BA0">
              <w:rPr>
                <w:sz w:val="20"/>
                <w:szCs w:val="20"/>
              </w:rPr>
              <w:t xml:space="preserve">Slight </w:t>
            </w:r>
            <w:r>
              <w:rPr>
                <w:sz w:val="20"/>
                <w:szCs w:val="20"/>
              </w:rPr>
              <w:t>irritant</w:t>
            </w:r>
          </w:p>
        </w:tc>
        <w:tc>
          <w:tcPr>
            <w:tcW w:w="992" w:type="pct"/>
          </w:tcPr>
          <w:p w:rsidR="00814520" w:rsidRPr="00201A24" w:rsidRDefault="00814520" w:rsidP="00814520">
            <w:pPr>
              <w:spacing w:before="120" w:after="120"/>
              <w:rPr>
                <w:sz w:val="20"/>
                <w:szCs w:val="20"/>
              </w:rPr>
            </w:pPr>
            <w:r w:rsidRPr="00201A24">
              <w:rPr>
                <w:sz w:val="20"/>
                <w:szCs w:val="20"/>
              </w:rPr>
              <w:t>Slight irritant</w:t>
            </w:r>
          </w:p>
        </w:tc>
        <w:tc>
          <w:tcPr>
            <w:tcW w:w="891" w:type="pct"/>
          </w:tcPr>
          <w:p w:rsidR="00814520" w:rsidRPr="00270BA0" w:rsidRDefault="00814520" w:rsidP="00814520">
            <w:pPr>
              <w:spacing w:before="120" w:after="120"/>
              <w:rPr>
                <w:sz w:val="20"/>
                <w:szCs w:val="20"/>
              </w:rPr>
            </w:pPr>
            <w:r>
              <w:rPr>
                <w:sz w:val="20"/>
                <w:szCs w:val="20"/>
              </w:rPr>
              <w:t>Schedule 5</w:t>
            </w:r>
          </w:p>
        </w:tc>
      </w:tr>
      <w:tr w:rsidR="00493089" w:rsidRPr="00270BA0" w:rsidTr="00493089">
        <w:trPr>
          <w:trHeight w:val="604"/>
        </w:trPr>
        <w:tc>
          <w:tcPr>
            <w:tcW w:w="1514" w:type="pct"/>
          </w:tcPr>
          <w:p w:rsidR="00814520" w:rsidRPr="00270BA0" w:rsidRDefault="00493089" w:rsidP="00814520">
            <w:pPr>
              <w:spacing w:before="120" w:after="120"/>
              <w:rPr>
                <w:sz w:val="20"/>
                <w:szCs w:val="20"/>
              </w:rPr>
            </w:pPr>
            <w:r>
              <w:rPr>
                <w:sz w:val="20"/>
                <w:szCs w:val="20"/>
              </w:rPr>
              <w:t>Skin sensitisation</w:t>
            </w:r>
          </w:p>
        </w:tc>
        <w:tc>
          <w:tcPr>
            <w:tcW w:w="613" w:type="pct"/>
          </w:tcPr>
          <w:p w:rsidR="00814520" w:rsidRPr="00270BA0" w:rsidRDefault="00814520" w:rsidP="00814520">
            <w:pPr>
              <w:spacing w:before="120" w:after="120"/>
              <w:rPr>
                <w:sz w:val="20"/>
                <w:szCs w:val="20"/>
              </w:rPr>
            </w:pPr>
            <w:r>
              <w:rPr>
                <w:sz w:val="20"/>
                <w:szCs w:val="20"/>
              </w:rPr>
              <w:t>Guinea pig</w:t>
            </w:r>
          </w:p>
        </w:tc>
        <w:tc>
          <w:tcPr>
            <w:tcW w:w="991" w:type="pct"/>
          </w:tcPr>
          <w:p w:rsidR="00814520" w:rsidRPr="00944472" w:rsidRDefault="00814520" w:rsidP="00814520">
            <w:pPr>
              <w:spacing w:before="120" w:after="120"/>
              <w:rPr>
                <w:rFonts w:asciiTheme="minorHAnsi" w:hAnsiTheme="minorHAnsi" w:cs="Arial"/>
                <w:sz w:val="20"/>
                <w:szCs w:val="20"/>
              </w:rPr>
            </w:pPr>
            <w:r w:rsidRPr="00270BA0">
              <w:rPr>
                <w:rFonts w:asciiTheme="minorHAnsi" w:hAnsiTheme="minorHAnsi" w:cs="Arial"/>
                <w:sz w:val="20"/>
                <w:szCs w:val="20"/>
              </w:rPr>
              <w:t>Negative</w:t>
            </w:r>
          </w:p>
        </w:tc>
        <w:tc>
          <w:tcPr>
            <w:tcW w:w="992" w:type="pct"/>
          </w:tcPr>
          <w:p w:rsidR="00814520" w:rsidRPr="00201A24" w:rsidRDefault="00814520" w:rsidP="00493089">
            <w:pPr>
              <w:spacing w:before="120" w:after="120"/>
              <w:rPr>
                <w:sz w:val="20"/>
              </w:rPr>
            </w:pPr>
            <w:r w:rsidRPr="00201A24">
              <w:rPr>
                <w:rFonts w:asciiTheme="minorHAnsi" w:hAnsiTheme="minorHAnsi" w:cs="Arial"/>
                <w:sz w:val="20"/>
                <w:szCs w:val="20"/>
              </w:rPr>
              <w:t>Negative</w:t>
            </w:r>
          </w:p>
        </w:tc>
        <w:tc>
          <w:tcPr>
            <w:tcW w:w="891" w:type="pct"/>
          </w:tcPr>
          <w:p w:rsidR="00814520" w:rsidRPr="00270BA0" w:rsidRDefault="00814520" w:rsidP="00814520">
            <w:pPr>
              <w:spacing w:before="120" w:after="120"/>
              <w:rPr>
                <w:sz w:val="20"/>
                <w:szCs w:val="20"/>
              </w:rPr>
            </w:pPr>
            <w:r>
              <w:rPr>
                <w:sz w:val="20"/>
                <w:szCs w:val="20"/>
              </w:rPr>
              <w:t>Nil</w:t>
            </w:r>
          </w:p>
        </w:tc>
      </w:tr>
    </w:tbl>
    <w:p w:rsidR="00814520" w:rsidRPr="00A02761" w:rsidRDefault="00814520" w:rsidP="00493089">
      <w:pPr>
        <w:pStyle w:val="Tabledescription"/>
      </w:pPr>
      <w:r w:rsidRPr="00AC3C11">
        <w:t>*</w:t>
      </w:r>
      <w:r w:rsidRPr="00AC3C11">
        <w:rPr>
          <w:rFonts w:cs="ArialUnicodeMS"/>
        </w:rPr>
        <w:t xml:space="preserve"> </w:t>
      </w:r>
      <w:r w:rsidRPr="003C6F35">
        <w:rPr>
          <w:highlight w:val="black"/>
        </w:rPr>
        <w:t>XXXXX</w:t>
      </w:r>
      <w:r w:rsidRPr="00E56D3D">
        <w:t xml:space="preserve"> </w:t>
      </w:r>
      <w:r>
        <w:rPr>
          <w:rFonts w:cs="ArialUnicodeMS"/>
        </w:rPr>
        <w:t xml:space="preserve">(APVMA 2018) </w:t>
      </w:r>
      <w:r w:rsidRPr="00AC3C11">
        <w:rPr>
          <w:bCs/>
        </w:rPr>
        <w:t>**</w:t>
      </w:r>
      <w:r w:rsidRPr="00EB6A3A">
        <w:rPr>
          <w:highlight w:val="black"/>
        </w:rPr>
        <w:t xml:space="preserve"> </w:t>
      </w:r>
      <w:r w:rsidRPr="003C6F35">
        <w:rPr>
          <w:highlight w:val="black"/>
        </w:rPr>
        <w:t>XX</w:t>
      </w:r>
      <w:r>
        <w:rPr>
          <w:highlight w:val="black"/>
        </w:rPr>
        <w:t>XXXX</w:t>
      </w:r>
      <w:r w:rsidRPr="003C6F35">
        <w:rPr>
          <w:highlight w:val="black"/>
        </w:rPr>
        <w:t>XXX</w:t>
      </w:r>
      <w:r w:rsidRPr="00E56D3D">
        <w:t xml:space="preserve"> </w:t>
      </w:r>
      <w:r>
        <w:rPr>
          <w:bCs/>
        </w:rPr>
        <w:t>(OCS 1995)</w:t>
      </w:r>
    </w:p>
    <w:p w:rsidR="00814520" w:rsidRPr="00380F4C" w:rsidRDefault="00814520" w:rsidP="005B4D3A">
      <w:r>
        <w:lastRenderedPageBreak/>
        <w:t xml:space="preserve">Studies </w:t>
      </w:r>
      <w:r w:rsidRPr="00380F4C">
        <w:t xml:space="preserve">on the </w:t>
      </w:r>
      <w:r w:rsidRPr="00EB6A3A">
        <w:t xml:space="preserve">product, </w:t>
      </w:r>
      <w:r w:rsidRPr="003C6F35">
        <w:rPr>
          <w:highlight w:val="black"/>
        </w:rPr>
        <w:t>XXXXX</w:t>
      </w:r>
      <w:r w:rsidRPr="00E56D3D">
        <w:t xml:space="preserve"> </w:t>
      </w:r>
      <w:r>
        <w:t>(9.8% 6-benzyladenine</w:t>
      </w:r>
      <w:r w:rsidRPr="00FA7791">
        <w:t>)</w:t>
      </w:r>
      <w:r>
        <w:t>, were provided to APVMA for assessment. The outcome is summarised below.</w:t>
      </w:r>
    </w:p>
    <w:p w:rsidR="00814520" w:rsidRPr="00493089" w:rsidRDefault="00814520" w:rsidP="00493089">
      <w:pPr>
        <w:pStyle w:val="Heading6"/>
        <w:rPr>
          <w:rFonts w:eastAsiaTheme="majorEastAsia"/>
        </w:rPr>
      </w:pPr>
      <w:r w:rsidRPr="00FA7791">
        <w:rPr>
          <w:rFonts w:eastAsiaTheme="majorEastAsia"/>
        </w:rPr>
        <w:t>Acute to</w:t>
      </w:r>
      <w:r w:rsidR="00493089">
        <w:rPr>
          <w:rFonts w:eastAsiaTheme="majorEastAsia"/>
        </w:rPr>
        <w:t>xicity</w:t>
      </w:r>
    </w:p>
    <w:p w:rsidR="00814520" w:rsidRPr="00493089" w:rsidRDefault="00814520" w:rsidP="005B4D3A">
      <w:pPr>
        <w:rPr>
          <w:highlight w:val="yellow"/>
          <w:lang w:eastAsia="en-AU"/>
        </w:rPr>
      </w:pPr>
      <w:r>
        <w:rPr>
          <w:lang w:eastAsia="en-AU"/>
        </w:rPr>
        <w:t>US OCSPP 870</w:t>
      </w:r>
      <w:r w:rsidRPr="00AC3C11">
        <w:rPr>
          <w:lang w:eastAsia="en-AU"/>
        </w:rPr>
        <w:t xml:space="preserve">-compliant studies in rats with </w:t>
      </w:r>
      <w:r w:rsidRPr="003C6F35">
        <w:rPr>
          <w:highlight w:val="black"/>
        </w:rPr>
        <w:t>XXXXX</w:t>
      </w:r>
      <w:r w:rsidRPr="00E56D3D">
        <w:t xml:space="preserve"> </w:t>
      </w:r>
      <w:r>
        <w:rPr>
          <w:lang w:eastAsia="en-AU"/>
        </w:rPr>
        <w:t xml:space="preserve">(9.8% </w:t>
      </w:r>
      <w:r>
        <w:rPr>
          <w:rFonts w:cs="ArialUnicodeMS"/>
        </w:rPr>
        <w:t>6-benzyladenine)</w:t>
      </w:r>
      <w:r w:rsidRPr="00AC3C11">
        <w:rPr>
          <w:lang w:eastAsia="en-AU"/>
        </w:rPr>
        <w:t xml:space="preserve"> show that it has low acute oral toxicity, low acute dermal toxicity, and low</w:t>
      </w:r>
      <w:r w:rsidR="00493089">
        <w:rPr>
          <w:lang w:eastAsia="en-AU"/>
        </w:rPr>
        <w:t xml:space="preserve"> inhalation toxicity.</w:t>
      </w:r>
    </w:p>
    <w:p w:rsidR="00814520" w:rsidRPr="00493089" w:rsidRDefault="00814520" w:rsidP="005B4D3A">
      <w:pPr>
        <w:pStyle w:val="Heading6"/>
        <w:rPr>
          <w:lang w:eastAsia="en-AU"/>
        </w:rPr>
      </w:pPr>
      <w:r w:rsidRPr="00BE45EC">
        <w:rPr>
          <w:lang w:eastAsia="en-AU"/>
        </w:rPr>
        <w:t xml:space="preserve">Skin </w:t>
      </w:r>
      <w:r w:rsidRPr="005B4D3A">
        <w:t>and</w:t>
      </w:r>
      <w:r w:rsidRPr="00BE45EC">
        <w:rPr>
          <w:lang w:eastAsia="en-AU"/>
        </w:rPr>
        <w:t xml:space="preserve"> eye </w:t>
      </w:r>
      <w:r w:rsidRPr="00493089">
        <w:t>irritation</w:t>
      </w:r>
    </w:p>
    <w:p w:rsidR="00814520" w:rsidRPr="002249B6" w:rsidRDefault="00814520" w:rsidP="005B4D3A">
      <w:pPr>
        <w:rPr>
          <w:highlight w:val="yellow"/>
          <w:lang w:eastAsia="en-AU"/>
        </w:rPr>
      </w:pPr>
      <w:r>
        <w:rPr>
          <w:lang w:eastAsia="en-AU"/>
        </w:rPr>
        <w:t>OECD</w:t>
      </w:r>
      <w:r w:rsidRPr="00BE45EC">
        <w:rPr>
          <w:lang w:eastAsia="en-AU"/>
        </w:rPr>
        <w:t xml:space="preserve">-compliant studies in rabbits </w:t>
      </w:r>
      <w:r w:rsidRPr="00AC3C11">
        <w:rPr>
          <w:lang w:eastAsia="en-AU"/>
        </w:rPr>
        <w:t xml:space="preserve">with </w:t>
      </w:r>
      <w:r w:rsidRPr="003C6F35">
        <w:rPr>
          <w:highlight w:val="black"/>
        </w:rPr>
        <w:t>XXXXX</w:t>
      </w:r>
      <w:r w:rsidRPr="00E56D3D">
        <w:t xml:space="preserve"> </w:t>
      </w:r>
      <w:r>
        <w:rPr>
          <w:lang w:eastAsia="en-AU"/>
        </w:rPr>
        <w:t xml:space="preserve">(9.8% </w:t>
      </w:r>
      <w:r>
        <w:rPr>
          <w:rFonts w:cs="ArialUnicodeMS"/>
        </w:rPr>
        <w:t>6-benzyladenine)</w:t>
      </w:r>
      <w:r w:rsidRPr="00AC3C11">
        <w:rPr>
          <w:lang w:eastAsia="en-AU"/>
        </w:rPr>
        <w:t xml:space="preserve"> </w:t>
      </w:r>
      <w:r>
        <w:rPr>
          <w:lang w:eastAsia="en-AU"/>
        </w:rPr>
        <w:t xml:space="preserve">showed it to be a slight </w:t>
      </w:r>
      <w:r w:rsidRPr="00BE45EC">
        <w:rPr>
          <w:lang w:eastAsia="en-AU"/>
        </w:rPr>
        <w:t xml:space="preserve">skin </w:t>
      </w:r>
      <w:r>
        <w:rPr>
          <w:lang w:eastAsia="en-AU"/>
        </w:rPr>
        <w:t>and</w:t>
      </w:r>
      <w:r w:rsidRPr="00BE45EC">
        <w:rPr>
          <w:lang w:eastAsia="en-AU"/>
        </w:rPr>
        <w:t xml:space="preserve"> eye irritant.</w:t>
      </w:r>
    </w:p>
    <w:p w:rsidR="00814520" w:rsidRPr="00FA7791" w:rsidRDefault="00814520" w:rsidP="00493089">
      <w:pPr>
        <w:pStyle w:val="Heading6"/>
        <w:rPr>
          <w:rFonts w:eastAsiaTheme="majorEastAsia"/>
          <w:b w:val="0"/>
        </w:rPr>
      </w:pPr>
      <w:r w:rsidRPr="00493089">
        <w:rPr>
          <w:rFonts w:eastAsiaTheme="majorEastAsia"/>
        </w:rPr>
        <w:t>Sensitisation</w:t>
      </w:r>
    </w:p>
    <w:p w:rsidR="00814520" w:rsidRDefault="00814520" w:rsidP="005B4D3A">
      <w:r w:rsidRPr="00BE45EC">
        <w:rPr>
          <w:lang w:eastAsia="en-AU"/>
        </w:rPr>
        <w:t xml:space="preserve">An OECD guideline-compliant </w:t>
      </w:r>
      <w:r>
        <w:rPr>
          <w:lang w:eastAsia="en-AU"/>
        </w:rPr>
        <w:t xml:space="preserve">Buehler test in guinea pigs </w:t>
      </w:r>
      <w:r w:rsidRPr="00AC3C11">
        <w:rPr>
          <w:rFonts w:cs="Arial"/>
          <w:lang w:eastAsia="en-AU"/>
        </w:rPr>
        <w:t xml:space="preserve">with </w:t>
      </w:r>
      <w:r w:rsidRPr="003C6F35">
        <w:rPr>
          <w:highlight w:val="black"/>
        </w:rPr>
        <w:t>XXXXX</w:t>
      </w:r>
      <w:r w:rsidRPr="00E56D3D">
        <w:t xml:space="preserve"> </w:t>
      </w:r>
      <w:r>
        <w:rPr>
          <w:rFonts w:cs="Arial"/>
          <w:lang w:eastAsia="en-AU"/>
        </w:rPr>
        <w:t xml:space="preserve">(9.8% </w:t>
      </w:r>
      <w:r>
        <w:rPr>
          <w:rFonts w:cs="ArialUnicodeMS"/>
        </w:rPr>
        <w:t>6-benzyladenine)</w:t>
      </w:r>
      <w:r w:rsidRPr="00AC3C11">
        <w:rPr>
          <w:rFonts w:cs="Arial"/>
          <w:lang w:eastAsia="en-AU"/>
        </w:rPr>
        <w:t xml:space="preserve"> </w:t>
      </w:r>
      <w:r>
        <w:rPr>
          <w:rFonts w:cs="Arial"/>
          <w:lang w:eastAsia="en-AU"/>
        </w:rPr>
        <w:t xml:space="preserve">indicated </w:t>
      </w:r>
      <w:r>
        <w:rPr>
          <w:lang w:eastAsia="en-AU"/>
        </w:rPr>
        <w:t>it</w:t>
      </w:r>
      <w:r w:rsidRPr="00BE45EC">
        <w:rPr>
          <w:lang w:eastAsia="en-AU"/>
        </w:rPr>
        <w:t xml:space="preserve"> </w:t>
      </w:r>
      <w:r>
        <w:t xml:space="preserve">was not </w:t>
      </w:r>
      <w:r w:rsidRPr="00FA7791">
        <w:t>a skin sensitiser</w:t>
      </w:r>
      <w:r>
        <w:t>.</w:t>
      </w:r>
    </w:p>
    <w:p w:rsidR="00814520" w:rsidRPr="002372FD" w:rsidRDefault="004F3A16" w:rsidP="00814520">
      <w:pPr>
        <w:pStyle w:val="Heading4"/>
        <w:rPr>
          <w:lang w:val="en-US"/>
        </w:rPr>
      </w:pPr>
      <w:bookmarkStart w:id="13" w:name="_Toc6403899"/>
      <w:bookmarkStart w:id="14" w:name="_Toc8656089"/>
      <w:r>
        <w:lastRenderedPageBreak/>
        <w:t>1</w:t>
      </w:r>
      <w:r w:rsidR="00814520">
        <w:t>.4</w:t>
      </w:r>
      <w:r w:rsidR="00814520" w:rsidRPr="006927BC">
        <w:t>.</w:t>
      </w:r>
      <w:bookmarkStart w:id="15" w:name="_Toc531101675"/>
      <w:bookmarkStart w:id="16" w:name="_Toc6302158"/>
      <w:r w:rsidR="00814520" w:rsidRPr="002372FD">
        <w:rPr>
          <w:rFonts w:cs="Arial"/>
          <w:color w:val="17365D"/>
          <w:kern w:val="32"/>
          <w:sz w:val="32"/>
          <w:szCs w:val="32"/>
          <w:lang w:val="en-US"/>
        </w:rPr>
        <w:t xml:space="preserve"> </w:t>
      </w:r>
      <w:r w:rsidR="00814520" w:rsidRPr="002372FD">
        <w:rPr>
          <w:lang w:val="en-US"/>
        </w:rPr>
        <w:t>Bupivacaine</w:t>
      </w:r>
      <w:bookmarkEnd w:id="13"/>
      <w:bookmarkEnd w:id="14"/>
      <w:bookmarkEnd w:id="15"/>
      <w:bookmarkEnd w:id="16"/>
    </w:p>
    <w:p w:rsidR="00814520" w:rsidRPr="0019029E" w:rsidRDefault="00814520" w:rsidP="00170FED">
      <w:pPr>
        <w:pStyle w:val="Heading5"/>
      </w:pPr>
      <w:r>
        <w:t>Delegate’s final decision</w:t>
      </w:r>
    </w:p>
    <w:tbl>
      <w:tblPr>
        <w:tblStyle w:val="TableGrid"/>
        <w:tblW w:w="0" w:type="auto"/>
        <w:tblBorders>
          <w:top w:val="single" w:sz="12" w:space="0" w:color="002C47" w:themeColor="text1"/>
          <w:left w:val="single" w:sz="12" w:space="0" w:color="002C47" w:themeColor="text1"/>
          <w:bottom w:val="single" w:sz="12" w:space="0" w:color="002C47" w:themeColor="text1"/>
          <w:right w:val="single" w:sz="12" w:space="0" w:color="002C47" w:themeColor="text1"/>
          <w:insideH w:val="single" w:sz="12" w:space="0" w:color="002C47" w:themeColor="text1"/>
          <w:insideV w:val="single" w:sz="12" w:space="0" w:color="002C47" w:themeColor="text1"/>
        </w:tblBorders>
        <w:tblLook w:val="04A0" w:firstRow="1" w:lastRow="0" w:firstColumn="1" w:lastColumn="0" w:noHBand="0" w:noVBand="1"/>
      </w:tblPr>
      <w:tblGrid>
        <w:gridCol w:w="9286"/>
      </w:tblGrid>
      <w:tr w:rsidR="00814520" w:rsidTr="00814520">
        <w:tc>
          <w:tcPr>
            <w:tcW w:w="9286" w:type="dxa"/>
            <w:shd w:val="clear" w:color="auto" w:fill="D2EDFF" w:themeFill="text2" w:themeFillTint="1A"/>
          </w:tcPr>
          <w:p w:rsidR="00814520" w:rsidRDefault="00814520" w:rsidP="00814520">
            <w:pPr>
              <w:pStyle w:val="Heading6"/>
            </w:pPr>
            <w:r>
              <w:t>Final decision</w:t>
            </w:r>
          </w:p>
          <w:p w:rsidR="00814520" w:rsidRPr="003D0981" w:rsidRDefault="00814520" w:rsidP="00170FED">
            <w:r w:rsidRPr="00C33CB0">
              <w:t>The delegate's final decision under regulation 42ZCZU</w:t>
            </w:r>
            <w:r w:rsidRPr="00C33CB0">
              <w:rPr>
                <w:bCs/>
                <w:lang w:val="en-US"/>
              </w:rPr>
              <w:t xml:space="preserve"> </w:t>
            </w:r>
            <w:r w:rsidRPr="00C33CB0">
              <w:t>of the </w:t>
            </w:r>
            <w:r w:rsidRPr="00C33CB0">
              <w:rPr>
                <w:i/>
                <w:iCs/>
              </w:rPr>
              <w:t xml:space="preserve">Therapeutic Goods Regulations 1990 </w:t>
            </w:r>
            <w:r w:rsidRPr="00C33CB0">
              <w:t>(the Regulations) is to amend the current Poisons Standard in relation to</w:t>
            </w:r>
            <w:r w:rsidRPr="003D0981">
              <w:rPr>
                <w:lang w:val="en-US"/>
              </w:rPr>
              <w:t xml:space="preserve"> </w:t>
            </w:r>
            <w:r>
              <w:rPr>
                <w:lang w:val="en-US"/>
              </w:rPr>
              <w:t>b</w:t>
            </w:r>
            <w:r w:rsidRPr="003D0981">
              <w:rPr>
                <w:lang w:val="en-US"/>
              </w:rPr>
              <w:t>upivacaine</w:t>
            </w:r>
            <w:r>
              <w:rPr>
                <w:lang w:val="en-US"/>
              </w:rPr>
              <w:t xml:space="preserve"> as follows:</w:t>
            </w:r>
          </w:p>
          <w:p w:rsidR="00814520" w:rsidRPr="008C23D5" w:rsidRDefault="00814520" w:rsidP="00170FED">
            <w:pPr>
              <w:ind w:left="426"/>
              <w:rPr>
                <w:b/>
                <w:sz w:val="20"/>
              </w:rPr>
            </w:pPr>
            <w:r w:rsidRPr="008C23D5">
              <w:rPr>
                <w:b/>
              </w:rPr>
              <w:t xml:space="preserve">Schedule </w:t>
            </w:r>
            <w:r>
              <w:rPr>
                <w:b/>
              </w:rPr>
              <w:t>5</w:t>
            </w:r>
            <w:r w:rsidRPr="008C23D5">
              <w:rPr>
                <w:b/>
              </w:rPr>
              <w:t xml:space="preserve"> </w:t>
            </w:r>
            <w:r>
              <w:rPr>
                <w:b/>
              </w:rPr>
              <w:t>– Amend Entry</w:t>
            </w:r>
          </w:p>
          <w:p w:rsidR="00814520" w:rsidRDefault="00814520" w:rsidP="00170FED">
            <w:pPr>
              <w:ind w:left="426"/>
            </w:pPr>
            <w:r>
              <w:t xml:space="preserve">BUPIVACAINE </w:t>
            </w:r>
            <w:r w:rsidRPr="00382662">
              <w:t>in aqueous gel preparations containing 0. 5</w:t>
            </w:r>
            <w:r w:rsidRPr="00382662">
              <w:rPr>
                <w:color w:val="FF0000"/>
              </w:rPr>
              <w:t xml:space="preserve"> </w:t>
            </w:r>
            <w:r w:rsidRPr="00382662">
              <w:t>per cent or less of bupivacaine, for the dermal spray-on</w:t>
            </w:r>
            <w:r>
              <w:t xml:space="preserve"> </w:t>
            </w:r>
            <w:r w:rsidRPr="00621BA8">
              <w:rPr>
                <w:strike/>
              </w:rPr>
              <w:t>treatment of</w:t>
            </w:r>
            <w:r w:rsidRPr="008A587C">
              <w:t xml:space="preserve"> </w:t>
            </w:r>
            <w:r w:rsidRPr="00382662">
              <w:rPr>
                <w:color w:val="FF0000"/>
              </w:rPr>
              <w:t>administration</w:t>
            </w:r>
            <w:r w:rsidRPr="00382662">
              <w:t xml:space="preserve"> </w:t>
            </w:r>
            <w:r w:rsidRPr="00382662">
              <w:rPr>
                <w:color w:val="FF0000"/>
              </w:rPr>
              <w:t xml:space="preserve">to post-surgical </w:t>
            </w:r>
            <w:r w:rsidRPr="00382662">
              <w:t xml:space="preserve">wounds associated with ‘mulesing’ of sheep; </w:t>
            </w:r>
            <w:r w:rsidRPr="00382662">
              <w:rPr>
                <w:color w:val="FF0000"/>
              </w:rPr>
              <w:t>tail docking and castration of lambs; or castration and disbudding/dehorning in calves</w:t>
            </w:r>
            <w:r w:rsidRPr="00382662">
              <w:t>.</w:t>
            </w:r>
          </w:p>
          <w:p w:rsidR="00814520" w:rsidRPr="00CC0DB3" w:rsidRDefault="00814520" w:rsidP="00170FED">
            <w:pPr>
              <w:ind w:left="426"/>
              <w:rPr>
                <w:b/>
              </w:rPr>
            </w:pPr>
            <w:r w:rsidRPr="00CC0DB3">
              <w:rPr>
                <w:b/>
              </w:rPr>
              <w:t>Schedule 4</w:t>
            </w:r>
          </w:p>
          <w:p w:rsidR="00814520" w:rsidRDefault="00814520" w:rsidP="00170FED">
            <w:pPr>
              <w:ind w:left="426"/>
            </w:pPr>
            <w:r w:rsidRPr="001E2829">
              <w:t xml:space="preserve">BUPIVACAINE </w:t>
            </w:r>
            <w:r w:rsidRPr="001E2829">
              <w:rPr>
                <w:b/>
              </w:rPr>
              <w:t>except</w:t>
            </w:r>
            <w:r w:rsidRPr="001E2829">
              <w:t xml:space="preserve"> when included in Schedule 5.</w:t>
            </w:r>
          </w:p>
          <w:p w:rsidR="00814520" w:rsidRPr="00CC0DB3" w:rsidRDefault="00170FED" w:rsidP="00170FED">
            <w:pPr>
              <w:ind w:left="426"/>
              <w:rPr>
                <w:b/>
              </w:rPr>
            </w:pPr>
            <w:r>
              <w:rPr>
                <w:b/>
              </w:rPr>
              <w:t>Index</w:t>
            </w:r>
          </w:p>
          <w:p w:rsidR="00814520" w:rsidRPr="001E2829" w:rsidRDefault="00814520" w:rsidP="00170FED">
            <w:pPr>
              <w:ind w:left="426"/>
            </w:pPr>
            <w:r w:rsidRPr="001E2829">
              <w:rPr>
                <w:b/>
              </w:rPr>
              <w:t>BUPIVACAINE</w:t>
            </w:r>
          </w:p>
          <w:p w:rsidR="00814520" w:rsidRPr="00382662" w:rsidRDefault="00814520" w:rsidP="00170FED">
            <w:pPr>
              <w:ind w:left="426"/>
            </w:pPr>
            <w:r w:rsidRPr="001E2829">
              <w:t>Schedule 5</w:t>
            </w:r>
            <w:r w:rsidRPr="001E2829">
              <w:br/>
              <w:t>Schedule 4</w:t>
            </w:r>
          </w:p>
          <w:p w:rsidR="00814520" w:rsidRDefault="00814520" w:rsidP="00814520">
            <w:pPr>
              <w:pStyle w:val="Heading6"/>
              <w:rPr>
                <w:b w:val="0"/>
              </w:rPr>
            </w:pPr>
            <w:r>
              <w:t xml:space="preserve">Implementation date: </w:t>
            </w:r>
            <w:r w:rsidR="00516E81">
              <w:rPr>
                <w:b w:val="0"/>
              </w:rPr>
              <w:t>1 June 2019</w:t>
            </w:r>
          </w:p>
          <w:p w:rsidR="00814520" w:rsidRPr="004B2F35" w:rsidRDefault="00814520" w:rsidP="00445E77">
            <w:pPr>
              <w:pStyle w:val="Heading6"/>
            </w:pPr>
            <w:r w:rsidRPr="004B2F35">
              <w:t>Delegate’s considerations</w:t>
            </w:r>
          </w:p>
          <w:p w:rsidR="00814520" w:rsidRPr="00A37160" w:rsidRDefault="00814520" w:rsidP="00C07F83">
            <w:r w:rsidRPr="00A37160">
              <w:t xml:space="preserve">The </w:t>
            </w:r>
            <w:hyperlink w:anchor="_Applicant’s_scheduling_proposal_3" w:history="1">
              <w:r w:rsidRPr="00A37160">
                <w:rPr>
                  <w:rStyle w:val="Hyperlink"/>
                </w:rPr>
                <w:t>application</w:t>
              </w:r>
            </w:hyperlink>
            <w:r w:rsidRPr="00A37160">
              <w:t xml:space="preserve"> to amend the current Poisons Standard with respect to </w:t>
            </w:r>
            <w:r w:rsidR="00C07F83">
              <w:t>bupivacaine.</w:t>
            </w:r>
          </w:p>
          <w:p w:rsidR="00814520" w:rsidRPr="00A37160" w:rsidRDefault="00814520" w:rsidP="00C07F83">
            <w:pPr>
              <w:pStyle w:val="ListBullet"/>
            </w:pPr>
            <w:r w:rsidRPr="00A37160">
              <w:t xml:space="preserve">The Australian </w:t>
            </w:r>
            <w:r w:rsidRPr="00C07F83">
              <w:t>Health</w:t>
            </w:r>
            <w:r w:rsidRPr="00A37160">
              <w:t xml:space="preserve"> Ministers’ Advisory Council’s </w:t>
            </w:r>
            <w:hyperlink r:id="rId29" w:history="1">
              <w:r w:rsidRPr="00A37160">
                <w:rPr>
                  <w:rStyle w:val="Hyperlink"/>
                </w:rPr>
                <w:t>Scheduling Policy Framework</w:t>
              </w:r>
            </w:hyperlink>
            <w:r w:rsidR="00516E81">
              <w:t xml:space="preserve"> (SPF </w:t>
            </w:r>
            <w:r w:rsidRPr="00A37160">
              <w:t>2018); and</w:t>
            </w:r>
          </w:p>
          <w:p w:rsidR="00814520" w:rsidRPr="00043015" w:rsidRDefault="00814520" w:rsidP="00C07F83">
            <w:pPr>
              <w:pStyle w:val="ListBullet"/>
            </w:pPr>
            <w:r w:rsidRPr="00A37160">
              <w:t xml:space="preserve">Section 52E of the </w:t>
            </w:r>
            <w:r w:rsidRPr="00A37160">
              <w:rPr>
                <w:i/>
              </w:rPr>
              <w:t>Therapeutic Goods Act 1989,</w:t>
            </w:r>
            <w:r w:rsidRPr="00A37160">
              <w:t xml:space="preserve"> in particular: (a) the risks and benefits of the use of a substance; (b) the </w:t>
            </w:r>
            <w:r w:rsidRPr="00C07F83">
              <w:t>purposes</w:t>
            </w:r>
            <w:r w:rsidRPr="00A37160">
              <w:t xml:space="preserve"> for which a substance is to be used and the extent of use of a substance; (c) the toxicity of a substance; (e) the potential for abuse of a substance; and (f) any other matters that the Secretary considers necessary to protect public health.</w:t>
            </w:r>
          </w:p>
          <w:p w:rsidR="00814520" w:rsidRDefault="00814520" w:rsidP="00516E81">
            <w:pPr>
              <w:pStyle w:val="Heading6"/>
            </w:pPr>
            <w:r w:rsidRPr="00516E81">
              <w:t>Reasons</w:t>
            </w:r>
          </w:p>
          <w:p w:rsidR="00814520" w:rsidRDefault="00814520" w:rsidP="00C07F83">
            <w:r w:rsidRPr="00B93717">
              <w:t>The matters under subsection 52E (1) of the</w:t>
            </w:r>
            <w:r w:rsidR="00516E81">
              <w:t xml:space="preserve"> </w:t>
            </w:r>
            <w:r w:rsidRPr="00B93717">
              <w:rPr>
                <w:i/>
                <w:iCs/>
              </w:rPr>
              <w:t>Therapeutic Goods Act 1989</w:t>
            </w:r>
            <w:r w:rsidR="00516E81">
              <w:t xml:space="preserve"> </w:t>
            </w:r>
            <w:r w:rsidRPr="00B93717">
              <w:t>considered relevant by the delegate for the decision include:</w:t>
            </w:r>
          </w:p>
          <w:p w:rsidR="00814520" w:rsidRPr="00A37160" w:rsidRDefault="00814520" w:rsidP="00C07F83">
            <w:pPr>
              <w:pStyle w:val="Numberbullet2-52E1reasons"/>
              <w:numPr>
                <w:ilvl w:val="0"/>
                <w:numId w:val="49"/>
              </w:numPr>
            </w:pPr>
            <w:r w:rsidRPr="003B0767">
              <w:t xml:space="preserve">the risks and </w:t>
            </w:r>
            <w:r w:rsidRPr="00A37160">
              <w:t>benefits of the use of a substance:</w:t>
            </w:r>
          </w:p>
          <w:p w:rsidR="00814520" w:rsidRDefault="00814520" w:rsidP="00C97DA2">
            <w:r w:rsidRPr="00A37160">
              <w:t>The existing Schedule 5 Poisons Standard entry for bupivacaine is specific for aqueous gel preparations containing 0.5 per cent or less of bupivacaine, for the dermal spray-on treatment of wounds associated with 'mulesing' of sheep.</w:t>
            </w:r>
          </w:p>
          <w:p w:rsidR="00814520" w:rsidRPr="003B0767" w:rsidRDefault="00814520" w:rsidP="00C97DA2">
            <w:r>
              <w:t>However, since the original Schedule 5 entry was implemented, several extensions of use for the product (</w:t>
            </w:r>
            <w:r w:rsidRPr="00C15A15">
              <w:t>i.e. extension of use to include tail docking and castration in lambs, and castration and disbudding/dehorning in calves</w:t>
            </w:r>
            <w:r>
              <w:t>) have been approved by the APVMA.</w:t>
            </w:r>
          </w:p>
          <w:p w:rsidR="00814520" w:rsidRDefault="00814520" w:rsidP="00C07F83">
            <w:pPr>
              <w:pStyle w:val="Numberbullet2-52E1reasons"/>
            </w:pPr>
            <w:r>
              <w:t xml:space="preserve">the </w:t>
            </w:r>
            <w:r w:rsidRPr="000046FA">
              <w:t>purposes</w:t>
            </w:r>
            <w:r>
              <w:t xml:space="preserve"> for which a substance is to be used and the extent of use of a substance:</w:t>
            </w:r>
          </w:p>
          <w:p w:rsidR="00814520" w:rsidRPr="007E76DA" w:rsidRDefault="00814520" w:rsidP="00C07F83">
            <w:r>
              <w:t xml:space="preserve">An APVMA-registered </w:t>
            </w:r>
            <w:r w:rsidRPr="007E76DA">
              <w:t>aqueous gel product containing 4.2 g/L (0.</w:t>
            </w:r>
            <w:r>
              <w:t>42 %)</w:t>
            </w:r>
            <w:r w:rsidRPr="007E76DA">
              <w:t xml:space="preserve"> bupivacaine (as hydrochloride) is currently approved for use on post-surgical wounds associated with mulesing, </w:t>
            </w:r>
            <w:r w:rsidRPr="007E76DA">
              <w:lastRenderedPageBreak/>
              <w:t>tail docking and castration of lambs and castration and disbudding/dehorning in calves.</w:t>
            </w:r>
          </w:p>
          <w:p w:rsidR="00814520" w:rsidRDefault="00814520" w:rsidP="00814520">
            <w:pPr>
              <w:pStyle w:val="Numberbullet2-52E1reasons"/>
            </w:pPr>
            <w:r w:rsidRPr="00704EDD">
              <w:t>the toxicity of a substance:</w:t>
            </w:r>
          </w:p>
          <w:p w:rsidR="00814520" w:rsidRPr="007E76DA" w:rsidRDefault="00814520" w:rsidP="00814520">
            <w:r>
              <w:t>B</w:t>
            </w:r>
            <w:r w:rsidRPr="00652839">
              <w:t>upivacaine has a long history of safety</w:t>
            </w:r>
            <w:r>
              <w:t xml:space="preserve"> through widespread</w:t>
            </w:r>
            <w:r w:rsidRPr="00652839">
              <w:t xml:space="preserve"> use in both human therapeutics and veterinary medicines.</w:t>
            </w:r>
          </w:p>
          <w:p w:rsidR="00814520" w:rsidRPr="0093254F" w:rsidRDefault="00814520" w:rsidP="00814520">
            <w:pPr>
              <w:pStyle w:val="Numberbullet2-52E1reasons"/>
              <w:rPr>
                <w:i w:val="0"/>
                <w:u w:val="none"/>
              </w:rPr>
            </w:pPr>
            <w:r w:rsidRPr="00704EDD">
              <w:t>the dosage, formulation, labelling, packaging and presentation of a substance:</w:t>
            </w:r>
          </w:p>
          <w:p w:rsidR="00814520" w:rsidRDefault="00814520" w:rsidP="00814520">
            <w:r>
              <w:t>Nil.</w:t>
            </w:r>
          </w:p>
          <w:p w:rsidR="00814520" w:rsidRDefault="00814520" w:rsidP="00814520">
            <w:pPr>
              <w:pStyle w:val="Numberbullet2-52E1reasons"/>
            </w:pPr>
            <w:r w:rsidRPr="000046FA">
              <w:t>the potential for abuse of a substance</w:t>
            </w:r>
            <w:r>
              <w:t>:</w:t>
            </w:r>
          </w:p>
          <w:p w:rsidR="00814520" w:rsidRPr="00893AC5" w:rsidRDefault="00814520" w:rsidP="00814520">
            <w:r>
              <w:t xml:space="preserve">Concerns about </w:t>
            </w:r>
            <w:r w:rsidRPr="00893AC5">
              <w:t>the need for veterinary supervision in dehorning and castration procedures in lambs and calves at later stages in their development are currently covered by the relevant Australian Animal Welfare Standards and Guidelines.</w:t>
            </w:r>
            <w:r w:rsidRPr="00AC68E2">
              <w:rPr>
                <w:rStyle w:val="FootnoteReference"/>
              </w:rPr>
              <w:footnoteReference w:id="4"/>
            </w:r>
            <w:r w:rsidRPr="00893AC5">
              <w:t xml:space="preserve"> These standards provide age-related and developmental stage-related standards and guidance on when a non-veterinarian can and cannot perform such procedures. </w:t>
            </w:r>
            <w:r>
              <w:t>Further,</w:t>
            </w:r>
            <w:r w:rsidRPr="00893AC5">
              <w:t xml:space="preserve"> most states in Australia have strict definitions of when such procedures become a restricted act of veterinary science.</w:t>
            </w:r>
          </w:p>
          <w:p w:rsidR="00814520" w:rsidRPr="007E76DA" w:rsidRDefault="00814520" w:rsidP="00814520">
            <w:r w:rsidRPr="00B57877">
              <w:t>The APVMA will ensure appropriate label directions and label statements that are consistent with the Australian Animal Welfare Standards and Guidelines and other relevant legislation regarding restricted acts of veterinary science.</w:t>
            </w:r>
          </w:p>
          <w:p w:rsidR="00814520" w:rsidRPr="000D4533" w:rsidRDefault="00814520" w:rsidP="00814520">
            <w:pPr>
              <w:pStyle w:val="Numberbullet2-52E1reasons"/>
              <w:rPr>
                <w:i w:val="0"/>
                <w:u w:val="none"/>
              </w:rPr>
            </w:pPr>
            <w:r w:rsidRPr="000046FA">
              <w:t>any other matters that the Secretary considers necessary to protect public health</w:t>
            </w:r>
            <w:r>
              <w:t>:</w:t>
            </w:r>
          </w:p>
          <w:p w:rsidR="00814520" w:rsidRPr="00A37160" w:rsidRDefault="00814520" w:rsidP="00C07F83">
            <w:r>
              <w:t>A</w:t>
            </w:r>
            <w:r w:rsidRPr="008A587C">
              <w:t xml:space="preserve"> product containing bupivacaine at 4.2 g</w:t>
            </w:r>
            <w:r>
              <w:t>/L is registered in New Zealand as a ‘Restricted Veterinary Medicine’ which is available only under veterinary prescription.</w:t>
            </w:r>
          </w:p>
          <w:p w:rsidR="00814520" w:rsidRPr="0090341E" w:rsidRDefault="00814520" w:rsidP="00C07F83">
            <w:pPr>
              <w:pStyle w:val="Heading6"/>
            </w:pPr>
            <w:r w:rsidRPr="001C0DFF">
              <w:t>Overall conclusions</w:t>
            </w:r>
          </w:p>
          <w:p w:rsidR="00814520" w:rsidRDefault="00814520" w:rsidP="00C07F83">
            <w:r>
              <w:t>The</w:t>
            </w:r>
            <w:r w:rsidRPr="00C15A15">
              <w:t xml:space="preserve"> scheduling application is to am</w:t>
            </w:r>
            <w:r>
              <w:t>end the wording in the Schedule 5 entry</w:t>
            </w:r>
            <w:r w:rsidRPr="00C15A15">
              <w:t xml:space="preserve"> to encompass </w:t>
            </w:r>
            <w:r>
              <w:t>new</w:t>
            </w:r>
            <w:r w:rsidRPr="00C15A15">
              <w:t xml:space="preserve"> </w:t>
            </w:r>
            <w:r>
              <w:t>use patterns approved by the APVMA.</w:t>
            </w:r>
          </w:p>
          <w:p w:rsidR="00814520" w:rsidRDefault="00814520" w:rsidP="00C07F83">
            <w:r>
              <w:t>Given that, (</w:t>
            </w:r>
            <w:proofErr w:type="spellStart"/>
            <w:r>
              <w:t>i</w:t>
            </w:r>
            <w:proofErr w:type="spellEnd"/>
            <w:r>
              <w:t>) the exposure profile for these new uses is not significantly greater than the exposure profile for the existing use in mulesing; (ii) bupivacaine has a long history of safe use in human therapeutics and veterinary medicines; and (iii) the rescheduling would be reasonably expected to result in an improvement in animal welfare, with more sheep and cattle being treated to reduced pain and infection, which would otherwise have been left untreated, on balance the delegate is satisfied that the benefits of amending the existing Schedule 5 entry for bupivacaine out-weight the risks. Further, the delegate is satisfied that risks associated with these new uses can be managed by the existing regulatory controls imposed by the Poisons Standard and the APVMA.</w:t>
            </w:r>
          </w:p>
          <w:p w:rsidR="00814520" w:rsidRDefault="00814520" w:rsidP="00C07F83">
            <w:r w:rsidRPr="00BF7F95">
              <w:t xml:space="preserve">On the basis that the proposed changes to the existing entry do not involve down-scheduling or up-scheduling, </w:t>
            </w:r>
            <w:r>
              <w:t>the delegate is</w:t>
            </w:r>
            <w:r w:rsidRPr="00BF7F95">
              <w:t xml:space="preserve"> satisfied that the application is not captured as a ‘rescheduling’ consideration as described in the </w:t>
            </w:r>
            <w:r>
              <w:rPr>
                <w:i/>
              </w:rPr>
              <w:t>Scheduling H</w:t>
            </w:r>
            <w:r w:rsidRPr="00BF7F95">
              <w:rPr>
                <w:i/>
              </w:rPr>
              <w:t>andbook</w:t>
            </w:r>
            <w:r>
              <w:rPr>
                <w:i/>
              </w:rPr>
              <w:t>,</w:t>
            </w:r>
            <w:r w:rsidRPr="00BF7F95">
              <w:rPr>
                <w:i/>
              </w:rPr>
              <w:t xml:space="preserve"> Guidance for ame</w:t>
            </w:r>
            <w:r>
              <w:rPr>
                <w:i/>
              </w:rPr>
              <w:t>nding the Poisons Standard, 2018</w:t>
            </w:r>
            <w:r w:rsidRPr="00BF7F95">
              <w:t>.</w:t>
            </w:r>
          </w:p>
        </w:tc>
      </w:tr>
    </w:tbl>
    <w:p w:rsidR="00814520" w:rsidRDefault="00814520" w:rsidP="004B52A5">
      <w:pPr>
        <w:pStyle w:val="Heading5"/>
      </w:pPr>
      <w:bookmarkStart w:id="17" w:name="_Applicant’s_scheduling_proposal_3"/>
      <w:bookmarkEnd w:id="17"/>
      <w:r>
        <w:lastRenderedPageBreak/>
        <w:t xml:space="preserve">Applicant’s </w:t>
      </w:r>
      <w:r w:rsidRPr="004B52A5">
        <w:t>scheduling</w:t>
      </w:r>
      <w:r>
        <w:t xml:space="preserve"> proposal and reasons for proposal</w:t>
      </w:r>
    </w:p>
    <w:p w:rsidR="00814520" w:rsidRPr="0008312F" w:rsidRDefault="00814520" w:rsidP="004B52A5">
      <w:r w:rsidRPr="0008312F">
        <w:t xml:space="preserve">An application was submitted by the Australian Pesticides and Veterinary Medicines Authority (APVMA) to amend the Schedule </w:t>
      </w:r>
      <w:r>
        <w:t xml:space="preserve">5 </w:t>
      </w:r>
      <w:r w:rsidRPr="0008312F">
        <w:t>entry for </w:t>
      </w:r>
      <w:r>
        <w:t>bupivacaine</w:t>
      </w:r>
      <w:r w:rsidR="004B52A5">
        <w:t xml:space="preserve"> in the Poisons Standard.</w:t>
      </w:r>
    </w:p>
    <w:p w:rsidR="00814520" w:rsidRDefault="00814520" w:rsidP="004E1DC9">
      <w:pPr>
        <w:keepNext/>
      </w:pPr>
      <w:bookmarkStart w:id="18" w:name="_GoBack"/>
      <w:bookmarkEnd w:id="18"/>
      <w:r w:rsidRPr="0008312F">
        <w:lastRenderedPageBreak/>
        <w:t>The applicant’s reasons for the proposal are:</w:t>
      </w:r>
    </w:p>
    <w:p w:rsidR="00814520" w:rsidRPr="008674FF" w:rsidRDefault="00814520" w:rsidP="001675F1">
      <w:pPr>
        <w:pStyle w:val="ListBullet"/>
      </w:pPr>
      <w:r w:rsidRPr="008674FF">
        <w:t>Scheduling application is to amend the wording in the S</w:t>
      </w:r>
      <w:r>
        <w:t xml:space="preserve">chedule </w:t>
      </w:r>
      <w:r w:rsidRPr="008674FF">
        <w:t>5 entry, to encompass additional approved use patterns, i</w:t>
      </w:r>
      <w:r>
        <w:t>.</w:t>
      </w:r>
      <w:r w:rsidRPr="008674FF">
        <w:t xml:space="preserve">e. extension of use to </w:t>
      </w:r>
      <w:r w:rsidRPr="001675F1">
        <w:t>include</w:t>
      </w:r>
      <w:r w:rsidRPr="008674FF">
        <w:t xml:space="preserve"> tail docking and castration in lambs, and castration and disbudding/dehorning in calves.</w:t>
      </w:r>
    </w:p>
    <w:p w:rsidR="00814520" w:rsidRDefault="00814520" w:rsidP="001675F1">
      <w:pPr>
        <w:pStyle w:val="ListBullet"/>
      </w:pPr>
      <w:r>
        <w:t xml:space="preserve">The product </w:t>
      </w:r>
      <w:r w:rsidRPr="004C7BB7">
        <w:t xml:space="preserve">was originally classified as a Schedule 4 prescription medicine. In 2013, a submission was made to the Scheduling Committee by a </w:t>
      </w:r>
      <w:r w:rsidRPr="001675F1">
        <w:t>third</w:t>
      </w:r>
      <w:r w:rsidRPr="004C7BB7">
        <w:t xml:space="preserve"> party </w:t>
      </w:r>
      <w:r>
        <w:t xml:space="preserve">(i.e. not the registrant) </w:t>
      </w:r>
      <w:r w:rsidRPr="004C7BB7">
        <w:t xml:space="preserve">to re-schedule the </w:t>
      </w:r>
      <w:r>
        <w:t xml:space="preserve">actives </w:t>
      </w:r>
      <w:r w:rsidRPr="004C7BB7">
        <w:t xml:space="preserve">to allow </w:t>
      </w:r>
      <w:r>
        <w:t xml:space="preserve">the product </w:t>
      </w:r>
      <w:r w:rsidRPr="004C7BB7">
        <w:t xml:space="preserve">to be supplied without prescription. The outcome was that new entries in Schedule 5 for both </w:t>
      </w:r>
      <w:r>
        <w:t>lidocaine</w:t>
      </w:r>
      <w:r w:rsidRPr="004C7BB7">
        <w:t xml:space="preserve"> and bupivacaine were made</w:t>
      </w:r>
      <w:r>
        <w:t>, but with wording that aimed to restrict the entry to the specific product/use pattern</w:t>
      </w:r>
      <w:r w:rsidRPr="00CF4DC6">
        <w:t xml:space="preserve"> (i</w:t>
      </w:r>
      <w:r>
        <w:t>.</w:t>
      </w:r>
      <w:r w:rsidRPr="00CF4DC6">
        <w:t>e</w:t>
      </w:r>
      <w:r w:rsidRPr="00876BC4">
        <w:rPr>
          <w:i/>
        </w:rPr>
        <w:t xml:space="preserve">. BUPIVACAINE in aqueous gel preparations containing </w:t>
      </w:r>
      <w:r>
        <w:rPr>
          <w:i/>
        </w:rPr>
        <w:t>0.5</w:t>
      </w:r>
      <w:r w:rsidRPr="00876BC4">
        <w:rPr>
          <w:i/>
        </w:rPr>
        <w:t xml:space="preserve"> per cent or less of bupivacaine, for the dermal spray-on treatment of wounds associated with 'mulesing' of sheep AND LIDOCAINE in aqueous gel preparations containing 0.5 per cent or less of lidocaine, for the dermal spray-on treatment of wounds associated with 'mulesing' of sheep</w:t>
      </w:r>
      <w:r w:rsidRPr="00CF4DC6">
        <w:t>).</w:t>
      </w:r>
      <w:r>
        <w:t xml:space="preserve"> </w:t>
      </w:r>
      <w:r w:rsidRPr="004C7BB7">
        <w:t xml:space="preserve">Since this time, several extensions of use </w:t>
      </w:r>
      <w:r>
        <w:t xml:space="preserve">for the product have been approved by the APVMA. </w:t>
      </w:r>
      <w:r w:rsidRPr="00DC66C7">
        <w:t xml:space="preserve">This application therefore aims </w:t>
      </w:r>
      <w:r>
        <w:t>to update the scheduling entries to reflect the changes in use.</w:t>
      </w:r>
    </w:p>
    <w:p w:rsidR="00814520" w:rsidRDefault="00814520" w:rsidP="001675F1">
      <w:pPr>
        <w:pStyle w:val="Heading5"/>
      </w:pPr>
      <w:r w:rsidRPr="001675F1">
        <w:t>Scheduling</w:t>
      </w:r>
      <w:r>
        <w:t xml:space="preserve"> history</w:t>
      </w:r>
    </w:p>
    <w:p w:rsidR="00814520" w:rsidRPr="00463303" w:rsidRDefault="00814520" w:rsidP="001675F1">
      <w:r>
        <w:t>In</w:t>
      </w:r>
      <w:r w:rsidRPr="00463303">
        <w:t xml:space="preserve"> November 1977</w:t>
      </w:r>
      <w:r w:rsidRPr="00463303">
        <w:rPr>
          <w:color w:val="0098F6" w:themeColor="text2" w:themeTint="99"/>
        </w:rPr>
        <w:t xml:space="preserve"> </w:t>
      </w:r>
      <w:r>
        <w:t>the</w:t>
      </w:r>
      <w:r w:rsidRPr="00463303">
        <w:t xml:space="preserve"> National Health and Medical Research Council Poisons Schedule (Standing) Committee considered a proposal to create </w:t>
      </w:r>
      <w:r>
        <w:t>new Schedule 4 entries</w:t>
      </w:r>
      <w:r w:rsidRPr="00463303">
        <w:t xml:space="preserve"> for a number of local anaesthetics that included bupivacaine. However, at the August 1983 meeting, it was identified that bupivacaine has been overlooked in the previous evaluation of </w:t>
      </w:r>
      <w:r>
        <w:t>the scheduling of anaesthetics.</w:t>
      </w:r>
      <w:r w:rsidRPr="00463303">
        <w:t xml:space="preserve"> The Committee agreed that bupivacaine be listed in Schedule 4 of the Poisons standard with no cut offs.</w:t>
      </w:r>
    </w:p>
    <w:p w:rsidR="00814520" w:rsidRPr="00463303" w:rsidRDefault="00814520" w:rsidP="001675F1">
      <w:pPr>
        <w:rPr>
          <w:rFonts w:asciiTheme="minorHAnsi" w:hAnsiTheme="minorHAnsi"/>
        </w:rPr>
      </w:pPr>
      <w:r w:rsidRPr="00463303">
        <w:t xml:space="preserve">At the meeting of the Joint Advisory Committee on Medicines and Chemicals Scheduling in March 2013, a proposal was considered which recommended </w:t>
      </w:r>
      <w:r w:rsidRPr="00463303">
        <w:rPr>
          <w:rFonts w:asciiTheme="minorHAnsi" w:hAnsiTheme="minorHAnsi"/>
        </w:rPr>
        <w:t>that the Schedule 4 entries for lignocaine, bupivacaine and adrenaline be amended to Schedule 6 when included in a spray-on dermal formulation for direct application to surgical wounds in animals. The primary purpose of the scheduling proposal was to facilitate use as an anaesthetic spray to treat the wounds of sheep during mulesing operation without requiring supply via prescription of a veterinarian.</w:t>
      </w:r>
    </w:p>
    <w:p w:rsidR="00814520" w:rsidRPr="00463303" w:rsidRDefault="00814520" w:rsidP="001675F1">
      <w:r w:rsidRPr="00463303">
        <w:t>In the interim decision, the delegate did not</w:t>
      </w:r>
      <w:r w:rsidRPr="00463303">
        <w:rPr>
          <w:u w:val="single"/>
        </w:rPr>
        <w:t xml:space="preserve"> </w:t>
      </w:r>
      <w:r w:rsidRPr="00463303">
        <w:t>support a change to the scheduling of lidocaine or bupivacaine from S4 to S6, considering that ‘mulesing’ was a procedure that should be carried out under the supervision of a veterinarian.</w:t>
      </w:r>
    </w:p>
    <w:p w:rsidR="00814520" w:rsidRPr="00463303" w:rsidRDefault="00814520" w:rsidP="001675F1">
      <w:r w:rsidRPr="00463303">
        <w:t>In the final decision, the delegate set aside the interim decision and enabled scheduling changes that would allow the specific product under consideration to be re-scheduled to S5. This was based on post-decision submissions that indicated veterinary intervention/ supervision was not needed for the proper conduct of ‘mulesing’ and that use of the product thus far, without veterinary supervision had been working well and with no evidence of inappropriate use. Enabling access without veterinary prescription was also expected to aid farmers and contractors in areas remote from veterinary practice and enable improvements in animal welfare with more sheep expected to be treate</w:t>
      </w:r>
      <w:r w:rsidR="001675F1">
        <w:t>d to reduce pain and infection.</w:t>
      </w:r>
    </w:p>
    <w:p w:rsidR="00814520" w:rsidRPr="00463303" w:rsidRDefault="00814520" w:rsidP="001675F1">
      <w:pPr>
        <w:rPr>
          <w:i/>
        </w:rPr>
      </w:pPr>
      <w:r w:rsidRPr="00463303">
        <w:t xml:space="preserve">At the time, a Schedule 6 proposal was not applied as the signal heading POISON was considered inappropriate for veterinary medicines, and the acute toxicity profile for lidocaine (4.06%) and bupivacaine (0.42%) were considered reasonably consistent with the Scheduling Policy Framework guidelines for a listing in Schedule 5. In addition, the product label included appropriate warning statements and safety directions to ensure users were warned of potential risks. It was also noted that lidocaine was available in topical human medicines at up to 10%, with exemption from 2%, for ‘over the counter in pharmacies’ (Schedule 2). The delegate noted that the re-scheduling should apply only to the particular product and its use in ‘mulesing’ and in order not to affect other APVMA registered products the following wording was used in the new </w:t>
      </w:r>
      <w:r w:rsidRPr="00463303">
        <w:lastRenderedPageBreak/>
        <w:t>Schedule 5 Entry</w:t>
      </w:r>
      <w:r w:rsidRPr="00463303">
        <w:rPr>
          <w:i/>
        </w:rPr>
        <w:t>: BUPIVACAINE in aqueous gel preparations containing 0.5 per cent or less of lidocaine, for the dermal spray-on treatment of wounds associated with 'mulesing' of sheep.</w:t>
      </w:r>
    </w:p>
    <w:p w:rsidR="00814520" w:rsidRPr="001675F1" w:rsidRDefault="00814520" w:rsidP="001675F1">
      <w:pPr>
        <w:pStyle w:val="Heading5"/>
      </w:pPr>
      <w:r>
        <w:t>Australian regul</w:t>
      </w:r>
      <w:r w:rsidR="001675F1">
        <w:t>ations</w:t>
      </w:r>
    </w:p>
    <w:p w:rsidR="00814520" w:rsidRPr="00463303" w:rsidRDefault="00814520" w:rsidP="001675F1">
      <w:r w:rsidRPr="00463303">
        <w:t xml:space="preserve">Bupivacaine is not included in the current </w:t>
      </w:r>
      <w:hyperlink r:id="rId30" w:history="1">
        <w:r>
          <w:rPr>
            <w:rStyle w:val="Hyperlink"/>
          </w:rPr>
          <w:t>Therapeutic Goods (Permissible Ingredients) Determination No. 4 of 2018</w:t>
        </w:r>
      </w:hyperlink>
      <w:r w:rsidRPr="00463303">
        <w:rPr>
          <w:rStyle w:val="Hyperlink"/>
          <w:u w:val="none"/>
        </w:rPr>
        <w:t xml:space="preserve"> </w:t>
      </w:r>
      <w:r w:rsidR="001675F1">
        <w:t>for use in listed medicines.</w:t>
      </w:r>
    </w:p>
    <w:p w:rsidR="00814520" w:rsidRPr="00463303" w:rsidRDefault="00814520" w:rsidP="001675F1">
      <w:r w:rsidRPr="00463303">
        <w:t xml:space="preserve">The </w:t>
      </w:r>
      <w:hyperlink r:id="rId31" w:history="1">
        <w:r w:rsidRPr="00463303">
          <w:rPr>
            <w:rStyle w:val="Hyperlink"/>
          </w:rPr>
          <w:t>TGA Ingredient Database</w:t>
        </w:r>
      </w:hyperlink>
      <w:r w:rsidRPr="00463303">
        <w:t xml:space="preserve"> identifies that bupivacaine hydrochloride and </w:t>
      </w:r>
      <w:proofErr w:type="spellStart"/>
      <w:r w:rsidRPr="00463303">
        <w:t>buvipacaine</w:t>
      </w:r>
      <w:proofErr w:type="spellEnd"/>
      <w:r w:rsidRPr="00463303">
        <w:t xml:space="preserve"> hydrochloride monohydrate, are available for use as active ingredients in Biologicals, Export Only, Prescription Medicines and as excipients in Biologicals, Devices and Prescription Medicines and as equivalent ingredients in Prescription Medicines.</w:t>
      </w:r>
    </w:p>
    <w:p w:rsidR="00814520" w:rsidRPr="00463303" w:rsidRDefault="00814520" w:rsidP="001675F1">
      <w:r w:rsidRPr="00463303">
        <w:t>There are 33 Schedule 4 medicines (all are preparations for injection) currently active on the Australian Register of Therapeutic Goods (</w:t>
      </w:r>
      <w:hyperlink r:id="rId32" w:history="1">
        <w:r w:rsidRPr="00463303">
          <w:rPr>
            <w:rStyle w:val="Hyperlink"/>
          </w:rPr>
          <w:t>ARTG</w:t>
        </w:r>
      </w:hyperlink>
      <w:r w:rsidR="001675F1">
        <w:t>) that contain bupivacaine.</w:t>
      </w:r>
    </w:p>
    <w:p w:rsidR="00814520" w:rsidRDefault="00814520" w:rsidP="001675F1">
      <w:r w:rsidRPr="00463303">
        <w:t xml:space="preserve">There is currently one APVMA approved veterinary medicine that contains bupivacaine as the active ingredient on </w:t>
      </w:r>
      <w:bookmarkStart w:id="19" w:name="_Hlk530471307"/>
      <w:r w:rsidRPr="00463303">
        <w:fldChar w:fldCharType="begin"/>
      </w:r>
      <w:r w:rsidRPr="00463303">
        <w:instrText xml:space="preserve"> HYPERLINK  \l "_Hlk530471307" \s "1,13624,13631,0,,PUBCRIS" </w:instrText>
      </w:r>
      <w:r w:rsidRPr="00463303">
        <w:fldChar w:fldCharType="separate"/>
      </w:r>
      <w:r w:rsidRPr="00463303">
        <w:rPr>
          <w:rStyle w:val="Hyperlink"/>
        </w:rPr>
        <w:t>PUBCRIS</w:t>
      </w:r>
      <w:r w:rsidRPr="00463303">
        <w:fldChar w:fldCharType="end"/>
      </w:r>
      <w:bookmarkEnd w:id="19"/>
      <w:r w:rsidRPr="00463303">
        <w:t>, which is the product for which this scheduling amendment is proposed.</w:t>
      </w:r>
    </w:p>
    <w:p w:rsidR="00814520" w:rsidRDefault="00814520" w:rsidP="001675F1">
      <w:pPr>
        <w:pStyle w:val="Heading5"/>
      </w:pPr>
      <w:r>
        <w:t xml:space="preserve">International </w:t>
      </w:r>
      <w:r w:rsidRPr="001675F1">
        <w:t>regulations</w:t>
      </w:r>
    </w:p>
    <w:p w:rsidR="00814520" w:rsidRPr="00463303" w:rsidRDefault="00814520" w:rsidP="001675F1">
      <w:pPr>
        <w:pStyle w:val="ListBullet"/>
      </w:pPr>
      <w:r w:rsidRPr="00463303">
        <w:t xml:space="preserve">According to the APVMA applicant </w:t>
      </w:r>
      <w:r w:rsidRPr="00CA31B2">
        <w:rPr>
          <w:highlight w:val="black"/>
        </w:rPr>
        <w:t>XXXXXX</w:t>
      </w:r>
      <w:r>
        <w:t xml:space="preserve"> </w:t>
      </w:r>
      <w:r w:rsidRPr="00463303">
        <w:t xml:space="preserve">is registered in New Zealand as a Restricted Veterinary Medicine available only under veterinary </w:t>
      </w:r>
      <w:r w:rsidRPr="001675F1">
        <w:t>prescription</w:t>
      </w:r>
      <w:r w:rsidRPr="00463303">
        <w:t>. However, the use of mulesing is not approved in New Zealand so the pressure driving the original Australian re-scheduling was not present in New Zealand.</w:t>
      </w:r>
    </w:p>
    <w:p w:rsidR="00814520" w:rsidRDefault="00814520" w:rsidP="001675F1">
      <w:pPr>
        <w:pStyle w:val="ListBullet"/>
      </w:pPr>
      <w:r w:rsidRPr="00CA31B2">
        <w:rPr>
          <w:highlight w:val="black"/>
        </w:rPr>
        <w:t>XXXXXX</w:t>
      </w:r>
      <w:r w:rsidRPr="00463303">
        <w:t xml:space="preserve"> is not registered in any other jurisdictions.</w:t>
      </w:r>
    </w:p>
    <w:p w:rsidR="00814520" w:rsidRDefault="00814520" w:rsidP="001675F1">
      <w:pPr>
        <w:pStyle w:val="Heading5"/>
      </w:pPr>
      <w:r>
        <w:t xml:space="preserve">Substance </w:t>
      </w:r>
      <w:r w:rsidRPr="001675F1">
        <w:t>summary</w:t>
      </w:r>
    </w:p>
    <w:p w:rsidR="00814520" w:rsidRPr="00180BF5" w:rsidRDefault="00814520" w:rsidP="001675F1">
      <w:pPr>
        <w:pStyle w:val="TableTitle0"/>
      </w:pPr>
      <w:r w:rsidRPr="00180BF5">
        <w:t>Table 1: Chemical information for Bupivacaine</w:t>
      </w:r>
    </w:p>
    <w:tbl>
      <w:tblPr>
        <w:tblStyle w:val="TableTGAblue"/>
        <w:tblW w:w="8789" w:type="dxa"/>
        <w:tblInd w:w="108" w:type="dxa"/>
        <w:tblLook w:val="04A0" w:firstRow="1" w:lastRow="0" w:firstColumn="1" w:lastColumn="0" w:noHBand="0" w:noVBand="1"/>
      </w:tblPr>
      <w:tblGrid>
        <w:gridCol w:w="3402"/>
        <w:gridCol w:w="5387"/>
      </w:tblGrid>
      <w:tr w:rsidR="00814520" w:rsidRPr="00620B7F" w:rsidTr="004E18B9">
        <w:trPr>
          <w:cnfStyle w:val="100000000000" w:firstRow="1" w:lastRow="0" w:firstColumn="0" w:lastColumn="0" w:oddVBand="0" w:evenVBand="0" w:oddHBand="0" w:evenHBand="0" w:firstRowFirstColumn="0" w:firstRowLastColumn="0" w:lastRowFirstColumn="0" w:lastRowLastColumn="0"/>
        </w:trPr>
        <w:tc>
          <w:tcPr>
            <w:tcW w:w="3402" w:type="dxa"/>
            <w:vAlign w:val="center"/>
          </w:tcPr>
          <w:p w:rsidR="00814520" w:rsidRPr="001675F1" w:rsidRDefault="00814520" w:rsidP="001675F1">
            <w:pPr>
              <w:pStyle w:val="TableHeading"/>
              <w:rPr>
                <w:b/>
              </w:rPr>
            </w:pPr>
            <w:r w:rsidRPr="001675F1">
              <w:rPr>
                <w:b/>
              </w:rPr>
              <w:t>Property</w:t>
            </w:r>
          </w:p>
        </w:tc>
        <w:tc>
          <w:tcPr>
            <w:tcW w:w="5387" w:type="dxa"/>
            <w:vAlign w:val="center"/>
          </w:tcPr>
          <w:p w:rsidR="00814520" w:rsidRPr="001675F1" w:rsidRDefault="00814520" w:rsidP="001675F1">
            <w:pPr>
              <w:pStyle w:val="TableHeading"/>
              <w:rPr>
                <w:b/>
                <w:lang w:eastAsia="en-US"/>
              </w:rPr>
            </w:pPr>
            <w:r w:rsidRPr="001675F1">
              <w:rPr>
                <w:b/>
              </w:rPr>
              <w:t>BUPIVACAINE</w:t>
            </w:r>
          </w:p>
        </w:tc>
      </w:tr>
      <w:tr w:rsidR="00814520" w:rsidRPr="00620B7F" w:rsidTr="004E18B9">
        <w:tc>
          <w:tcPr>
            <w:tcW w:w="3402" w:type="dxa"/>
          </w:tcPr>
          <w:p w:rsidR="00814520" w:rsidRPr="00620B7F" w:rsidRDefault="00814520" w:rsidP="00814520">
            <w:pPr>
              <w:spacing w:before="120" w:after="120"/>
              <w:rPr>
                <w:sz w:val="20"/>
                <w:szCs w:val="20"/>
              </w:rPr>
            </w:pPr>
            <w:r w:rsidRPr="00620B7F">
              <w:rPr>
                <w:sz w:val="20"/>
                <w:szCs w:val="20"/>
              </w:rPr>
              <w:t>Chemical structure</w:t>
            </w:r>
          </w:p>
        </w:tc>
        <w:tc>
          <w:tcPr>
            <w:tcW w:w="5387" w:type="dxa"/>
          </w:tcPr>
          <w:p w:rsidR="00814520" w:rsidRPr="00620B7F" w:rsidRDefault="00814520" w:rsidP="00814520">
            <w:pPr>
              <w:rPr>
                <w:rFonts w:asciiTheme="minorHAnsi" w:hAnsiTheme="minorHAnsi" w:cs="Verdana"/>
                <w:sz w:val="20"/>
                <w:szCs w:val="20"/>
              </w:rPr>
            </w:pPr>
            <w:r>
              <w:rPr>
                <w:rFonts w:asciiTheme="minorHAnsi" w:hAnsiTheme="minorHAnsi" w:cs="Verdana"/>
                <w:noProof/>
                <w:sz w:val="20"/>
              </w:rPr>
              <w:drawing>
                <wp:inline distT="0" distB="0" distL="0" distR="0" wp14:anchorId="289728E4" wp14:editId="4A088A92">
                  <wp:extent cx="1367624" cy="1002616"/>
                  <wp:effectExtent l="0" t="0" r="4445" b="7620"/>
                  <wp:docPr id="5" name="Picture 5" descr="Chemical structure of Bupivac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pivacaine structure.PNG"/>
                          <pic:cNvPicPr/>
                        </pic:nvPicPr>
                        <pic:blipFill>
                          <a:blip r:embed="rId33">
                            <a:extLst>
                              <a:ext uri="{28A0092B-C50C-407E-A947-70E740481C1C}">
                                <a14:useLocalDpi xmlns:a14="http://schemas.microsoft.com/office/drawing/2010/main" val="0"/>
                              </a:ext>
                            </a:extLst>
                          </a:blip>
                          <a:stretch>
                            <a:fillRect/>
                          </a:stretch>
                        </pic:blipFill>
                        <pic:spPr>
                          <a:xfrm>
                            <a:off x="0" y="0"/>
                            <a:ext cx="1393371" cy="1021491"/>
                          </a:xfrm>
                          <a:prstGeom prst="rect">
                            <a:avLst/>
                          </a:prstGeom>
                        </pic:spPr>
                      </pic:pic>
                    </a:graphicData>
                  </a:graphic>
                </wp:inline>
              </w:drawing>
            </w:r>
          </w:p>
          <w:p w:rsidR="00814520" w:rsidRPr="00620B7F" w:rsidRDefault="00814520" w:rsidP="00814520">
            <w:pPr>
              <w:rPr>
                <w:rFonts w:asciiTheme="minorHAnsi" w:hAnsiTheme="minorHAnsi"/>
                <w:iCs/>
                <w:sz w:val="20"/>
                <w:szCs w:val="20"/>
              </w:rPr>
            </w:pPr>
            <w:proofErr w:type="spellStart"/>
            <w:r w:rsidRPr="00620B7F">
              <w:rPr>
                <w:rFonts w:asciiTheme="minorHAnsi" w:hAnsiTheme="minorHAnsi"/>
                <w:iCs/>
                <w:sz w:val="20"/>
                <w:szCs w:val="20"/>
              </w:rPr>
              <w:t>Mol</w:t>
            </w:r>
            <w:proofErr w:type="spellEnd"/>
            <w:r w:rsidRPr="00620B7F">
              <w:rPr>
                <w:rFonts w:asciiTheme="minorHAnsi" w:hAnsiTheme="minorHAnsi"/>
                <w:iCs/>
                <w:sz w:val="20"/>
                <w:szCs w:val="20"/>
              </w:rPr>
              <w:t xml:space="preserve"> </w:t>
            </w:r>
            <w:proofErr w:type="spellStart"/>
            <w:r w:rsidRPr="00620B7F">
              <w:rPr>
                <w:rFonts w:asciiTheme="minorHAnsi" w:hAnsiTheme="minorHAnsi"/>
                <w:iCs/>
                <w:sz w:val="20"/>
                <w:szCs w:val="20"/>
              </w:rPr>
              <w:t>Wt</w:t>
            </w:r>
            <w:proofErr w:type="spellEnd"/>
            <w:r w:rsidRPr="00620B7F">
              <w:rPr>
                <w:rFonts w:asciiTheme="minorHAnsi" w:hAnsiTheme="minorHAnsi"/>
                <w:iCs/>
                <w:sz w:val="20"/>
                <w:szCs w:val="20"/>
              </w:rPr>
              <w:t xml:space="preserve"> </w:t>
            </w:r>
            <w:r>
              <w:rPr>
                <w:rFonts w:asciiTheme="minorHAnsi" w:hAnsiTheme="minorHAnsi"/>
                <w:iCs/>
                <w:sz w:val="20"/>
                <w:szCs w:val="20"/>
              </w:rPr>
              <w:t>288.435 g/</w:t>
            </w:r>
            <w:proofErr w:type="spellStart"/>
            <w:r>
              <w:rPr>
                <w:rFonts w:asciiTheme="minorHAnsi" w:hAnsiTheme="minorHAnsi"/>
                <w:iCs/>
                <w:sz w:val="20"/>
                <w:szCs w:val="20"/>
              </w:rPr>
              <w:t>mol</w:t>
            </w:r>
            <w:proofErr w:type="spellEnd"/>
          </w:p>
        </w:tc>
      </w:tr>
      <w:tr w:rsidR="00814520" w:rsidRPr="009935B5" w:rsidTr="004E18B9">
        <w:tc>
          <w:tcPr>
            <w:tcW w:w="3402" w:type="dxa"/>
          </w:tcPr>
          <w:p w:rsidR="00814520" w:rsidRPr="00AB0CF9" w:rsidRDefault="00814520" w:rsidP="00814520">
            <w:pPr>
              <w:spacing w:before="120" w:after="120"/>
              <w:rPr>
                <w:sz w:val="20"/>
                <w:szCs w:val="20"/>
              </w:rPr>
            </w:pPr>
            <w:r w:rsidRPr="00AB0CF9">
              <w:rPr>
                <w:sz w:val="20"/>
                <w:szCs w:val="20"/>
              </w:rPr>
              <w:t>Molecular formula</w:t>
            </w:r>
          </w:p>
        </w:tc>
        <w:tc>
          <w:tcPr>
            <w:tcW w:w="5387" w:type="dxa"/>
          </w:tcPr>
          <w:p w:rsidR="00814520" w:rsidRPr="00EC3D9A" w:rsidRDefault="00814520" w:rsidP="00814520">
            <w:pPr>
              <w:rPr>
                <w:rFonts w:asciiTheme="minorHAnsi" w:hAnsiTheme="minorHAnsi"/>
                <w:noProof/>
                <w:sz w:val="20"/>
                <w:szCs w:val="20"/>
              </w:rPr>
            </w:pPr>
            <w:r w:rsidRPr="00EC3D9A">
              <w:rPr>
                <w:rFonts w:asciiTheme="minorHAnsi" w:hAnsiTheme="minorHAnsi"/>
                <w:sz w:val="20"/>
                <w:szCs w:val="20"/>
              </w:rPr>
              <w:t>C</w:t>
            </w:r>
            <w:r w:rsidRPr="00EC3D9A">
              <w:rPr>
                <w:rFonts w:asciiTheme="minorHAnsi" w:hAnsiTheme="minorHAnsi"/>
                <w:sz w:val="20"/>
                <w:szCs w:val="20"/>
                <w:vertAlign w:val="subscript"/>
              </w:rPr>
              <w:t>18</w:t>
            </w:r>
            <w:r w:rsidRPr="00EC3D9A">
              <w:rPr>
                <w:rFonts w:asciiTheme="minorHAnsi" w:hAnsiTheme="minorHAnsi"/>
                <w:sz w:val="20"/>
                <w:szCs w:val="20"/>
              </w:rPr>
              <w:t>H</w:t>
            </w:r>
            <w:r w:rsidRPr="00EC3D9A">
              <w:rPr>
                <w:rFonts w:asciiTheme="minorHAnsi" w:hAnsiTheme="minorHAnsi"/>
                <w:sz w:val="20"/>
                <w:szCs w:val="20"/>
                <w:vertAlign w:val="subscript"/>
              </w:rPr>
              <w:t>28</w:t>
            </w:r>
            <w:r w:rsidRPr="00EC3D9A">
              <w:rPr>
                <w:rFonts w:asciiTheme="minorHAnsi" w:hAnsiTheme="minorHAnsi"/>
                <w:sz w:val="20"/>
                <w:szCs w:val="20"/>
              </w:rPr>
              <w:t>N</w:t>
            </w:r>
            <w:r w:rsidRPr="00EC3D9A">
              <w:rPr>
                <w:rFonts w:asciiTheme="minorHAnsi" w:hAnsiTheme="minorHAnsi"/>
                <w:sz w:val="20"/>
                <w:szCs w:val="20"/>
                <w:vertAlign w:val="subscript"/>
              </w:rPr>
              <w:t>2</w:t>
            </w:r>
            <w:r w:rsidRPr="00EC3D9A">
              <w:rPr>
                <w:rFonts w:asciiTheme="minorHAnsi" w:hAnsiTheme="minorHAnsi"/>
                <w:sz w:val="20"/>
                <w:szCs w:val="20"/>
              </w:rPr>
              <w:t>O</w:t>
            </w:r>
          </w:p>
        </w:tc>
      </w:tr>
      <w:tr w:rsidR="00814520" w:rsidRPr="009935B5" w:rsidTr="004E18B9">
        <w:tc>
          <w:tcPr>
            <w:tcW w:w="3402" w:type="dxa"/>
          </w:tcPr>
          <w:p w:rsidR="00814520" w:rsidRPr="00AB0CF9" w:rsidRDefault="00814520" w:rsidP="00814520">
            <w:pPr>
              <w:spacing w:before="120" w:after="120"/>
              <w:rPr>
                <w:sz w:val="20"/>
                <w:szCs w:val="20"/>
              </w:rPr>
            </w:pPr>
            <w:r w:rsidRPr="00AB0CF9">
              <w:rPr>
                <w:sz w:val="20"/>
                <w:szCs w:val="20"/>
              </w:rPr>
              <w:t>CAS numbers</w:t>
            </w:r>
          </w:p>
        </w:tc>
        <w:tc>
          <w:tcPr>
            <w:tcW w:w="5387" w:type="dxa"/>
          </w:tcPr>
          <w:p w:rsidR="00814520" w:rsidRPr="00EC3D9A" w:rsidRDefault="00814520" w:rsidP="004E18B9">
            <w:pPr>
              <w:tabs>
                <w:tab w:val="left" w:pos="4433"/>
              </w:tabs>
              <w:rPr>
                <w:rFonts w:asciiTheme="minorHAnsi" w:hAnsiTheme="minorHAnsi"/>
                <w:sz w:val="20"/>
                <w:szCs w:val="20"/>
              </w:rPr>
            </w:pPr>
            <w:r>
              <w:rPr>
                <w:rFonts w:asciiTheme="minorHAnsi" w:hAnsiTheme="minorHAnsi"/>
                <w:sz w:val="20"/>
                <w:szCs w:val="20"/>
              </w:rPr>
              <w:t xml:space="preserve">2180-92-9 </w:t>
            </w:r>
          </w:p>
        </w:tc>
      </w:tr>
      <w:tr w:rsidR="00814520" w:rsidRPr="009935B5" w:rsidTr="004E18B9">
        <w:tc>
          <w:tcPr>
            <w:tcW w:w="3402" w:type="dxa"/>
          </w:tcPr>
          <w:p w:rsidR="00814520" w:rsidRPr="00AB0CF9" w:rsidRDefault="00814520" w:rsidP="00814520">
            <w:pPr>
              <w:rPr>
                <w:sz w:val="20"/>
                <w:szCs w:val="20"/>
              </w:rPr>
            </w:pPr>
            <w:r w:rsidRPr="00AF0089">
              <w:rPr>
                <w:sz w:val="20"/>
                <w:szCs w:val="20"/>
              </w:rPr>
              <w:t>IUPAC and other names</w:t>
            </w:r>
          </w:p>
        </w:tc>
        <w:tc>
          <w:tcPr>
            <w:tcW w:w="5387" w:type="dxa"/>
          </w:tcPr>
          <w:p w:rsidR="00814520" w:rsidRPr="00AF0089" w:rsidRDefault="00814520" w:rsidP="00814520">
            <w:pPr>
              <w:rPr>
                <w:sz w:val="20"/>
                <w:szCs w:val="20"/>
              </w:rPr>
            </w:pPr>
            <w:r w:rsidRPr="00AF0089">
              <w:rPr>
                <w:sz w:val="20"/>
                <w:szCs w:val="20"/>
              </w:rPr>
              <w:t>1-butyl-N-(2,6-dimethylphenyl)piperidine-2-carboxamide;</w:t>
            </w:r>
          </w:p>
          <w:p w:rsidR="00814520" w:rsidRPr="00AF0089" w:rsidRDefault="00814520" w:rsidP="00814520">
            <w:pPr>
              <w:rPr>
                <w:sz w:val="20"/>
                <w:szCs w:val="20"/>
              </w:rPr>
            </w:pPr>
            <w:r w:rsidRPr="00AF0089">
              <w:rPr>
                <w:sz w:val="20"/>
                <w:szCs w:val="20"/>
              </w:rPr>
              <w:t>1-Butyl-2',6'-pipecoloxylidide</w:t>
            </w:r>
          </w:p>
        </w:tc>
      </w:tr>
    </w:tbl>
    <w:p w:rsidR="00814520" w:rsidRPr="000B7E36" w:rsidRDefault="00814520" w:rsidP="003003D0">
      <w:pPr>
        <w:pStyle w:val="TableTitle0"/>
        <w:keepNext/>
        <w:rPr>
          <w:bCs/>
        </w:rPr>
      </w:pPr>
      <w:r w:rsidRPr="000B7E36">
        <w:lastRenderedPageBreak/>
        <w:t xml:space="preserve">Table </w:t>
      </w:r>
      <w:r>
        <w:rPr>
          <w:bCs/>
        </w:rPr>
        <w:t>2</w:t>
      </w:r>
      <w:r w:rsidRPr="000B7E36">
        <w:t xml:space="preserve">: Acute toxicity end-points for product: </w:t>
      </w:r>
      <w:r w:rsidRPr="00D9053D">
        <w:rPr>
          <w:highlight w:val="black"/>
        </w:rPr>
        <w:t>XXXXXX</w:t>
      </w:r>
      <w:r>
        <w:t xml:space="preserve"> containing 40.6 g/L </w:t>
      </w:r>
      <w:proofErr w:type="spellStart"/>
      <w:r w:rsidRPr="000B7E36">
        <w:t>idocaine</w:t>
      </w:r>
      <w:proofErr w:type="spellEnd"/>
      <w:r w:rsidRPr="000B7E36">
        <w:t xml:space="preserve"> (as hydrochloride), 4.2 g/L bupivacaine (as hydrochloride), 24.8 mg/L adrenaline (as acid tartrate) and 5.0 g/L </w:t>
      </w:r>
      <w:proofErr w:type="spellStart"/>
      <w:r w:rsidRPr="000B7E36">
        <w:t>cetrimide</w:t>
      </w:r>
      <w:proofErr w:type="spellEnd"/>
    </w:p>
    <w:tbl>
      <w:tblPr>
        <w:tblStyle w:val="TableTGAblue"/>
        <w:tblW w:w="5000" w:type="pct"/>
        <w:tblLook w:val="04A0" w:firstRow="1" w:lastRow="0" w:firstColumn="1" w:lastColumn="0" w:noHBand="0" w:noVBand="1"/>
      </w:tblPr>
      <w:tblGrid>
        <w:gridCol w:w="4360"/>
        <w:gridCol w:w="1276"/>
        <w:gridCol w:w="2086"/>
        <w:gridCol w:w="1564"/>
      </w:tblGrid>
      <w:tr w:rsidR="00814520" w:rsidRPr="004C5DB6" w:rsidTr="003003D0">
        <w:trPr>
          <w:cnfStyle w:val="100000000000" w:firstRow="1" w:lastRow="0" w:firstColumn="0" w:lastColumn="0" w:oddVBand="0" w:evenVBand="0" w:oddHBand="0" w:evenHBand="0" w:firstRowFirstColumn="0" w:firstRowLastColumn="0" w:lastRowFirstColumn="0" w:lastRowLastColumn="0"/>
        </w:trPr>
        <w:tc>
          <w:tcPr>
            <w:tcW w:w="2348" w:type="pct"/>
          </w:tcPr>
          <w:p w:rsidR="00814520" w:rsidRPr="003003D0" w:rsidRDefault="00814520" w:rsidP="003003D0">
            <w:pPr>
              <w:pStyle w:val="TableHeading"/>
              <w:rPr>
                <w:b/>
                <w:sz w:val="20"/>
                <w:szCs w:val="20"/>
              </w:rPr>
            </w:pPr>
            <w:r w:rsidRPr="003003D0">
              <w:rPr>
                <w:b/>
                <w:sz w:val="20"/>
                <w:szCs w:val="20"/>
              </w:rPr>
              <w:t>Toxicity</w:t>
            </w:r>
          </w:p>
        </w:tc>
        <w:tc>
          <w:tcPr>
            <w:tcW w:w="687" w:type="pct"/>
          </w:tcPr>
          <w:p w:rsidR="00814520" w:rsidRPr="003003D0" w:rsidRDefault="00814520" w:rsidP="003003D0">
            <w:pPr>
              <w:pStyle w:val="TableHeading"/>
              <w:rPr>
                <w:b/>
                <w:sz w:val="20"/>
                <w:szCs w:val="20"/>
              </w:rPr>
            </w:pPr>
            <w:r w:rsidRPr="003003D0">
              <w:rPr>
                <w:b/>
                <w:sz w:val="20"/>
                <w:szCs w:val="20"/>
              </w:rPr>
              <w:t>Species</w:t>
            </w:r>
          </w:p>
        </w:tc>
        <w:tc>
          <w:tcPr>
            <w:tcW w:w="1123" w:type="pct"/>
          </w:tcPr>
          <w:p w:rsidR="00814520" w:rsidRPr="003003D0" w:rsidRDefault="00814520" w:rsidP="003003D0">
            <w:pPr>
              <w:pStyle w:val="TableHeading"/>
              <w:rPr>
                <w:b/>
                <w:sz w:val="20"/>
                <w:szCs w:val="20"/>
              </w:rPr>
            </w:pPr>
            <w:r w:rsidRPr="003003D0">
              <w:rPr>
                <w:b/>
                <w:sz w:val="20"/>
                <w:szCs w:val="20"/>
              </w:rPr>
              <w:t>Tri-</w:t>
            </w:r>
            <w:proofErr w:type="spellStart"/>
            <w:r w:rsidRPr="003003D0">
              <w:rPr>
                <w:b/>
                <w:sz w:val="20"/>
                <w:szCs w:val="20"/>
              </w:rPr>
              <w:t>solfen</w:t>
            </w:r>
            <w:proofErr w:type="spellEnd"/>
            <w:r w:rsidRPr="003003D0">
              <w:rPr>
                <w:b/>
                <w:sz w:val="20"/>
                <w:szCs w:val="20"/>
              </w:rPr>
              <w:t>*</w:t>
            </w:r>
          </w:p>
        </w:tc>
        <w:tc>
          <w:tcPr>
            <w:tcW w:w="842" w:type="pct"/>
          </w:tcPr>
          <w:p w:rsidR="00814520" w:rsidRPr="003003D0" w:rsidRDefault="00814520" w:rsidP="003003D0">
            <w:pPr>
              <w:pStyle w:val="TableHeading"/>
              <w:rPr>
                <w:b/>
                <w:sz w:val="20"/>
                <w:szCs w:val="20"/>
              </w:rPr>
            </w:pPr>
            <w:r w:rsidRPr="003003D0">
              <w:rPr>
                <w:b/>
                <w:sz w:val="20"/>
                <w:szCs w:val="20"/>
              </w:rPr>
              <w:t>SPF (2018) Classification</w:t>
            </w:r>
            <w:r w:rsidRPr="00AC68E2">
              <w:rPr>
                <w:rStyle w:val="FootnoteReference"/>
              </w:rPr>
              <w:footnoteReference w:id="5"/>
            </w:r>
          </w:p>
        </w:tc>
      </w:tr>
      <w:tr w:rsidR="00814520" w:rsidRPr="00345DA2" w:rsidTr="003003D0">
        <w:tc>
          <w:tcPr>
            <w:tcW w:w="2348" w:type="pct"/>
          </w:tcPr>
          <w:p w:rsidR="00814520" w:rsidRPr="004C5DB6" w:rsidRDefault="00814520" w:rsidP="00814520">
            <w:pPr>
              <w:spacing w:before="120" w:after="120"/>
              <w:rPr>
                <w:sz w:val="20"/>
                <w:szCs w:val="20"/>
              </w:rPr>
            </w:pPr>
            <w:r w:rsidRPr="004C5DB6">
              <w:rPr>
                <w:sz w:val="20"/>
                <w:szCs w:val="20"/>
              </w:rPr>
              <w:t>Acute oral toxicity LD</w:t>
            </w:r>
            <w:r w:rsidRPr="004C5DB6">
              <w:rPr>
                <w:sz w:val="20"/>
                <w:szCs w:val="20"/>
                <w:vertAlign w:val="subscript"/>
              </w:rPr>
              <w:t>50</w:t>
            </w:r>
            <w:r w:rsidRPr="004C5DB6">
              <w:rPr>
                <w:sz w:val="20"/>
                <w:szCs w:val="20"/>
              </w:rPr>
              <w:t xml:space="preserve"> (mg/kg </w:t>
            </w:r>
            <w:proofErr w:type="spellStart"/>
            <w:r w:rsidRPr="004C5DB6">
              <w:rPr>
                <w:sz w:val="20"/>
                <w:szCs w:val="20"/>
              </w:rPr>
              <w:t>bw</w:t>
            </w:r>
            <w:proofErr w:type="spellEnd"/>
            <w:r w:rsidRPr="004C5DB6">
              <w:rPr>
                <w:sz w:val="20"/>
                <w:szCs w:val="20"/>
              </w:rPr>
              <w:t>)</w:t>
            </w:r>
          </w:p>
        </w:tc>
        <w:tc>
          <w:tcPr>
            <w:tcW w:w="687" w:type="pct"/>
          </w:tcPr>
          <w:p w:rsidR="00814520" w:rsidRPr="004C5DB6" w:rsidRDefault="00814520" w:rsidP="00814520">
            <w:pPr>
              <w:spacing w:before="120" w:after="120"/>
              <w:rPr>
                <w:sz w:val="20"/>
                <w:szCs w:val="20"/>
                <w:lang w:eastAsia="en-US"/>
              </w:rPr>
            </w:pPr>
            <w:r>
              <w:rPr>
                <w:sz w:val="20"/>
                <w:szCs w:val="20"/>
                <w:lang w:eastAsia="en-US"/>
              </w:rPr>
              <w:t>rats</w:t>
            </w:r>
          </w:p>
        </w:tc>
        <w:tc>
          <w:tcPr>
            <w:tcW w:w="1123" w:type="pct"/>
          </w:tcPr>
          <w:p w:rsidR="00814520" w:rsidRPr="004C5DB6" w:rsidRDefault="00814520" w:rsidP="00814520">
            <w:pPr>
              <w:spacing w:before="120" w:after="120"/>
              <w:jc w:val="center"/>
              <w:rPr>
                <w:sz w:val="20"/>
              </w:rPr>
            </w:pPr>
            <w:r>
              <w:rPr>
                <w:sz w:val="20"/>
              </w:rPr>
              <w:t>Low</w:t>
            </w:r>
          </w:p>
        </w:tc>
        <w:tc>
          <w:tcPr>
            <w:tcW w:w="842" w:type="pct"/>
          </w:tcPr>
          <w:p w:rsidR="00814520" w:rsidRPr="004C5DB6" w:rsidRDefault="00814520" w:rsidP="00814520">
            <w:pPr>
              <w:spacing w:before="120" w:after="120"/>
              <w:jc w:val="center"/>
              <w:rPr>
                <w:sz w:val="20"/>
                <w:szCs w:val="20"/>
              </w:rPr>
            </w:pPr>
            <w:r>
              <w:rPr>
                <w:sz w:val="20"/>
                <w:szCs w:val="20"/>
              </w:rPr>
              <w:t>S5</w:t>
            </w:r>
          </w:p>
        </w:tc>
      </w:tr>
      <w:tr w:rsidR="00814520" w:rsidRPr="00345DA2" w:rsidTr="003003D0">
        <w:tc>
          <w:tcPr>
            <w:tcW w:w="2348" w:type="pct"/>
          </w:tcPr>
          <w:p w:rsidR="00814520" w:rsidRPr="004C5DB6" w:rsidRDefault="00814520" w:rsidP="00814520">
            <w:pPr>
              <w:spacing w:before="120" w:after="120"/>
              <w:rPr>
                <w:sz w:val="20"/>
                <w:szCs w:val="20"/>
              </w:rPr>
            </w:pPr>
            <w:r w:rsidRPr="004C5DB6">
              <w:rPr>
                <w:sz w:val="20"/>
                <w:szCs w:val="20"/>
              </w:rPr>
              <w:t>Acute dermal toxicity LD</w:t>
            </w:r>
            <w:r w:rsidRPr="004C5DB6">
              <w:rPr>
                <w:sz w:val="20"/>
                <w:szCs w:val="20"/>
                <w:vertAlign w:val="subscript"/>
              </w:rPr>
              <w:t>50</w:t>
            </w:r>
            <w:r w:rsidRPr="004C5DB6">
              <w:rPr>
                <w:sz w:val="20"/>
                <w:szCs w:val="20"/>
              </w:rPr>
              <w:t xml:space="preserve"> (mg/kg </w:t>
            </w:r>
            <w:proofErr w:type="spellStart"/>
            <w:r w:rsidRPr="004C5DB6">
              <w:rPr>
                <w:sz w:val="20"/>
                <w:szCs w:val="20"/>
              </w:rPr>
              <w:t>bw</w:t>
            </w:r>
            <w:proofErr w:type="spellEnd"/>
            <w:r w:rsidRPr="004C5DB6">
              <w:rPr>
                <w:sz w:val="20"/>
                <w:szCs w:val="20"/>
              </w:rPr>
              <w:t>)</w:t>
            </w:r>
          </w:p>
        </w:tc>
        <w:tc>
          <w:tcPr>
            <w:tcW w:w="687" w:type="pct"/>
          </w:tcPr>
          <w:p w:rsidR="00814520" w:rsidRPr="004C5DB6" w:rsidRDefault="00814520" w:rsidP="00814520">
            <w:pPr>
              <w:spacing w:before="120" w:after="120"/>
              <w:rPr>
                <w:sz w:val="20"/>
                <w:szCs w:val="20"/>
              </w:rPr>
            </w:pPr>
            <w:r>
              <w:rPr>
                <w:sz w:val="20"/>
                <w:szCs w:val="20"/>
              </w:rPr>
              <w:t>rats</w:t>
            </w:r>
          </w:p>
        </w:tc>
        <w:tc>
          <w:tcPr>
            <w:tcW w:w="1123" w:type="pct"/>
          </w:tcPr>
          <w:p w:rsidR="00814520" w:rsidRPr="004C5DB6" w:rsidRDefault="00814520" w:rsidP="00814520">
            <w:pPr>
              <w:spacing w:before="120" w:after="120"/>
              <w:jc w:val="center"/>
              <w:rPr>
                <w:sz w:val="20"/>
              </w:rPr>
            </w:pPr>
            <w:r>
              <w:rPr>
                <w:sz w:val="20"/>
              </w:rPr>
              <w:t>Low</w:t>
            </w:r>
          </w:p>
        </w:tc>
        <w:tc>
          <w:tcPr>
            <w:tcW w:w="842" w:type="pct"/>
          </w:tcPr>
          <w:p w:rsidR="00814520" w:rsidRPr="004C5DB6" w:rsidRDefault="00814520" w:rsidP="00814520">
            <w:pPr>
              <w:spacing w:before="120" w:after="120"/>
              <w:jc w:val="center"/>
              <w:rPr>
                <w:sz w:val="20"/>
                <w:szCs w:val="20"/>
              </w:rPr>
            </w:pPr>
            <w:r>
              <w:rPr>
                <w:sz w:val="20"/>
                <w:szCs w:val="20"/>
              </w:rPr>
              <w:t>S5</w:t>
            </w:r>
          </w:p>
        </w:tc>
      </w:tr>
      <w:tr w:rsidR="00814520" w:rsidRPr="00345DA2" w:rsidTr="003003D0">
        <w:tc>
          <w:tcPr>
            <w:tcW w:w="2348" w:type="pct"/>
          </w:tcPr>
          <w:p w:rsidR="00814520" w:rsidRPr="004C5DB6" w:rsidRDefault="00814520" w:rsidP="00814520">
            <w:pPr>
              <w:spacing w:before="120" w:after="120"/>
              <w:rPr>
                <w:sz w:val="20"/>
                <w:szCs w:val="20"/>
              </w:rPr>
            </w:pPr>
            <w:r w:rsidRPr="004C5DB6">
              <w:rPr>
                <w:sz w:val="20"/>
                <w:szCs w:val="20"/>
              </w:rPr>
              <w:t>Acute inhalational toxicity LC</w:t>
            </w:r>
            <w:r w:rsidRPr="004C5DB6">
              <w:rPr>
                <w:sz w:val="20"/>
                <w:szCs w:val="20"/>
                <w:vertAlign w:val="subscript"/>
              </w:rPr>
              <w:t>50</w:t>
            </w:r>
            <w:r w:rsidRPr="004C5DB6">
              <w:rPr>
                <w:sz w:val="20"/>
                <w:szCs w:val="20"/>
              </w:rPr>
              <w:t xml:space="preserve"> (mg/m</w:t>
            </w:r>
            <w:r w:rsidRPr="004C5DB6">
              <w:rPr>
                <w:sz w:val="20"/>
                <w:szCs w:val="20"/>
                <w:vertAlign w:val="superscript"/>
              </w:rPr>
              <w:t>3</w:t>
            </w:r>
            <w:r w:rsidR="003003D0">
              <w:rPr>
                <w:sz w:val="20"/>
                <w:szCs w:val="20"/>
              </w:rPr>
              <w:t>/4</w:t>
            </w:r>
            <w:r w:rsidRPr="004C5DB6">
              <w:rPr>
                <w:sz w:val="20"/>
                <w:szCs w:val="20"/>
              </w:rPr>
              <w:t>h)</w:t>
            </w:r>
          </w:p>
        </w:tc>
        <w:tc>
          <w:tcPr>
            <w:tcW w:w="687" w:type="pct"/>
          </w:tcPr>
          <w:p w:rsidR="00814520" w:rsidRPr="004C5DB6" w:rsidRDefault="00814520" w:rsidP="00814520">
            <w:pPr>
              <w:spacing w:before="120" w:after="120"/>
              <w:rPr>
                <w:sz w:val="20"/>
                <w:szCs w:val="20"/>
              </w:rPr>
            </w:pPr>
            <w:r>
              <w:rPr>
                <w:sz w:val="20"/>
                <w:szCs w:val="20"/>
              </w:rPr>
              <w:t>N/A</w:t>
            </w:r>
          </w:p>
        </w:tc>
        <w:tc>
          <w:tcPr>
            <w:tcW w:w="1123" w:type="pct"/>
          </w:tcPr>
          <w:p w:rsidR="00814520" w:rsidRPr="004C5DB6" w:rsidRDefault="00814520" w:rsidP="00814520">
            <w:pPr>
              <w:spacing w:before="120" w:after="120"/>
              <w:jc w:val="center"/>
              <w:rPr>
                <w:sz w:val="20"/>
              </w:rPr>
            </w:pPr>
            <w:r>
              <w:rPr>
                <w:sz w:val="20"/>
              </w:rPr>
              <w:t>No data</w:t>
            </w:r>
          </w:p>
        </w:tc>
        <w:tc>
          <w:tcPr>
            <w:tcW w:w="842" w:type="pct"/>
          </w:tcPr>
          <w:p w:rsidR="00814520" w:rsidRPr="004C5DB6" w:rsidRDefault="00814520" w:rsidP="00814520">
            <w:pPr>
              <w:spacing w:before="120" w:after="120"/>
              <w:jc w:val="center"/>
              <w:rPr>
                <w:sz w:val="20"/>
                <w:szCs w:val="20"/>
              </w:rPr>
            </w:pPr>
            <w:r>
              <w:rPr>
                <w:sz w:val="20"/>
                <w:szCs w:val="20"/>
              </w:rPr>
              <w:t>-</w:t>
            </w:r>
          </w:p>
        </w:tc>
      </w:tr>
      <w:tr w:rsidR="00814520" w:rsidRPr="00345DA2" w:rsidTr="003003D0">
        <w:tc>
          <w:tcPr>
            <w:tcW w:w="2348" w:type="pct"/>
          </w:tcPr>
          <w:p w:rsidR="00814520" w:rsidRPr="004C5DB6" w:rsidRDefault="00814520" w:rsidP="00814520">
            <w:pPr>
              <w:spacing w:before="120" w:after="120"/>
              <w:rPr>
                <w:sz w:val="20"/>
                <w:szCs w:val="20"/>
              </w:rPr>
            </w:pPr>
            <w:r w:rsidRPr="004C5DB6">
              <w:rPr>
                <w:sz w:val="20"/>
                <w:szCs w:val="20"/>
              </w:rPr>
              <w:t>Skin irritation</w:t>
            </w:r>
          </w:p>
        </w:tc>
        <w:tc>
          <w:tcPr>
            <w:tcW w:w="687" w:type="pct"/>
          </w:tcPr>
          <w:p w:rsidR="00814520" w:rsidRPr="004C5DB6" w:rsidRDefault="00814520" w:rsidP="00814520">
            <w:pPr>
              <w:spacing w:before="120" w:after="120"/>
              <w:rPr>
                <w:sz w:val="20"/>
                <w:szCs w:val="20"/>
              </w:rPr>
            </w:pPr>
            <w:r>
              <w:rPr>
                <w:sz w:val="20"/>
                <w:szCs w:val="20"/>
              </w:rPr>
              <w:t>N/A</w:t>
            </w:r>
          </w:p>
        </w:tc>
        <w:tc>
          <w:tcPr>
            <w:tcW w:w="1123" w:type="pct"/>
          </w:tcPr>
          <w:p w:rsidR="00814520" w:rsidRPr="004C5DB6" w:rsidRDefault="00814520" w:rsidP="00814520">
            <w:pPr>
              <w:spacing w:before="120" w:after="120"/>
              <w:jc w:val="center"/>
              <w:rPr>
                <w:sz w:val="20"/>
                <w:szCs w:val="20"/>
              </w:rPr>
            </w:pPr>
            <w:r>
              <w:rPr>
                <w:sz w:val="20"/>
                <w:szCs w:val="20"/>
              </w:rPr>
              <w:t>Slight</w:t>
            </w:r>
          </w:p>
        </w:tc>
        <w:tc>
          <w:tcPr>
            <w:tcW w:w="842" w:type="pct"/>
          </w:tcPr>
          <w:p w:rsidR="00814520" w:rsidRPr="004C5DB6" w:rsidRDefault="00814520" w:rsidP="00814520">
            <w:pPr>
              <w:spacing w:before="120" w:after="120"/>
              <w:jc w:val="center"/>
              <w:rPr>
                <w:sz w:val="20"/>
                <w:szCs w:val="20"/>
              </w:rPr>
            </w:pPr>
            <w:r>
              <w:rPr>
                <w:sz w:val="20"/>
                <w:szCs w:val="20"/>
              </w:rPr>
              <w:t>S5</w:t>
            </w:r>
          </w:p>
        </w:tc>
      </w:tr>
      <w:tr w:rsidR="00814520" w:rsidRPr="00345DA2" w:rsidTr="003003D0">
        <w:tc>
          <w:tcPr>
            <w:tcW w:w="2348" w:type="pct"/>
          </w:tcPr>
          <w:p w:rsidR="00814520" w:rsidRPr="004C5DB6" w:rsidRDefault="003003D0" w:rsidP="00814520">
            <w:pPr>
              <w:spacing w:before="120" w:after="120"/>
              <w:rPr>
                <w:sz w:val="20"/>
                <w:szCs w:val="20"/>
              </w:rPr>
            </w:pPr>
            <w:r>
              <w:rPr>
                <w:sz w:val="20"/>
                <w:szCs w:val="20"/>
              </w:rPr>
              <w:t>Eye irritation</w:t>
            </w:r>
          </w:p>
        </w:tc>
        <w:tc>
          <w:tcPr>
            <w:tcW w:w="687" w:type="pct"/>
          </w:tcPr>
          <w:p w:rsidR="00814520" w:rsidRPr="004C5DB6" w:rsidRDefault="00814520" w:rsidP="00814520">
            <w:pPr>
              <w:spacing w:before="120" w:after="120"/>
              <w:rPr>
                <w:sz w:val="20"/>
                <w:szCs w:val="20"/>
              </w:rPr>
            </w:pPr>
            <w:r>
              <w:rPr>
                <w:sz w:val="20"/>
                <w:szCs w:val="20"/>
              </w:rPr>
              <w:t>N/A</w:t>
            </w:r>
          </w:p>
        </w:tc>
        <w:tc>
          <w:tcPr>
            <w:tcW w:w="1123" w:type="pct"/>
          </w:tcPr>
          <w:p w:rsidR="00814520" w:rsidRPr="004C5DB6" w:rsidRDefault="00814520" w:rsidP="00814520">
            <w:pPr>
              <w:spacing w:before="120" w:after="120"/>
              <w:jc w:val="center"/>
              <w:rPr>
                <w:sz w:val="20"/>
                <w:szCs w:val="20"/>
              </w:rPr>
            </w:pPr>
            <w:r>
              <w:rPr>
                <w:sz w:val="20"/>
                <w:szCs w:val="20"/>
              </w:rPr>
              <w:t>Slight</w:t>
            </w:r>
          </w:p>
        </w:tc>
        <w:tc>
          <w:tcPr>
            <w:tcW w:w="842" w:type="pct"/>
          </w:tcPr>
          <w:p w:rsidR="00814520" w:rsidRPr="004C5DB6" w:rsidRDefault="00814520" w:rsidP="00814520">
            <w:pPr>
              <w:spacing w:before="120" w:after="120"/>
              <w:jc w:val="center"/>
              <w:rPr>
                <w:sz w:val="20"/>
                <w:szCs w:val="20"/>
              </w:rPr>
            </w:pPr>
            <w:r>
              <w:rPr>
                <w:sz w:val="20"/>
                <w:szCs w:val="20"/>
              </w:rPr>
              <w:t>S5</w:t>
            </w:r>
          </w:p>
        </w:tc>
      </w:tr>
      <w:tr w:rsidR="00814520" w:rsidRPr="00345DA2" w:rsidTr="003003D0">
        <w:tc>
          <w:tcPr>
            <w:tcW w:w="2348" w:type="pct"/>
          </w:tcPr>
          <w:p w:rsidR="00814520" w:rsidRPr="004C5DB6" w:rsidRDefault="00814520" w:rsidP="00814520">
            <w:pPr>
              <w:spacing w:before="120" w:after="120"/>
              <w:rPr>
                <w:sz w:val="20"/>
                <w:szCs w:val="20"/>
              </w:rPr>
            </w:pPr>
            <w:r>
              <w:rPr>
                <w:sz w:val="20"/>
                <w:szCs w:val="20"/>
              </w:rPr>
              <w:t>Skin sensitisation</w:t>
            </w:r>
          </w:p>
        </w:tc>
        <w:tc>
          <w:tcPr>
            <w:tcW w:w="687" w:type="pct"/>
          </w:tcPr>
          <w:p w:rsidR="00814520" w:rsidRPr="004C5DB6" w:rsidRDefault="00814520" w:rsidP="00814520">
            <w:pPr>
              <w:spacing w:before="120" w:after="120"/>
              <w:rPr>
                <w:sz w:val="20"/>
                <w:szCs w:val="20"/>
              </w:rPr>
            </w:pPr>
            <w:r>
              <w:rPr>
                <w:sz w:val="20"/>
                <w:szCs w:val="20"/>
              </w:rPr>
              <w:t>-</w:t>
            </w:r>
          </w:p>
        </w:tc>
        <w:tc>
          <w:tcPr>
            <w:tcW w:w="1123" w:type="pct"/>
          </w:tcPr>
          <w:p w:rsidR="00814520" w:rsidRPr="004C5DB6" w:rsidRDefault="00814520" w:rsidP="00814520">
            <w:pPr>
              <w:spacing w:before="120" w:after="120"/>
              <w:jc w:val="center"/>
              <w:rPr>
                <w:sz w:val="20"/>
                <w:szCs w:val="20"/>
              </w:rPr>
            </w:pPr>
            <w:r>
              <w:rPr>
                <w:sz w:val="20"/>
                <w:szCs w:val="20"/>
              </w:rPr>
              <w:t>May be a sensitiser</w:t>
            </w:r>
          </w:p>
        </w:tc>
        <w:tc>
          <w:tcPr>
            <w:tcW w:w="842" w:type="pct"/>
          </w:tcPr>
          <w:p w:rsidR="00814520" w:rsidRPr="004C5DB6" w:rsidRDefault="00814520" w:rsidP="00814520">
            <w:pPr>
              <w:spacing w:before="120" w:after="120"/>
              <w:jc w:val="center"/>
              <w:rPr>
                <w:sz w:val="20"/>
                <w:szCs w:val="20"/>
              </w:rPr>
            </w:pPr>
            <w:r>
              <w:rPr>
                <w:sz w:val="20"/>
                <w:szCs w:val="20"/>
              </w:rPr>
              <w:t>S5</w:t>
            </w:r>
          </w:p>
        </w:tc>
      </w:tr>
    </w:tbl>
    <w:p w:rsidR="00814520" w:rsidRPr="00D9053D" w:rsidRDefault="00814520" w:rsidP="003003D0">
      <w:pPr>
        <w:pStyle w:val="Tabledescription"/>
        <w:rPr>
          <w:sz w:val="20"/>
        </w:rPr>
      </w:pPr>
      <w:r w:rsidRPr="00D9053D">
        <w:t>*From original product assessment by APVMA, determined by extrapolation of all actives and excipients in the formulation (under the product name</w:t>
      </w:r>
      <w:r>
        <w:t xml:space="preserve"> </w:t>
      </w:r>
      <w:r w:rsidRPr="00D9053D">
        <w:rPr>
          <w:highlight w:val="black"/>
        </w:rPr>
        <w:t>XXXXXX</w:t>
      </w:r>
      <w:r>
        <w:t>).</w:t>
      </w:r>
    </w:p>
    <w:p w:rsidR="00814520" w:rsidRPr="00AF0089" w:rsidRDefault="00814520" w:rsidP="003003D0">
      <w:r>
        <w:t>Based on its use largely as an injectable anaesthetic in humans, there are limited data available as compared with the type of toxicological profile usually available for veterinary medicines. However, bupivacaine has a long history of safety through widespread and frequent use</w:t>
      </w:r>
      <w:r w:rsidRPr="006B5A2B">
        <w:t xml:space="preserve"> in both human therapeutics and veterinary medicines. The</w:t>
      </w:r>
      <w:r>
        <w:t xml:space="preserve"> active has been considered by Poison Scheduling previously; therefore minimal detail on the toxicity profile is presented in this application.</w:t>
      </w:r>
    </w:p>
    <w:p w:rsidR="00814520" w:rsidRDefault="00814520" w:rsidP="00F42CF5">
      <w:r>
        <w:t xml:space="preserve">Bupivacaine is chemically related to lidocaine and other aminoacyl anaesthetics, sharing an amide linkage between an aromatic group and the amino or </w:t>
      </w:r>
      <w:proofErr w:type="spellStart"/>
      <w:r>
        <w:t>piperidine</w:t>
      </w:r>
      <w:proofErr w:type="spellEnd"/>
      <w:r>
        <w:t xml:space="preserve"> group. Bupivacaine has the same mode of action as lidocaine in electrically excitable tissues. It has been estimated to be about four times more potent and longer lasting than lidocaine in its local anaesthetic effects, and has been used for regional nerve blocks where a prolonged effect is required. For humans, a therapeutic range of bupivacaine has not been firmly established, with plasma concentrations varying dependent upon the amount injected and the site of administration. For example, peak serum concentrations have ranged from 1.06 to 1.25 µg/mL in infants and children, approximately 30 minutes after the administration of bupivacaine (0.5%) 2.5 mg/kg </w:t>
      </w:r>
      <w:proofErr w:type="spellStart"/>
      <w:r>
        <w:t>bw</w:t>
      </w:r>
      <w:proofErr w:type="spellEnd"/>
      <w:r>
        <w:t xml:space="preserve"> by caudal injection. On the other hand, maximum plasma concentrations </w:t>
      </w:r>
      <w:proofErr w:type="gramStart"/>
      <w:r>
        <w:t>of 0.22 to 6 µg/mL</w:t>
      </w:r>
      <w:proofErr w:type="gramEnd"/>
      <w:r>
        <w:t xml:space="preserve"> within 10 to 35 minutes of injection have been reported with the epidural administration of 10 mL of bupivacaine 0.5% in adults, or 1.7 mg/kg in children. Intravenous injection of bupivacaine is not recommended since cardiac arrest has occurred after convulsions from systemic toxicity, presumably a result of unintentional intravascular injection. Furthermore, it has been reported that injection of repeated doses of bupivacaine may cause significant increases in blood concentration with varying degrees of tolerance, but it is generally accepted that plasma concentrations </w:t>
      </w:r>
      <w:proofErr w:type="gramStart"/>
      <w:r>
        <w:t>above 4 µg/mL</w:t>
      </w:r>
      <w:proofErr w:type="gramEnd"/>
      <w:r>
        <w:t xml:space="preserve"> can be related to toxicity</w:t>
      </w:r>
      <w:r w:rsidRPr="00AC68E2">
        <w:rPr>
          <w:rStyle w:val="FootnoteReference"/>
        </w:rPr>
        <w:footnoteReference w:id="6"/>
      </w:r>
      <w:r>
        <w:t xml:space="preserve">. In an early study, iv infusion of a dose of 75 mg bupivacaine salt over 10 minutes to volunteers (mean age 25 years; mean weight 72 kg) resulted in mean arterial plasma concentrations of approximately 5 µg base/mL; no signs of </w:t>
      </w:r>
      <w:r>
        <w:lastRenderedPageBreak/>
        <w:t>toxicity were recorded in the volunteers</w:t>
      </w:r>
      <w:r w:rsidRPr="00AC68E2">
        <w:rPr>
          <w:rStyle w:val="FootnoteReference"/>
        </w:rPr>
        <w:footnoteReference w:id="7"/>
      </w:r>
      <w:r>
        <w:t xml:space="preserve">. In six rhesus monkeys, infusion of a mean of 4.4 mg/kg </w:t>
      </w:r>
      <w:proofErr w:type="spellStart"/>
      <w:proofErr w:type="gramStart"/>
      <w:r>
        <w:t>bw</w:t>
      </w:r>
      <w:proofErr w:type="spellEnd"/>
      <w:proofErr w:type="gramEnd"/>
      <w:r>
        <w:t xml:space="preserve"> (range 2.5-5.7 mg/kg </w:t>
      </w:r>
      <w:proofErr w:type="spellStart"/>
      <w:r>
        <w:t>bw</w:t>
      </w:r>
      <w:proofErr w:type="spellEnd"/>
      <w:r>
        <w:t xml:space="preserve">) bupivacaine salt resulted in seizures. Plasma concentrations </w:t>
      </w:r>
      <w:r w:rsidR="00F42CF5">
        <w:t>of 2.2-6.2 µg/mL were achieved.</w:t>
      </w:r>
    </w:p>
    <w:p w:rsidR="00814520" w:rsidRPr="002372FD" w:rsidRDefault="00F42CF5" w:rsidP="00814520">
      <w:pPr>
        <w:pStyle w:val="Heading4"/>
      </w:pPr>
      <w:bookmarkStart w:id="20" w:name="_Toc6403900"/>
      <w:bookmarkStart w:id="21" w:name="_Toc8656090"/>
      <w:r>
        <w:lastRenderedPageBreak/>
        <w:t>1</w:t>
      </w:r>
      <w:r w:rsidR="00814520">
        <w:t>.5</w:t>
      </w:r>
      <w:r w:rsidR="00814520" w:rsidRPr="006927BC">
        <w:t>.</w:t>
      </w:r>
      <w:r w:rsidR="00814520" w:rsidRPr="002372FD">
        <w:rPr>
          <w:rFonts w:cs="Arial"/>
          <w:color w:val="17365D"/>
          <w:kern w:val="32"/>
          <w:sz w:val="32"/>
          <w:szCs w:val="32"/>
          <w:lang w:val="en-US"/>
        </w:rPr>
        <w:t xml:space="preserve"> </w:t>
      </w:r>
      <w:bookmarkStart w:id="22" w:name="_Toc531346515"/>
      <w:bookmarkStart w:id="23" w:name="_Toc6302159"/>
      <w:r w:rsidR="00814520" w:rsidRPr="00A62008">
        <w:t>Lidocaine</w:t>
      </w:r>
      <w:bookmarkEnd w:id="20"/>
      <w:bookmarkEnd w:id="21"/>
      <w:bookmarkEnd w:id="22"/>
      <w:bookmarkEnd w:id="23"/>
    </w:p>
    <w:p w:rsidR="00814520" w:rsidRPr="0019029E" w:rsidRDefault="00814520" w:rsidP="00F42CF5">
      <w:pPr>
        <w:pStyle w:val="Heading5"/>
      </w:pPr>
      <w:r>
        <w:t xml:space="preserve">Delegate’s final </w:t>
      </w:r>
      <w:r w:rsidRPr="00F42CF5">
        <w:t>decision</w:t>
      </w:r>
    </w:p>
    <w:tbl>
      <w:tblPr>
        <w:tblStyle w:val="TableGrid"/>
        <w:tblW w:w="0" w:type="auto"/>
        <w:tblBorders>
          <w:top w:val="single" w:sz="12" w:space="0" w:color="002C47" w:themeColor="text1"/>
          <w:left w:val="single" w:sz="12" w:space="0" w:color="002C47" w:themeColor="text1"/>
          <w:bottom w:val="single" w:sz="12" w:space="0" w:color="002C47" w:themeColor="text1"/>
          <w:right w:val="single" w:sz="12" w:space="0" w:color="002C47" w:themeColor="text1"/>
          <w:insideH w:val="single" w:sz="12" w:space="0" w:color="002C47" w:themeColor="text1"/>
          <w:insideV w:val="single" w:sz="12" w:space="0" w:color="002C47" w:themeColor="text1"/>
        </w:tblBorders>
        <w:tblLook w:val="04A0" w:firstRow="1" w:lastRow="0" w:firstColumn="1" w:lastColumn="0" w:noHBand="0" w:noVBand="1"/>
      </w:tblPr>
      <w:tblGrid>
        <w:gridCol w:w="9286"/>
      </w:tblGrid>
      <w:tr w:rsidR="00814520" w:rsidTr="00814520">
        <w:tc>
          <w:tcPr>
            <w:tcW w:w="9286" w:type="dxa"/>
            <w:shd w:val="clear" w:color="auto" w:fill="D2EDFF" w:themeFill="text2" w:themeFillTint="1A"/>
          </w:tcPr>
          <w:p w:rsidR="00814520" w:rsidRPr="00A6563B" w:rsidRDefault="00814520" w:rsidP="00F42CF5">
            <w:pPr>
              <w:pStyle w:val="Heading6"/>
            </w:pPr>
            <w:r>
              <w:t>Final decision</w:t>
            </w:r>
          </w:p>
          <w:p w:rsidR="00814520" w:rsidRDefault="00814520" w:rsidP="00F42CF5">
            <w:pPr>
              <w:rPr>
                <w:lang w:val="en-US"/>
              </w:rPr>
            </w:pPr>
            <w:r w:rsidRPr="00C33CB0">
              <w:t>The delegate's final decision under regulation 42ZCZU</w:t>
            </w:r>
            <w:r w:rsidRPr="00C33CB0">
              <w:rPr>
                <w:bCs/>
                <w:lang w:val="en-US"/>
              </w:rPr>
              <w:t xml:space="preserve"> </w:t>
            </w:r>
            <w:r w:rsidRPr="00C33CB0">
              <w:t>of the</w:t>
            </w:r>
            <w:r w:rsidR="00F42CF5">
              <w:t xml:space="preserve"> </w:t>
            </w:r>
            <w:r w:rsidRPr="00C33CB0">
              <w:rPr>
                <w:i/>
                <w:iCs/>
              </w:rPr>
              <w:t xml:space="preserve">Therapeutic Goods Regulations 1990 </w:t>
            </w:r>
            <w:r w:rsidRPr="00C33CB0">
              <w:t>(the Regulations) is to amend the current Poisons Standard in relation to</w:t>
            </w:r>
            <w:r w:rsidR="00F42CF5">
              <w:t xml:space="preserve"> lidocaine as follows</w:t>
            </w:r>
            <w:r w:rsidR="00F42CF5">
              <w:rPr>
                <w:lang w:val="en-US"/>
              </w:rPr>
              <w:t>:</w:t>
            </w:r>
          </w:p>
          <w:p w:rsidR="00814520" w:rsidRPr="00CD40FB" w:rsidRDefault="00814520" w:rsidP="00F42CF5">
            <w:pPr>
              <w:ind w:left="426"/>
              <w:rPr>
                <w:b/>
              </w:rPr>
            </w:pPr>
            <w:r w:rsidRPr="00CD40FB">
              <w:rPr>
                <w:b/>
              </w:rPr>
              <w:t>Schedule</w:t>
            </w:r>
            <w:r>
              <w:rPr>
                <w:b/>
              </w:rPr>
              <w:t xml:space="preserve"> 5</w:t>
            </w:r>
            <w:r w:rsidRPr="00CD40FB">
              <w:rPr>
                <w:b/>
              </w:rPr>
              <w:t xml:space="preserve"> – </w:t>
            </w:r>
            <w:r>
              <w:rPr>
                <w:b/>
              </w:rPr>
              <w:t>Amend</w:t>
            </w:r>
            <w:r w:rsidRPr="00CD40FB">
              <w:rPr>
                <w:b/>
              </w:rPr>
              <w:t xml:space="preserve"> Entry</w:t>
            </w:r>
          </w:p>
          <w:p w:rsidR="00814520" w:rsidRDefault="00814520" w:rsidP="00F42CF5">
            <w:pPr>
              <w:ind w:left="426"/>
              <w:rPr>
                <w:color w:val="FF0000"/>
              </w:rPr>
            </w:pPr>
            <w:r>
              <w:t xml:space="preserve">LIDOCAINE </w:t>
            </w:r>
            <w:r w:rsidRPr="00B45D4D">
              <w:t>in aqueous gel preparations containing 4.5 per cent or less of lidocaine, for the dermal spray-on</w:t>
            </w:r>
            <w:r>
              <w:t xml:space="preserve"> </w:t>
            </w:r>
            <w:r w:rsidRPr="0023014C">
              <w:rPr>
                <w:strike/>
              </w:rPr>
              <w:t>treatment of</w:t>
            </w:r>
            <w:r w:rsidRPr="00B45D4D">
              <w:t xml:space="preserve"> </w:t>
            </w:r>
            <w:r w:rsidRPr="00B45D4D">
              <w:rPr>
                <w:color w:val="FF0000"/>
              </w:rPr>
              <w:t xml:space="preserve">administration to post-surgical </w:t>
            </w:r>
            <w:r w:rsidRPr="00B45D4D">
              <w:t>wounds associated with ‘mulesing’ of sheep</w:t>
            </w:r>
            <w:r w:rsidRPr="00B45D4D">
              <w:rPr>
                <w:color w:val="FF0000"/>
              </w:rPr>
              <w:t>; tail docking and castration of lambs; or castration and disbudding/dehorning in calves.</w:t>
            </w:r>
          </w:p>
          <w:p w:rsidR="00814520" w:rsidRDefault="00814520" w:rsidP="00F42CF5">
            <w:pPr>
              <w:ind w:left="426"/>
              <w:rPr>
                <w:b/>
              </w:rPr>
            </w:pPr>
            <w:r w:rsidRPr="00CC0DB3">
              <w:rPr>
                <w:b/>
              </w:rPr>
              <w:t>Schedule 4</w:t>
            </w:r>
          </w:p>
          <w:p w:rsidR="00814520" w:rsidRPr="001E2829" w:rsidRDefault="00814520" w:rsidP="00F42CF5">
            <w:pPr>
              <w:ind w:left="426"/>
            </w:pPr>
            <w:r>
              <w:t>LIDOCAINE</w:t>
            </w:r>
            <w:r w:rsidRPr="001E2829">
              <w:t xml:space="preserve"> </w:t>
            </w:r>
            <w:r w:rsidRPr="001E2829">
              <w:rPr>
                <w:b/>
              </w:rPr>
              <w:t>except</w:t>
            </w:r>
            <w:r w:rsidRPr="001E2829">
              <w:t>:</w:t>
            </w:r>
          </w:p>
          <w:p w:rsidR="00814520" w:rsidRPr="00CC0DB3" w:rsidRDefault="00814520" w:rsidP="00814520">
            <w:pPr>
              <w:pStyle w:val="Numberbullet2"/>
              <w:numPr>
                <w:ilvl w:val="0"/>
                <w:numId w:val="34"/>
              </w:numPr>
              <w:spacing w:before="0" w:after="120" w:line="240" w:lineRule="auto"/>
              <w:rPr>
                <w:i w:val="0"/>
              </w:rPr>
            </w:pPr>
            <w:r w:rsidRPr="00CC0DB3">
              <w:t>whe</w:t>
            </w:r>
            <w:r w:rsidR="00F42CF5">
              <w:t>n included in Schedules 2 or 5;</w:t>
            </w:r>
          </w:p>
          <w:p w:rsidR="00814520" w:rsidRPr="00CC0DB3" w:rsidRDefault="00814520" w:rsidP="00814520">
            <w:pPr>
              <w:pStyle w:val="Numberbullet2"/>
              <w:numPr>
                <w:ilvl w:val="0"/>
                <w:numId w:val="35"/>
              </w:numPr>
              <w:spacing w:before="0" w:after="120" w:line="240" w:lineRule="auto"/>
              <w:rPr>
                <w:i w:val="0"/>
              </w:rPr>
            </w:pPr>
            <w:r w:rsidRPr="00CC0DB3">
              <w:t>in dermal preparations containing 2 per cent or less of total local anaesthetic</w:t>
            </w:r>
            <w:r w:rsidR="00F42CF5">
              <w:t xml:space="preserve"> substances per dosage unit; or</w:t>
            </w:r>
          </w:p>
          <w:p w:rsidR="00814520" w:rsidRDefault="00814520" w:rsidP="00F42CF5">
            <w:pPr>
              <w:ind w:left="426"/>
              <w:rPr>
                <w:b/>
              </w:rPr>
            </w:pPr>
            <w:r w:rsidRPr="00CC0DB3">
              <w:rPr>
                <w:b/>
              </w:rPr>
              <w:t>Schedule 2</w:t>
            </w:r>
          </w:p>
          <w:p w:rsidR="00814520" w:rsidRPr="001E2829" w:rsidRDefault="00814520" w:rsidP="00F42CF5">
            <w:pPr>
              <w:ind w:left="426"/>
            </w:pPr>
            <w:r>
              <w:t xml:space="preserve">LIDOCAINE </w:t>
            </w:r>
            <w:r w:rsidRPr="001E2829">
              <w:t>in preparations for topical use other than eye drops:</w:t>
            </w:r>
          </w:p>
          <w:p w:rsidR="00814520" w:rsidRPr="00CC0DB3" w:rsidRDefault="00814520" w:rsidP="00814520">
            <w:pPr>
              <w:pStyle w:val="Numberbullet2"/>
              <w:numPr>
                <w:ilvl w:val="0"/>
                <w:numId w:val="36"/>
              </w:numPr>
              <w:spacing w:before="0" w:after="120" w:line="240" w:lineRule="auto"/>
              <w:rPr>
                <w:i w:val="0"/>
              </w:rPr>
            </w:pPr>
            <w:r w:rsidRPr="00CC0DB3">
              <w:t xml:space="preserve">containing 10 per cent or less of total local anaesthetic substances, </w:t>
            </w:r>
            <w:r w:rsidRPr="00CC0DB3">
              <w:rPr>
                <w:b/>
              </w:rPr>
              <w:t>except</w:t>
            </w:r>
            <w:r w:rsidRPr="00CC0DB3">
              <w:t xml:space="preserve"> in dermal preparations containing 2 per cent or less of total local anaesthetic substances; or</w:t>
            </w:r>
          </w:p>
          <w:p w:rsidR="00814520" w:rsidRPr="00CC0DB3" w:rsidRDefault="00814520" w:rsidP="00814520">
            <w:pPr>
              <w:pStyle w:val="Numberbullet2"/>
              <w:numPr>
                <w:ilvl w:val="0"/>
                <w:numId w:val="35"/>
              </w:numPr>
              <w:spacing w:before="0" w:after="120" w:line="240" w:lineRule="auto"/>
              <w:rPr>
                <w:i w:val="0"/>
              </w:rPr>
            </w:pPr>
            <w:proofErr w:type="gramStart"/>
            <w:r w:rsidRPr="00CC0DB3">
              <w:t>in</w:t>
            </w:r>
            <w:proofErr w:type="gramEnd"/>
            <w:r w:rsidRPr="00CC0DB3">
              <w:t xml:space="preserve"> divided preparations containing 200 mg or less of total local anaesthetic substances, </w:t>
            </w:r>
            <w:r w:rsidRPr="00CC0DB3">
              <w:rPr>
                <w:b/>
              </w:rPr>
              <w:t>except</w:t>
            </w:r>
            <w:r w:rsidRPr="00CC0DB3">
              <w:t xml:space="preserve"> in lozenges containing 30 mg or less of total local anaesthetic substances per dosage unit.</w:t>
            </w:r>
          </w:p>
          <w:p w:rsidR="00814520" w:rsidRDefault="00F42CF5" w:rsidP="00F42CF5">
            <w:pPr>
              <w:ind w:left="426"/>
              <w:rPr>
                <w:b/>
              </w:rPr>
            </w:pPr>
            <w:r>
              <w:rPr>
                <w:b/>
              </w:rPr>
              <w:t>Index</w:t>
            </w:r>
          </w:p>
          <w:p w:rsidR="00814520" w:rsidRPr="00CC0DB3" w:rsidRDefault="00814520" w:rsidP="00F42CF5">
            <w:pPr>
              <w:ind w:left="426"/>
              <w:rPr>
                <w:b/>
              </w:rPr>
            </w:pPr>
            <w:r w:rsidRPr="00CC0DB3">
              <w:rPr>
                <w:b/>
              </w:rPr>
              <w:t>LIDOCAINE</w:t>
            </w:r>
          </w:p>
          <w:p w:rsidR="00814520" w:rsidRPr="00CC0DB3" w:rsidRDefault="00814520" w:rsidP="00F42CF5">
            <w:pPr>
              <w:spacing w:before="0" w:line="240" w:lineRule="auto"/>
              <w:ind w:left="426"/>
            </w:pPr>
            <w:r w:rsidRPr="00CC0DB3">
              <w:t>Schedule 5</w:t>
            </w:r>
            <w:r w:rsidR="00F42CF5">
              <w:br/>
            </w:r>
            <w:r w:rsidRPr="00CC0DB3">
              <w:t>Schedule 4</w:t>
            </w:r>
            <w:r w:rsidRPr="00CC0DB3">
              <w:br/>
              <w:t>Schedule 2</w:t>
            </w:r>
          </w:p>
          <w:p w:rsidR="00814520" w:rsidRPr="00043015" w:rsidRDefault="00814520" w:rsidP="00814520">
            <w:pPr>
              <w:pStyle w:val="Heading6"/>
              <w:rPr>
                <w:b w:val="0"/>
                <w:i w:val="0"/>
              </w:rPr>
            </w:pPr>
            <w:r>
              <w:t xml:space="preserve">Implementation date: </w:t>
            </w:r>
            <w:r w:rsidRPr="00043015">
              <w:rPr>
                <w:b w:val="0"/>
                <w:i w:val="0"/>
              </w:rPr>
              <w:t>1 June 2019</w:t>
            </w:r>
          </w:p>
          <w:p w:rsidR="00814520" w:rsidRPr="004B2F35" w:rsidRDefault="00814520" w:rsidP="00445E77">
            <w:pPr>
              <w:pStyle w:val="Heading6"/>
            </w:pPr>
            <w:r w:rsidRPr="004B2F35">
              <w:t>Delegate’s considerations</w:t>
            </w:r>
          </w:p>
          <w:p w:rsidR="00814520" w:rsidRPr="00D464AC" w:rsidRDefault="00814520" w:rsidP="00F42CF5">
            <w:pPr>
              <w:pStyle w:val="ListBullet"/>
            </w:pPr>
            <w:r w:rsidRPr="00D464AC">
              <w:t xml:space="preserve">The </w:t>
            </w:r>
            <w:hyperlink w:anchor="_Applicant’s_scheduling_proposal_4" w:history="1">
              <w:r w:rsidRPr="00D464AC">
                <w:rPr>
                  <w:rStyle w:val="Hyperlink"/>
                </w:rPr>
                <w:t>application</w:t>
              </w:r>
            </w:hyperlink>
            <w:r w:rsidRPr="00D464AC">
              <w:t xml:space="preserve"> to amend the current Poisons Standard with respect to lidocaine</w:t>
            </w:r>
            <w:r>
              <w:t>;</w:t>
            </w:r>
          </w:p>
          <w:p w:rsidR="00814520" w:rsidRPr="00D464AC" w:rsidRDefault="00814520" w:rsidP="00F42CF5">
            <w:pPr>
              <w:pStyle w:val="ListBullet"/>
            </w:pPr>
            <w:r w:rsidRPr="00D464AC">
              <w:t xml:space="preserve">The Australian Health Ministers’ Advisory Council’s </w:t>
            </w:r>
            <w:hyperlink r:id="rId34" w:history="1">
              <w:r w:rsidRPr="00D464AC">
                <w:rPr>
                  <w:rStyle w:val="Hyperlink"/>
                </w:rPr>
                <w:t>Scheduling Policy Framework</w:t>
              </w:r>
            </w:hyperlink>
            <w:r w:rsidR="00F42CF5">
              <w:t xml:space="preserve"> (</w:t>
            </w:r>
            <w:r w:rsidR="00F42CF5" w:rsidRPr="00F42CF5">
              <w:t>SPF</w:t>
            </w:r>
            <w:r w:rsidR="00F42CF5">
              <w:t> </w:t>
            </w:r>
            <w:r w:rsidRPr="00F42CF5">
              <w:t>2018</w:t>
            </w:r>
            <w:r w:rsidRPr="00D464AC">
              <w:t>); and</w:t>
            </w:r>
          </w:p>
          <w:p w:rsidR="00814520" w:rsidRPr="00D464AC" w:rsidRDefault="00814520" w:rsidP="00F42CF5">
            <w:pPr>
              <w:pStyle w:val="ListBullet"/>
            </w:pPr>
            <w:r w:rsidRPr="00D464AC">
              <w:t xml:space="preserve">Section 52E (1) of the </w:t>
            </w:r>
            <w:r w:rsidRPr="00D464AC">
              <w:rPr>
                <w:i/>
              </w:rPr>
              <w:t>Therapeutic Goods Act 1989</w:t>
            </w:r>
            <w:r w:rsidRPr="00D464AC">
              <w:t>, in particular: (a) the risks and benefits of the use of a substance; (b) the purposes for which a substance is to be used and the extent of use of a substance; (c) the toxicity of a substance; (e) the potential for abuse of a substance; and (f) any other matters that the Secretary considers necessary to protect public health</w:t>
            </w:r>
            <w:r w:rsidR="00F42CF5">
              <w:t>.</w:t>
            </w:r>
          </w:p>
          <w:p w:rsidR="00814520" w:rsidRDefault="00814520" w:rsidP="00F42CF5">
            <w:pPr>
              <w:pStyle w:val="Heading6"/>
              <w:pageBreakBefore/>
              <w:spacing w:before="600"/>
            </w:pPr>
            <w:r w:rsidRPr="00F42CF5">
              <w:lastRenderedPageBreak/>
              <w:t>Reasons</w:t>
            </w:r>
          </w:p>
          <w:p w:rsidR="00814520" w:rsidRDefault="00814520" w:rsidP="00F42CF5">
            <w:r w:rsidRPr="00B93717">
              <w:t xml:space="preserve">The matters </w:t>
            </w:r>
            <w:r w:rsidR="00F42CF5">
              <w:t xml:space="preserve">under subsection 52E (1) of the </w:t>
            </w:r>
            <w:r w:rsidRPr="00B93717">
              <w:rPr>
                <w:i/>
                <w:iCs/>
              </w:rPr>
              <w:t>Therapeutic Goods Act 1989</w:t>
            </w:r>
            <w:r w:rsidR="00F42CF5">
              <w:rPr>
                <w:i/>
                <w:iCs/>
              </w:rPr>
              <w:t xml:space="preserve"> </w:t>
            </w:r>
            <w:r w:rsidRPr="00B93717">
              <w:t>considered relevant by the delegate for the decision include:</w:t>
            </w:r>
          </w:p>
          <w:p w:rsidR="00814520" w:rsidRDefault="00814520" w:rsidP="00F42CF5">
            <w:pPr>
              <w:pStyle w:val="Numberbullet2-52E1reasons"/>
              <w:numPr>
                <w:ilvl w:val="0"/>
                <w:numId w:val="43"/>
              </w:numPr>
            </w:pPr>
            <w:r w:rsidRPr="003B0767">
              <w:t>the risks and benefits of the use of a substance:</w:t>
            </w:r>
          </w:p>
          <w:p w:rsidR="00814520" w:rsidRDefault="00814520" w:rsidP="00F42CF5">
            <w:r w:rsidRPr="008D4B9E">
              <w:t xml:space="preserve">The existing Schedule 5 Poisons Standard entry for </w:t>
            </w:r>
            <w:r>
              <w:t>lido</w:t>
            </w:r>
            <w:r w:rsidRPr="008D4B9E">
              <w:t xml:space="preserve">caine is </w:t>
            </w:r>
            <w:r w:rsidRPr="00491B61">
              <w:t>specific for aqueous gel preparations containing 0.45 per cent or less of lidocaine for the dermal spray-on treatment of wounds associated with 'mulesing' of sheep.</w:t>
            </w:r>
          </w:p>
          <w:p w:rsidR="00814520" w:rsidRPr="003B0767" w:rsidRDefault="00814520" w:rsidP="00F42CF5">
            <w:r w:rsidRPr="008D4B9E">
              <w:t>However, since the original Schedule 5 entry was implemented, several extensions of use for the product (i.e. extension of use to include tail docking and castration in lambs, and castration and disbudding/dehorning in calves) have been approved by the APVMA.</w:t>
            </w:r>
          </w:p>
          <w:p w:rsidR="00814520" w:rsidRPr="00ED1B42" w:rsidRDefault="00814520" w:rsidP="00F42CF5">
            <w:pPr>
              <w:pStyle w:val="Numberbullet2-52E1reasons"/>
            </w:pPr>
            <w:r>
              <w:t xml:space="preserve">the </w:t>
            </w:r>
            <w:r w:rsidRPr="000046FA">
              <w:t>purposes</w:t>
            </w:r>
            <w:r>
              <w:t xml:space="preserve"> for which a </w:t>
            </w:r>
            <w:r w:rsidRPr="00F42CF5">
              <w:t>substance</w:t>
            </w:r>
            <w:r>
              <w:t xml:space="preserve"> is to be used and the extent of use of a substance:</w:t>
            </w:r>
          </w:p>
          <w:p w:rsidR="00814520" w:rsidRDefault="00814520" w:rsidP="00F42CF5">
            <w:r>
              <w:t>An APVMA-registered</w:t>
            </w:r>
            <w:r w:rsidRPr="00491B61">
              <w:t xml:space="preserve"> aqueous gel product containing 40.6 g/L (4.06 %) lidocaine (as hydrochloride) is currently approved for use on post-surgical wounds associated with mulesing, tail docking and castration of lambs and castration and disbudding/dehorning in calves.</w:t>
            </w:r>
          </w:p>
          <w:p w:rsidR="00814520" w:rsidRDefault="00814520" w:rsidP="00F42CF5">
            <w:pPr>
              <w:pStyle w:val="Numberbullet2-52E1reasons"/>
            </w:pPr>
            <w:r w:rsidRPr="00704EDD">
              <w:t xml:space="preserve">the </w:t>
            </w:r>
            <w:r w:rsidRPr="00F42CF5">
              <w:t>toxicity</w:t>
            </w:r>
            <w:r w:rsidRPr="00704EDD">
              <w:t xml:space="preserve"> of a substance:</w:t>
            </w:r>
          </w:p>
          <w:p w:rsidR="00814520" w:rsidRPr="00491B61" w:rsidRDefault="00814520" w:rsidP="00F42CF5">
            <w:r w:rsidRPr="00CC24A5">
              <w:t>Lidocaine has a long history of safety through widespread use in both human therapeutics and veterinary medicines.</w:t>
            </w:r>
          </w:p>
          <w:p w:rsidR="00814520" w:rsidRDefault="00814520" w:rsidP="00F42CF5">
            <w:pPr>
              <w:pStyle w:val="Numberbullet2-52E1reasons"/>
            </w:pPr>
            <w:r w:rsidRPr="00704EDD">
              <w:t xml:space="preserve">the dosage, </w:t>
            </w:r>
            <w:r w:rsidRPr="00F42CF5">
              <w:t>formulation</w:t>
            </w:r>
            <w:r w:rsidRPr="00704EDD">
              <w:t>, labelling, packaging and presentation of a substance:</w:t>
            </w:r>
          </w:p>
          <w:p w:rsidR="00814520" w:rsidRDefault="00814520" w:rsidP="00814520">
            <w:r>
              <w:t>Nil.</w:t>
            </w:r>
          </w:p>
          <w:p w:rsidR="00814520" w:rsidRDefault="00814520" w:rsidP="00F42CF5">
            <w:pPr>
              <w:pStyle w:val="Numberbullet2-52E1reasons"/>
            </w:pPr>
            <w:r w:rsidRPr="000046FA">
              <w:t>the potential for abuse of a substance</w:t>
            </w:r>
            <w:r>
              <w:t>:</w:t>
            </w:r>
          </w:p>
          <w:p w:rsidR="00814520" w:rsidRPr="001F7C78" w:rsidRDefault="00814520" w:rsidP="00814520">
            <w:r w:rsidRPr="001F7C78">
              <w:t>Concerns about the need for veterinary supervision in dehorning and castration procedures in lambs and calves at later stages in their development are currently covered by the relevant Australian Animal Welfare Standards and Guidelines.</w:t>
            </w:r>
            <w:r w:rsidRPr="00AC68E2">
              <w:rPr>
                <w:rStyle w:val="FootnoteReference"/>
              </w:rPr>
              <w:footnoteReference w:id="8"/>
            </w:r>
            <w:r w:rsidRPr="001F7C78">
              <w:t xml:space="preserve"> These standards pro</w:t>
            </w:r>
            <w:r w:rsidRPr="00F42CF5">
              <w:t>v</w:t>
            </w:r>
            <w:r w:rsidRPr="001F7C78">
              <w:t>ide age-related and developmental stage-related standards and guidance on when a non-veterinarian can and cannot perform such procedures. Further, most states in Australia have strict definitions of when such procedures become a restricted act of veterinary science.</w:t>
            </w:r>
          </w:p>
          <w:p w:rsidR="00814520" w:rsidRPr="00491B61" w:rsidRDefault="00814520" w:rsidP="00F42CF5">
            <w:r w:rsidRPr="001F7C78">
              <w:t>The APVMA will ensure appropriate label directions and label statements that are consistent with the Australian Animal Welfare Standards and Guidelines and other relevant legislation regarding restricted acts of veterinary science.</w:t>
            </w:r>
          </w:p>
          <w:p w:rsidR="00814520" w:rsidRDefault="00814520" w:rsidP="00F42CF5">
            <w:pPr>
              <w:pStyle w:val="Numberbullet2-52E1reasons"/>
            </w:pPr>
            <w:r w:rsidRPr="000046FA">
              <w:t xml:space="preserve">any other matters that the Secretary </w:t>
            </w:r>
            <w:r w:rsidRPr="00F42CF5">
              <w:t>considers</w:t>
            </w:r>
            <w:r w:rsidRPr="000046FA">
              <w:t xml:space="preserve"> necessary to protect public health</w:t>
            </w:r>
            <w:r>
              <w:t>:</w:t>
            </w:r>
          </w:p>
          <w:p w:rsidR="00814520" w:rsidRDefault="00814520" w:rsidP="00F42CF5">
            <w:r>
              <w:t>A</w:t>
            </w:r>
            <w:r w:rsidRPr="008A587C">
              <w:t xml:space="preserve"> product containing </w:t>
            </w:r>
            <w:r>
              <w:t>lidocaine at 40.6</w:t>
            </w:r>
            <w:r w:rsidRPr="008A587C">
              <w:t xml:space="preserve"> g</w:t>
            </w:r>
            <w:r>
              <w:t>/L is registered in New Zealand as a ‘Restricted Veterinary Medicine’ which is available only under veterinary prescription.</w:t>
            </w:r>
          </w:p>
          <w:p w:rsidR="00814520" w:rsidRPr="0090341E" w:rsidRDefault="00814520" w:rsidP="00F42CF5">
            <w:pPr>
              <w:pStyle w:val="Heading6"/>
            </w:pPr>
            <w:r w:rsidRPr="001C0DFF">
              <w:t>Overall conclusions</w:t>
            </w:r>
          </w:p>
          <w:p w:rsidR="00814520" w:rsidRDefault="00814520" w:rsidP="00F42CF5">
            <w:r>
              <w:t>The</w:t>
            </w:r>
            <w:r w:rsidRPr="00C15A15">
              <w:t xml:space="preserve"> scheduling application is to am</w:t>
            </w:r>
            <w:r>
              <w:t>end the wording in the Schedule 5 entry</w:t>
            </w:r>
            <w:r w:rsidRPr="00C15A15">
              <w:t xml:space="preserve"> to encompass </w:t>
            </w:r>
            <w:r>
              <w:t>new</w:t>
            </w:r>
            <w:r w:rsidRPr="00C15A15">
              <w:t xml:space="preserve"> </w:t>
            </w:r>
            <w:r>
              <w:t>use patterns approved by the APVMA.</w:t>
            </w:r>
          </w:p>
          <w:p w:rsidR="00814520" w:rsidRDefault="00814520" w:rsidP="00E31ACF">
            <w:r>
              <w:t xml:space="preserve">The applicant commented that pain relieving medication being readily available for use in lambs and calves undergoing routine husbandry procedures (such as mulesing, castration, tail docking </w:t>
            </w:r>
            <w:r>
              <w:lastRenderedPageBreak/>
              <w:t xml:space="preserve">and disbudding/dehorning) has huge potential for animal welfare. As </w:t>
            </w:r>
            <w:r w:rsidRPr="00D464AC">
              <w:rPr>
                <w:highlight w:val="black"/>
                <w:shd w:val="clear" w:color="auto" w:fill="FFFF00"/>
              </w:rPr>
              <w:t>XXXXXX</w:t>
            </w:r>
            <w:r>
              <w:t xml:space="preserve"> is easily administered by lay people as it is a spray preparation, and is currently approved for procedures performed in the field by lay people for the most part, it is considered that its control by Scheduling should be aligned to reflect this use.</w:t>
            </w:r>
          </w:p>
          <w:p w:rsidR="00814520" w:rsidRDefault="00814520" w:rsidP="00E31ACF">
            <w:r>
              <w:t>Given that, (</w:t>
            </w:r>
            <w:proofErr w:type="spellStart"/>
            <w:r>
              <w:t>i</w:t>
            </w:r>
            <w:proofErr w:type="spellEnd"/>
            <w:r>
              <w:t xml:space="preserve">) the exposure profile for these new uses is not significantly greater than the exposure profile for the existing use in mulesing; (ii) </w:t>
            </w:r>
            <w:r w:rsidRPr="00ED1B42">
              <w:t>lidocaine has a long history of safe use in human therapeutics and veterinary medicines;</w:t>
            </w:r>
            <w:r>
              <w:t xml:space="preserve"> and (iii) the rescheduling would be reasonably expected to result in an improvement in animal welfare, with more sheep and cattle being treated to reduced pain and infection, which would otherwise have been left untreated, on balance the delegate is satisfied that the benefits of amending the existing Schedule 5 entry for </w:t>
            </w:r>
            <w:r w:rsidRPr="00ED1B42">
              <w:t>lidocaine</w:t>
            </w:r>
            <w:r>
              <w:t xml:space="preserve"> out-weight the risks. Further, the delegate is satisfied that risks associated with these new uses can be managed by the existing regulatory controls imposed by the Poisons Standard and the APVMA.</w:t>
            </w:r>
          </w:p>
          <w:p w:rsidR="00814520" w:rsidRPr="00CC0DB3" w:rsidRDefault="00814520" w:rsidP="00E31ACF">
            <w:r w:rsidRPr="00BF7F95">
              <w:t xml:space="preserve">On the basis that the proposed changes to the existing entry do not involve down-scheduling or up-scheduling, I am satisfied that the application is not captured as a ‘rescheduling’ consideration as described in the </w:t>
            </w:r>
            <w:r>
              <w:rPr>
                <w:i/>
              </w:rPr>
              <w:t>Scheduling H</w:t>
            </w:r>
            <w:r w:rsidRPr="00BF7F95">
              <w:rPr>
                <w:i/>
              </w:rPr>
              <w:t>andbook</w:t>
            </w:r>
            <w:r>
              <w:rPr>
                <w:i/>
              </w:rPr>
              <w:t>,</w:t>
            </w:r>
            <w:r w:rsidRPr="00BF7F95">
              <w:rPr>
                <w:i/>
              </w:rPr>
              <w:t xml:space="preserve"> Guidance for ame</w:t>
            </w:r>
            <w:r>
              <w:rPr>
                <w:i/>
              </w:rPr>
              <w:t>nding the Poisons Standard, 2018</w:t>
            </w:r>
            <w:r w:rsidRPr="00BF7F95">
              <w:t>.</w:t>
            </w:r>
          </w:p>
        </w:tc>
      </w:tr>
    </w:tbl>
    <w:p w:rsidR="00814520" w:rsidRDefault="00814520" w:rsidP="00E31ACF">
      <w:pPr>
        <w:pStyle w:val="Heading5"/>
      </w:pPr>
      <w:bookmarkStart w:id="24" w:name="_Applicant’s_scheduling_proposal_4"/>
      <w:bookmarkEnd w:id="24"/>
      <w:r>
        <w:lastRenderedPageBreak/>
        <w:t xml:space="preserve">Applicant’s scheduling </w:t>
      </w:r>
      <w:r w:rsidRPr="00E31ACF">
        <w:t>proposal</w:t>
      </w:r>
      <w:r>
        <w:t xml:space="preserve"> and reasons for proposal</w:t>
      </w:r>
    </w:p>
    <w:p w:rsidR="00814520" w:rsidRPr="00F700AD" w:rsidRDefault="00814520" w:rsidP="00E31ACF">
      <w:r w:rsidRPr="00F700AD">
        <w:t xml:space="preserve">An application was submitted by the Australian Pesticides and Veterinary Medicines Authority (APVMA) to </w:t>
      </w:r>
      <w:r>
        <w:t xml:space="preserve">amend the </w:t>
      </w:r>
      <w:r w:rsidRPr="00F700AD">
        <w:t xml:space="preserve">Schedule </w:t>
      </w:r>
      <w:r>
        <w:t xml:space="preserve">5 </w:t>
      </w:r>
      <w:r w:rsidR="00E31ACF">
        <w:t xml:space="preserve">entry for </w:t>
      </w:r>
      <w:r>
        <w:t>lidocaine</w:t>
      </w:r>
      <w:r w:rsidR="00E31ACF">
        <w:t xml:space="preserve"> in the Poisons Standard.</w:t>
      </w:r>
    </w:p>
    <w:p w:rsidR="00814520" w:rsidRPr="00DC66C7" w:rsidRDefault="00814520" w:rsidP="00E31ACF">
      <w:r w:rsidRPr="00DC66C7">
        <w:t>The applicant’s reasons for the proposal are:</w:t>
      </w:r>
    </w:p>
    <w:p w:rsidR="00814520" w:rsidRDefault="00814520" w:rsidP="00E31ACF">
      <w:r w:rsidRPr="00DC66C7">
        <w:t>The product</w:t>
      </w:r>
      <w:r>
        <w:t xml:space="preserve"> </w:t>
      </w:r>
      <w:r w:rsidRPr="00253BC9">
        <w:rPr>
          <w:highlight w:val="black"/>
        </w:rPr>
        <w:t>XXXXXX</w:t>
      </w:r>
      <w:r>
        <w:t xml:space="preserve"> </w:t>
      </w:r>
      <w:r w:rsidRPr="00DC66C7">
        <w:t>was originally classified as a Schedule 4 prescription medicine. In 2013, a submission was made to the Scheduling Committee by a third party (i.e. not the registrant) to re-schedule the actives to allow the product to be supplied without prescription. The outcome was that new entries in Schedule 5 for both lidocaine and bupivacaine were made, but with wording that aimed to restrict the entry to the specific product/use pattern (i.e</w:t>
      </w:r>
      <w:r w:rsidRPr="00DC66C7">
        <w:rPr>
          <w:i/>
        </w:rPr>
        <w:t>. LIDOCAINE in aqueous gel preparations containing 4.5 per cent or less of lidocaine, for the dermal spray-on treatment of wounds associated with 'mulesing' of sheep AND BUPIVACAINE in aqueous gel preparations containing 0.5 per cent or less of bupivacaine, for the dermal spray-on treatment of wounds associated with 'mulesing' of sheep</w:t>
      </w:r>
      <w:r w:rsidRPr="00DC66C7">
        <w:t xml:space="preserve">). Since this time, several extensions of use for the product have been approved </w:t>
      </w:r>
      <w:r>
        <w:t xml:space="preserve">by the APVMA. </w:t>
      </w:r>
      <w:r w:rsidRPr="00DC66C7">
        <w:t xml:space="preserve">This application therefore aims </w:t>
      </w:r>
      <w:r>
        <w:t>to update the scheduling entries</w:t>
      </w:r>
      <w:r w:rsidR="00E31ACF">
        <w:t xml:space="preserve"> to reflect the changes in use.</w:t>
      </w:r>
    </w:p>
    <w:p w:rsidR="00814520" w:rsidRDefault="00814520" w:rsidP="00E31ACF">
      <w:pPr>
        <w:pStyle w:val="Heading5"/>
      </w:pPr>
      <w:r>
        <w:t xml:space="preserve">Current scheduling </w:t>
      </w:r>
      <w:r w:rsidRPr="00E31ACF">
        <w:t>status</w:t>
      </w:r>
    </w:p>
    <w:p w:rsidR="00814520" w:rsidRPr="00FD2903" w:rsidRDefault="00814520" w:rsidP="00E31ACF">
      <w:r w:rsidRPr="00FD2903">
        <w:t xml:space="preserve">Lidocaine is currently listed in Schedules 2, 4 and 5 </w:t>
      </w:r>
      <w:r>
        <w:t>o</w:t>
      </w:r>
      <w:r w:rsidRPr="00FD2903">
        <w:t xml:space="preserve">f the </w:t>
      </w:r>
      <w:r w:rsidRPr="00CF6C46">
        <w:t>Poison Standard</w:t>
      </w:r>
      <w:r w:rsidRPr="00CF6C46">
        <w:rPr>
          <w:rStyle w:val="Hyperlink"/>
          <w:rFonts w:asciiTheme="minorHAnsi" w:hAnsiTheme="minorHAnsi"/>
          <w:u w:val="none"/>
        </w:rPr>
        <w:t xml:space="preserve"> </w:t>
      </w:r>
      <w:r w:rsidRPr="00CF6C46">
        <w:t>as</w:t>
      </w:r>
      <w:r w:rsidRPr="00FD2903">
        <w:t xml:space="preserve"> follows:</w:t>
      </w:r>
    </w:p>
    <w:p w:rsidR="00814520" w:rsidRPr="00ED54F0" w:rsidRDefault="00814520" w:rsidP="00E31ACF">
      <w:pPr>
        <w:ind w:left="426"/>
        <w:rPr>
          <w:b/>
        </w:rPr>
      </w:pPr>
      <w:r w:rsidRPr="00ED54F0">
        <w:rPr>
          <w:b/>
        </w:rPr>
        <w:t>Schedule 5</w:t>
      </w:r>
    </w:p>
    <w:p w:rsidR="00814520" w:rsidRPr="00F50FAB" w:rsidRDefault="00814520" w:rsidP="00E31ACF">
      <w:pPr>
        <w:ind w:left="426"/>
        <w:rPr>
          <w:b/>
        </w:rPr>
      </w:pPr>
      <w:r w:rsidRPr="00ED54F0">
        <w:rPr>
          <w:rFonts w:asciiTheme="minorHAnsi" w:hAnsiTheme="minorHAnsi"/>
        </w:rPr>
        <w:t>LIDOCAINE in aqueous gel preparations containing 4.5 per cent or less of lidocaine, for the dermal spray-on treatment of wounds associated with 'mulesing' of sheep.</w:t>
      </w:r>
    </w:p>
    <w:p w:rsidR="00814520" w:rsidRPr="00ED54F0" w:rsidRDefault="00814520" w:rsidP="00E31ACF">
      <w:pPr>
        <w:ind w:left="426"/>
        <w:rPr>
          <w:rFonts w:asciiTheme="minorHAnsi" w:hAnsiTheme="minorHAnsi"/>
          <w:b/>
        </w:rPr>
      </w:pPr>
      <w:r w:rsidRPr="00ED54F0">
        <w:rPr>
          <w:rFonts w:asciiTheme="minorHAnsi" w:hAnsiTheme="minorHAnsi"/>
          <w:b/>
        </w:rPr>
        <w:t>Schedule</w:t>
      </w:r>
      <w:r>
        <w:rPr>
          <w:rFonts w:asciiTheme="minorHAnsi" w:hAnsiTheme="minorHAnsi"/>
          <w:b/>
        </w:rPr>
        <w:t xml:space="preserve"> </w:t>
      </w:r>
      <w:r w:rsidRPr="00ED54F0">
        <w:rPr>
          <w:rFonts w:asciiTheme="minorHAnsi" w:hAnsiTheme="minorHAnsi"/>
          <w:b/>
        </w:rPr>
        <w:t>4</w:t>
      </w:r>
    </w:p>
    <w:p w:rsidR="00814520" w:rsidRPr="00ED54F0" w:rsidRDefault="00814520" w:rsidP="00E31ACF">
      <w:pPr>
        <w:shd w:val="clear" w:color="auto" w:fill="FFFFFF"/>
        <w:spacing w:before="0" w:after="0" w:line="240" w:lineRule="auto"/>
        <w:ind w:left="426"/>
        <w:rPr>
          <w:rFonts w:asciiTheme="minorHAnsi" w:hAnsiTheme="minorHAnsi"/>
        </w:rPr>
      </w:pPr>
      <w:r w:rsidRPr="00ED54F0">
        <w:rPr>
          <w:rFonts w:asciiTheme="minorHAnsi" w:hAnsiTheme="minorHAnsi"/>
        </w:rPr>
        <w:t xml:space="preserve">LIDOCAINE </w:t>
      </w:r>
      <w:r w:rsidRPr="00ED54F0">
        <w:rPr>
          <w:rFonts w:asciiTheme="minorHAnsi" w:hAnsiTheme="minorHAnsi"/>
          <w:b/>
        </w:rPr>
        <w:t>except</w:t>
      </w:r>
      <w:r>
        <w:rPr>
          <w:rFonts w:asciiTheme="minorHAnsi" w:hAnsiTheme="minorHAnsi"/>
        </w:rPr>
        <w:t>:</w:t>
      </w:r>
    </w:p>
    <w:p w:rsidR="00814520" w:rsidRPr="00E97A2F" w:rsidRDefault="00814520" w:rsidP="00814520">
      <w:pPr>
        <w:pStyle w:val="Numberbullet2"/>
        <w:numPr>
          <w:ilvl w:val="1"/>
          <w:numId w:val="40"/>
        </w:numPr>
        <w:spacing w:before="120"/>
        <w:ind w:left="851"/>
        <w:rPr>
          <w:i w:val="0"/>
        </w:rPr>
      </w:pPr>
      <w:r w:rsidRPr="00E97A2F">
        <w:t>when</w:t>
      </w:r>
      <w:r w:rsidR="00E31ACF">
        <w:t xml:space="preserve"> included in Schedules 2 or 5;</w:t>
      </w:r>
    </w:p>
    <w:p w:rsidR="00814520" w:rsidRPr="00E97A2F" w:rsidRDefault="00814520" w:rsidP="00814520">
      <w:pPr>
        <w:pStyle w:val="Numberbullet2"/>
        <w:numPr>
          <w:ilvl w:val="1"/>
          <w:numId w:val="38"/>
        </w:numPr>
        <w:spacing w:before="120"/>
        <w:ind w:left="851"/>
        <w:rPr>
          <w:i w:val="0"/>
        </w:rPr>
      </w:pPr>
      <w:r w:rsidRPr="00E97A2F">
        <w:t>in dermal preparations containing 2 per cent or less of total local anaesthetic subst</w:t>
      </w:r>
      <w:r w:rsidR="00E31ACF">
        <w:t>ances per dosage unit; or</w:t>
      </w:r>
    </w:p>
    <w:p w:rsidR="00814520" w:rsidRPr="00E97A2F" w:rsidRDefault="00814520" w:rsidP="00814520">
      <w:pPr>
        <w:pStyle w:val="Numberbullet2"/>
        <w:numPr>
          <w:ilvl w:val="1"/>
          <w:numId w:val="38"/>
        </w:numPr>
        <w:spacing w:before="120"/>
        <w:ind w:left="851"/>
        <w:rPr>
          <w:b/>
          <w:i w:val="0"/>
        </w:rPr>
      </w:pPr>
      <w:proofErr w:type="gramStart"/>
      <w:r w:rsidRPr="00E97A2F">
        <w:t>in</w:t>
      </w:r>
      <w:proofErr w:type="gramEnd"/>
      <w:r w:rsidRPr="00E97A2F">
        <w:t xml:space="preserve"> lozenges containing 30 mg or less of total anaesthetic substances per dosage unit.</w:t>
      </w:r>
    </w:p>
    <w:p w:rsidR="00814520" w:rsidRPr="00E97A2F" w:rsidRDefault="00814520" w:rsidP="00E31ACF">
      <w:pPr>
        <w:ind w:left="426"/>
        <w:rPr>
          <w:rFonts w:asciiTheme="minorHAnsi" w:hAnsiTheme="minorHAnsi"/>
          <w:b/>
        </w:rPr>
      </w:pPr>
      <w:r w:rsidRPr="00E97A2F">
        <w:rPr>
          <w:rFonts w:asciiTheme="minorHAnsi" w:hAnsiTheme="minorHAnsi"/>
          <w:b/>
        </w:rPr>
        <w:lastRenderedPageBreak/>
        <w:t>Schedule 2</w:t>
      </w:r>
    </w:p>
    <w:p w:rsidR="00814520" w:rsidRPr="00E97A2F" w:rsidRDefault="00814520" w:rsidP="00E31ACF">
      <w:pPr>
        <w:shd w:val="clear" w:color="auto" w:fill="FFFFFF"/>
        <w:spacing w:before="0" w:after="0" w:line="240" w:lineRule="auto"/>
        <w:ind w:left="426"/>
        <w:rPr>
          <w:rFonts w:asciiTheme="minorHAnsi" w:hAnsiTheme="minorHAnsi"/>
        </w:rPr>
      </w:pPr>
      <w:r w:rsidRPr="00E97A2F">
        <w:rPr>
          <w:rFonts w:asciiTheme="minorHAnsi" w:hAnsiTheme="minorHAnsi"/>
        </w:rPr>
        <w:t>LIDOCAINE in preparations for to</w:t>
      </w:r>
      <w:r>
        <w:rPr>
          <w:rFonts w:asciiTheme="minorHAnsi" w:hAnsiTheme="minorHAnsi"/>
        </w:rPr>
        <w:t>pical use other than eye drops:</w:t>
      </w:r>
    </w:p>
    <w:p w:rsidR="00814520" w:rsidRPr="00E97A2F" w:rsidRDefault="00814520" w:rsidP="00814520">
      <w:pPr>
        <w:pStyle w:val="Numberbullet2"/>
        <w:numPr>
          <w:ilvl w:val="1"/>
          <w:numId w:val="39"/>
        </w:numPr>
        <w:spacing w:before="120"/>
        <w:ind w:left="851"/>
        <w:rPr>
          <w:i w:val="0"/>
        </w:rPr>
      </w:pPr>
      <w:r w:rsidRPr="00E97A2F">
        <w:t xml:space="preserve">containing 10 per cent or less of total local anaesthetic substances, </w:t>
      </w:r>
      <w:r w:rsidRPr="00E97A2F">
        <w:rPr>
          <w:b/>
        </w:rPr>
        <w:t xml:space="preserve">except </w:t>
      </w:r>
      <w:r w:rsidRPr="00E97A2F">
        <w:t>in dermal preparations containing 2 per cent or less of total local anaesthetic substances; or</w:t>
      </w:r>
    </w:p>
    <w:p w:rsidR="00814520" w:rsidRPr="00E97A2F" w:rsidRDefault="00814520" w:rsidP="00814520">
      <w:pPr>
        <w:pStyle w:val="Numberbullet2"/>
        <w:numPr>
          <w:ilvl w:val="1"/>
          <w:numId w:val="38"/>
        </w:numPr>
        <w:spacing w:before="120"/>
        <w:ind w:left="851"/>
        <w:rPr>
          <w:rFonts w:asciiTheme="minorHAnsi" w:hAnsiTheme="minorHAnsi"/>
          <w:i w:val="0"/>
        </w:rPr>
      </w:pPr>
      <w:proofErr w:type="gramStart"/>
      <w:r w:rsidRPr="00E97A2F">
        <w:t>in</w:t>
      </w:r>
      <w:proofErr w:type="gramEnd"/>
      <w:r w:rsidRPr="00E97A2F">
        <w:t xml:space="preserve"> divided preparations containing 200 mg or less of total local anaesthetic substances, </w:t>
      </w:r>
      <w:r w:rsidRPr="00E97A2F">
        <w:rPr>
          <w:b/>
        </w:rPr>
        <w:t>except</w:t>
      </w:r>
      <w:r w:rsidRPr="00E97A2F">
        <w:t xml:space="preserve"> in lozenges containing 30 mg or less of total local anaesthetic substances per dosage unit.</w:t>
      </w:r>
    </w:p>
    <w:p w:rsidR="00814520" w:rsidRPr="00ED54F0" w:rsidRDefault="00814520" w:rsidP="00E31ACF">
      <w:pPr>
        <w:ind w:left="426"/>
        <w:rPr>
          <w:rFonts w:asciiTheme="minorHAnsi" w:hAnsiTheme="minorHAnsi"/>
          <w:b/>
        </w:rPr>
      </w:pPr>
      <w:r w:rsidRPr="00ED54F0">
        <w:rPr>
          <w:rFonts w:asciiTheme="minorHAnsi" w:hAnsiTheme="minorHAnsi"/>
          <w:b/>
        </w:rPr>
        <w:t>INDEX</w:t>
      </w:r>
    </w:p>
    <w:p w:rsidR="00814520" w:rsidRPr="00ED54F0" w:rsidRDefault="00E31ACF" w:rsidP="00E31ACF">
      <w:pPr>
        <w:pStyle w:val="Default"/>
        <w:ind w:left="426"/>
        <w:rPr>
          <w:rFonts w:asciiTheme="minorHAnsi" w:hAnsiTheme="minorHAnsi"/>
          <w:sz w:val="22"/>
          <w:szCs w:val="22"/>
        </w:rPr>
      </w:pPr>
      <w:r>
        <w:rPr>
          <w:rFonts w:asciiTheme="minorHAnsi" w:hAnsiTheme="minorHAnsi"/>
          <w:b/>
          <w:bCs/>
          <w:sz w:val="22"/>
          <w:szCs w:val="22"/>
        </w:rPr>
        <w:t>LIDOCAINE</w:t>
      </w:r>
    </w:p>
    <w:p w:rsidR="00814520" w:rsidRPr="00ED54F0" w:rsidRDefault="00814520" w:rsidP="00E31ACF">
      <w:pPr>
        <w:ind w:left="426"/>
      </w:pPr>
      <w:r w:rsidRPr="00ED54F0">
        <w:t>Schedule 5</w:t>
      </w:r>
    </w:p>
    <w:p w:rsidR="00814520" w:rsidRPr="00ED54F0" w:rsidRDefault="00E31ACF" w:rsidP="00E31ACF">
      <w:pPr>
        <w:ind w:left="426"/>
      </w:pPr>
      <w:r>
        <w:t xml:space="preserve"> Schedule 4</w:t>
      </w:r>
    </w:p>
    <w:p w:rsidR="00814520" w:rsidRPr="00ED54F0" w:rsidRDefault="00814520" w:rsidP="00E31ACF">
      <w:pPr>
        <w:ind w:left="426"/>
        <w:rPr>
          <w:b/>
        </w:rPr>
      </w:pPr>
      <w:r w:rsidRPr="00ED54F0">
        <w:t>Schedule 2</w:t>
      </w:r>
    </w:p>
    <w:p w:rsidR="00814520" w:rsidRPr="00ED54F0" w:rsidRDefault="00814520" w:rsidP="00E31ACF">
      <w:pPr>
        <w:spacing w:before="0" w:after="0" w:line="240" w:lineRule="auto"/>
        <w:ind w:left="426"/>
        <w:rPr>
          <w:rFonts w:asciiTheme="minorHAnsi" w:hAnsiTheme="minorHAnsi"/>
          <w:b/>
        </w:rPr>
      </w:pPr>
      <w:r w:rsidRPr="00ED54F0">
        <w:rPr>
          <w:rFonts w:asciiTheme="minorHAnsi" w:hAnsiTheme="minorHAnsi"/>
          <w:b/>
          <w:bCs/>
        </w:rPr>
        <w:t>LIGNOCAINE</w:t>
      </w:r>
    </w:p>
    <w:p w:rsidR="00814520" w:rsidRDefault="00814520" w:rsidP="00E31ACF">
      <w:pPr>
        <w:ind w:left="426"/>
      </w:pPr>
      <w:proofErr w:type="gramStart"/>
      <w:r w:rsidRPr="00ED54F0">
        <w:t>cross</w:t>
      </w:r>
      <w:proofErr w:type="gramEnd"/>
      <w:r w:rsidRPr="00ED54F0">
        <w:t xml:space="preserve"> reference: LIDOCAINE</w:t>
      </w:r>
    </w:p>
    <w:p w:rsidR="00814520" w:rsidRPr="00445E77" w:rsidRDefault="00814520" w:rsidP="00E31ACF">
      <w:pPr>
        <w:pStyle w:val="Heading5"/>
      </w:pPr>
      <w:r w:rsidRPr="00445E77">
        <w:t xml:space="preserve">Scheduling </w:t>
      </w:r>
      <w:r w:rsidRPr="00E31ACF">
        <w:t>history</w:t>
      </w:r>
    </w:p>
    <w:p w:rsidR="00814520" w:rsidRPr="00B92F73" w:rsidRDefault="00814520" w:rsidP="00E31ACF">
      <w:r w:rsidRPr="00F50FAB">
        <w:t>In February 1998</w:t>
      </w:r>
      <w:r w:rsidRPr="00B92F73">
        <w:t xml:space="preserve">, the NDPSC considered a submission for re-scheduling of dermal preparations containing 1 per cent or less of lignocaine (lidocaine) </w:t>
      </w:r>
      <w:r>
        <w:t>in packs of 30 g or less</w:t>
      </w:r>
      <w:r w:rsidRPr="00B92F73">
        <w:t xml:space="preserve"> from Schedule 2 to unscheduled. Noti</w:t>
      </w:r>
      <w:r>
        <w:t>ng that 14 out of</w:t>
      </w:r>
      <w:r w:rsidRPr="00B92F73">
        <w:t xml:space="preserve"> 15 products containing ≤ 1% of lignocaine present on the ARTG had ‘grandfathered’ status for which indications for use were not included on the Register, and considering the adverse reaction profile of the substance, the Committee decided that based on the use pattern at that time, lignocaine should remain a scheduled substance. This decision was affirmed in </w:t>
      </w:r>
      <w:r w:rsidRPr="00F50FAB">
        <w:t>May 1998</w:t>
      </w:r>
      <w:r w:rsidRPr="00B92F73">
        <w:t xml:space="preserve"> following the Committee’s reconsideration of the applicant’s comments, and subsequent </w:t>
      </w:r>
      <w:r w:rsidR="00E31ACF">
        <w:t>examination of public comments.</w:t>
      </w:r>
    </w:p>
    <w:p w:rsidR="00814520" w:rsidRPr="00B92F73" w:rsidRDefault="00814520" w:rsidP="00814520">
      <w:r w:rsidRPr="00B92F73">
        <w:t xml:space="preserve">A decision was made by the Committee in </w:t>
      </w:r>
      <w:r w:rsidRPr="00F50FAB">
        <w:t>February 2001</w:t>
      </w:r>
      <w:r w:rsidRPr="00B92F73">
        <w:t xml:space="preserve"> to amend the Schedule 2 and Schedule 4 entries for lignocaine so that the entries were expressed in terms of local anaesthetic substances. The recommendation from the </w:t>
      </w:r>
      <w:r w:rsidRPr="00F27636">
        <w:rPr>
          <w:rFonts w:asciiTheme="minorHAnsi" w:hAnsiTheme="minorHAnsi" w:cs="TimesNewRomanPSMT"/>
        </w:rPr>
        <w:t>Trans-</w:t>
      </w:r>
      <w:r w:rsidRPr="00B92F73">
        <w:rPr>
          <w:rFonts w:asciiTheme="minorHAnsi" w:hAnsiTheme="minorHAnsi" w:cs="TimesNewRomanPSMT"/>
        </w:rPr>
        <w:t>Tasman Harmonisation Working Party that 2 per cent lignocaine or less in dermal preparations should be exempted from scheduling was also adopted at this meeting.</w:t>
      </w:r>
    </w:p>
    <w:p w:rsidR="00814520" w:rsidRPr="00B92F73" w:rsidRDefault="00814520" w:rsidP="00E31ACF">
      <w:r w:rsidRPr="00B92F73">
        <w:t xml:space="preserve">In </w:t>
      </w:r>
      <w:r w:rsidRPr="00F50FAB">
        <w:t>October 2008</w:t>
      </w:r>
      <w:r w:rsidRPr="00B92F73">
        <w:t>, the NDPSC considered a proposal to broaden the current Schedule 2 exemption for dermal use (≤ 2 %) to also exempt use on gums. The Committee agreed that given the concerns about the potential for</w:t>
      </w:r>
      <w:r>
        <w:t xml:space="preserve"> adverse drug reactions (ADRs)</w:t>
      </w:r>
      <w:r w:rsidRPr="00B92F73">
        <w:t xml:space="preserve"> at doses only slightly greater than the therapeutic dose range, the use of the substance for the intended indication was not without risk and was therefore not suitable to be made available with</w:t>
      </w:r>
      <w:r w:rsidR="00E31ACF">
        <w:t>out any scheduling restriction.</w:t>
      </w:r>
    </w:p>
    <w:p w:rsidR="00814520" w:rsidRPr="00F27636" w:rsidRDefault="00814520" w:rsidP="006068FF">
      <w:pPr>
        <w:rPr>
          <w:rFonts w:asciiTheme="minorHAnsi" w:hAnsiTheme="minorHAnsi"/>
        </w:rPr>
      </w:pPr>
      <w:r w:rsidRPr="00F27636">
        <w:t xml:space="preserve">At the meeting of the Joint Advisory Committee on Medicines and Chemicals Scheduling in </w:t>
      </w:r>
      <w:r w:rsidRPr="00F50FAB">
        <w:t>March 2013</w:t>
      </w:r>
      <w:r w:rsidRPr="00F27636">
        <w:t xml:space="preserve">, a proposal was considered which recommended </w:t>
      </w:r>
      <w:r w:rsidRPr="00F27636">
        <w:rPr>
          <w:rFonts w:asciiTheme="minorHAnsi" w:hAnsiTheme="minorHAnsi"/>
        </w:rPr>
        <w:t>that the Schedule 4 entries for lignocaine, bupivacaine and adrenaline be amended to Schedule 6 when included in a spray-on dermal formulation for direct application to surgical wounds in animals. The primary purpose of the scheduling proposal was to facilitate use as an anaesthetic spray to treat the wounds of sheep during mulesing operation without requiring supply via prescription of a veterinarian.</w:t>
      </w:r>
    </w:p>
    <w:p w:rsidR="00814520" w:rsidRPr="00DC66C7" w:rsidRDefault="00814520" w:rsidP="00814520">
      <w:r w:rsidRPr="00DC66C7">
        <w:t xml:space="preserve">In the </w:t>
      </w:r>
      <w:r w:rsidRPr="00F50FAB">
        <w:t>interim decision</w:t>
      </w:r>
      <w:r w:rsidRPr="00DC66C7">
        <w:t xml:space="preserve">, the delegate did </w:t>
      </w:r>
      <w:r w:rsidRPr="006068FF">
        <w:rPr>
          <w:b/>
        </w:rPr>
        <w:t>not</w:t>
      </w:r>
      <w:r>
        <w:t xml:space="preserve"> </w:t>
      </w:r>
      <w:r w:rsidRPr="00DC66C7">
        <w:t>support a change to the scheduling of lidocaine or bupivacaine from S4 to S6, considering that ‘mulesing’ was a procedure that</w:t>
      </w:r>
      <w:r w:rsidRPr="006068FF">
        <w:t xml:space="preserve"> </w:t>
      </w:r>
      <w:r w:rsidRPr="00DC66C7">
        <w:t>should be carried out under the supervision of a veterinarian.</w:t>
      </w:r>
    </w:p>
    <w:p w:rsidR="00814520" w:rsidRPr="00DC66C7" w:rsidRDefault="00814520" w:rsidP="002A504E">
      <w:r w:rsidRPr="00DC66C7">
        <w:lastRenderedPageBreak/>
        <w:t xml:space="preserve">In the </w:t>
      </w:r>
      <w:r w:rsidRPr="00F50FAB">
        <w:t>final decision</w:t>
      </w:r>
      <w:r w:rsidRPr="00DC66C7">
        <w:t>, the delegate set aside the interim decision and enabled scheduling changes that would allow the specific product under consideration to be re-scheduled to S5. This was based on post-decision submissions that indicated veterinary intervention/ supervision was not needed for the proper conduct of ‘mulesing’ and that use of the product thus far, without veterinary supervision had been working well and with no evidence of in-appropriate use. Enabling access without veterinary prescription was also expected to aid farmers and contractors in areas remote from veterinary practice and enable improvements in animal welfare with more sheep expected to be treate</w:t>
      </w:r>
      <w:r w:rsidR="002A504E">
        <w:t>d to reduce pain and infection.</w:t>
      </w:r>
    </w:p>
    <w:p w:rsidR="00814520" w:rsidRPr="00F50FAB" w:rsidRDefault="00814520" w:rsidP="00814520">
      <w:pPr>
        <w:rPr>
          <w:i/>
        </w:rPr>
      </w:pPr>
      <w:r w:rsidRPr="00DC66C7">
        <w:t>At the time, a Schedule 6 proposal was not applied as the signal heading POISON was considered inappropriate for veterinary medicines, and the acute toxicity profile for l</w:t>
      </w:r>
      <w:r w:rsidRPr="002A504E">
        <w:t>i</w:t>
      </w:r>
      <w:r w:rsidRPr="00DC66C7">
        <w:t>docaine (4.06%) and bupivacaine (0.42%) were considered reasonably consistent with the Scheduling Policy Framework guidelines for a listing in Schedule 5. In addition, the product label included appropriate warning statements and safety directions to ensure users were warned of potential risks. It was also noted that lidocaine was available in topical human medicines at up to 10%, with exemption from 2%, for ‘over the counter in pharmacies’ (Schedule 2). The delegate noted that the re-scheduling should apply only to the particular product and its use in ‘mulesing</w:t>
      </w:r>
      <w:r>
        <w:t>.’ I</w:t>
      </w:r>
      <w:r w:rsidRPr="00DC66C7">
        <w:t>n order not to affect other APVMA registered products the following wording was used in the new Schedule 5 Entry</w:t>
      </w:r>
      <w:r w:rsidRPr="00DC66C7">
        <w:rPr>
          <w:i/>
        </w:rPr>
        <w:t>: LIDOCAINE in aqueous gel preparations containing 4.5 per cent or less of lidocaine, for the dermal spray-on treatment of wounds assoc</w:t>
      </w:r>
      <w:r>
        <w:rPr>
          <w:i/>
        </w:rPr>
        <w:t>iated with 'mulesing' of sheep.</w:t>
      </w:r>
    </w:p>
    <w:p w:rsidR="00814520" w:rsidRPr="002A504E" w:rsidRDefault="002A504E" w:rsidP="002A504E">
      <w:pPr>
        <w:pStyle w:val="Heading5"/>
      </w:pPr>
      <w:r>
        <w:t>Australian regulations</w:t>
      </w:r>
    </w:p>
    <w:p w:rsidR="00814520" w:rsidRDefault="00814520" w:rsidP="002A504E">
      <w:r>
        <w:t>Lidocaine (lignocaine) is an approved active ingredient in both veterinary and human medicines, with a long history of use.</w:t>
      </w:r>
    </w:p>
    <w:p w:rsidR="00814520" w:rsidRPr="00881DFE" w:rsidRDefault="00814520" w:rsidP="002A504E">
      <w:r>
        <w:t>Lidocaine is not permitted to be used in listed medicines, as it is not included in t</w:t>
      </w:r>
      <w:r w:rsidRPr="00881DFE">
        <w:t xml:space="preserve">he current </w:t>
      </w:r>
      <w:hyperlink r:id="rId35" w:history="1">
        <w:r w:rsidRPr="00395F5F">
          <w:rPr>
            <w:rStyle w:val="Hyperlink"/>
          </w:rPr>
          <w:t>Therapeutic Goods (Permissible I</w:t>
        </w:r>
        <w:r>
          <w:rPr>
            <w:rStyle w:val="Hyperlink"/>
          </w:rPr>
          <w:t xml:space="preserve">ngredients) Determination No. 4 </w:t>
        </w:r>
        <w:r w:rsidRPr="00395F5F">
          <w:rPr>
            <w:rStyle w:val="Hyperlink"/>
          </w:rPr>
          <w:t>of 2018</w:t>
        </w:r>
        <w:r w:rsidRPr="002A504E">
          <w:rPr>
            <w:rStyle w:val="Hyperlink"/>
            <w:u w:val="none"/>
          </w:rPr>
          <w:t>.</w:t>
        </w:r>
      </w:hyperlink>
    </w:p>
    <w:p w:rsidR="00814520" w:rsidRDefault="00814520" w:rsidP="002A504E">
      <w:r>
        <w:t xml:space="preserve">According to the </w:t>
      </w:r>
      <w:hyperlink r:id="rId36" w:history="1">
        <w:r w:rsidRPr="000C5A1A">
          <w:rPr>
            <w:rStyle w:val="Hyperlink"/>
            <w:rFonts w:asciiTheme="minorHAnsi" w:hAnsiTheme="minorHAnsi"/>
          </w:rPr>
          <w:t>TGA Ingredient Database</w:t>
        </w:r>
      </w:hyperlink>
      <w:r>
        <w:rPr>
          <w:rStyle w:val="Hyperlink"/>
          <w:rFonts w:asciiTheme="minorHAnsi" w:hAnsiTheme="minorHAnsi"/>
        </w:rPr>
        <w:t xml:space="preserve">, </w:t>
      </w:r>
      <w:r>
        <w:t>lidocaine (lignocaine) and its hydrochloride are available for use as active ingredients in Biologicals, Export Only, Over the Counter and Prescription Medicines, an</w:t>
      </w:r>
      <w:r w:rsidR="002A504E">
        <w:t>d as excipients in Biologicals.</w:t>
      </w:r>
    </w:p>
    <w:p w:rsidR="00814520" w:rsidRPr="009F2BC0" w:rsidRDefault="00814520" w:rsidP="002A504E">
      <w:pPr>
        <w:rPr>
          <w:rFonts w:eastAsia="Times New Roman"/>
          <w:szCs w:val="24"/>
        </w:rPr>
      </w:pPr>
      <w:r>
        <w:t xml:space="preserve">There are 172 products containing lidocaine for therapeutic use </w:t>
      </w:r>
      <w:r w:rsidRPr="00881DFE">
        <w:t>currently active on the Australian Register of Therapeutic Good</w:t>
      </w:r>
      <w:r>
        <w:t>s (</w:t>
      </w:r>
      <w:hyperlink r:id="rId37" w:history="1">
        <w:r w:rsidRPr="00935844">
          <w:rPr>
            <w:rStyle w:val="Hyperlink"/>
          </w:rPr>
          <w:t>ARTG</w:t>
        </w:r>
      </w:hyperlink>
      <w:r>
        <w:t xml:space="preserve">). </w:t>
      </w:r>
      <w:r w:rsidRPr="009F2BC0">
        <w:rPr>
          <w:rFonts w:eastAsia="Times New Roman"/>
          <w:szCs w:val="24"/>
        </w:rPr>
        <w:t>The concentration of lidocaine in these products ranges from 0.5% to 5% and the formulation types include spray (aerosol), ointment, gel, lozenges, dermal patches, medicated dressings, cream, pellets, lotion, liquid, je</w:t>
      </w:r>
      <w:r w:rsidR="002A504E">
        <w:rPr>
          <w:rFonts w:eastAsia="Times New Roman"/>
          <w:szCs w:val="24"/>
        </w:rPr>
        <w:t xml:space="preserve">lly, and </w:t>
      </w:r>
      <w:proofErr w:type="spellStart"/>
      <w:r w:rsidR="002A504E">
        <w:rPr>
          <w:rFonts w:eastAsia="Times New Roman"/>
          <w:szCs w:val="24"/>
        </w:rPr>
        <w:t>injectables</w:t>
      </w:r>
      <w:proofErr w:type="spellEnd"/>
      <w:r w:rsidR="002A504E">
        <w:rPr>
          <w:rFonts w:eastAsia="Times New Roman"/>
          <w:szCs w:val="24"/>
        </w:rPr>
        <w:t>.</w:t>
      </w:r>
    </w:p>
    <w:p w:rsidR="00814520" w:rsidRDefault="00814520" w:rsidP="002A504E">
      <w:r>
        <w:t xml:space="preserve">There are 12 products containing lidocaine registered for animal use on </w:t>
      </w:r>
      <w:hyperlink r:id="rId38" w:history="1">
        <w:r w:rsidRPr="00935844">
          <w:rPr>
            <w:rStyle w:val="Hyperlink"/>
          </w:rPr>
          <w:t>PUBCRIS</w:t>
        </w:r>
      </w:hyperlink>
      <w:r>
        <w:t>: four</w:t>
      </w:r>
      <w:r w:rsidRPr="00825A38">
        <w:t xml:space="preserve"> products </w:t>
      </w:r>
      <w:r>
        <w:t>are for injection (1.7-2%); four</w:t>
      </w:r>
      <w:r w:rsidRPr="00825A38">
        <w:t xml:space="preserve"> products </w:t>
      </w:r>
      <w:r>
        <w:t xml:space="preserve">are </w:t>
      </w:r>
      <w:r w:rsidRPr="00825A38">
        <w:t>for dermal application (lotions and creams)</w:t>
      </w:r>
      <w:r>
        <w:t>and</w:t>
      </w:r>
      <w:r w:rsidRPr="00825A38">
        <w:t xml:space="preserve"> contain </w:t>
      </w:r>
      <w:r>
        <w:t>lidocaine</w:t>
      </w:r>
      <w:r w:rsidRPr="00825A38">
        <w:t xml:space="preserve"> at 0.5–2%</w:t>
      </w:r>
      <w:r>
        <w:t xml:space="preserve"> </w:t>
      </w:r>
      <w:r w:rsidRPr="00825A38">
        <w:t xml:space="preserve">and they all contain at least one other active that is a Schedule 4. Of the two ear drops, </w:t>
      </w:r>
      <w:r>
        <w:t>lidocaine</w:t>
      </w:r>
      <w:r w:rsidRPr="00825A38">
        <w:t xml:space="preserve"> concentrations are 0.3</w:t>
      </w:r>
      <w:r w:rsidR="002A504E">
        <w:t>-</w:t>
      </w:r>
      <w:r w:rsidRPr="00825A38">
        <w:t xml:space="preserve">0.5%, however only one contains other S4 actives and the other is the only registered </w:t>
      </w:r>
      <w:r>
        <w:t>lidocaine</w:t>
      </w:r>
      <w:r w:rsidRPr="00825A38">
        <w:t xml:space="preserve"> product</w:t>
      </w:r>
      <w:r>
        <w:t xml:space="preserve"> for animal treatment without an</w:t>
      </w:r>
      <w:r w:rsidRPr="00825A38">
        <w:t xml:space="preserve"> S4 signal heading. The </w:t>
      </w:r>
      <w:r>
        <w:t>remaining</w:t>
      </w:r>
      <w:r w:rsidRPr="00825A38">
        <w:t xml:space="preserve"> two products are topical sprays, </w:t>
      </w:r>
      <w:r w:rsidRPr="00E97A2F">
        <w:rPr>
          <w:highlight w:val="black"/>
        </w:rPr>
        <w:t>XXXXX</w:t>
      </w:r>
      <w:r w:rsidRPr="00825A38">
        <w:t xml:space="preserve"> at 4.06% </w:t>
      </w:r>
      <w:r>
        <w:t>lidocaine</w:t>
      </w:r>
      <w:r w:rsidRPr="00825A38">
        <w:t xml:space="preserve">, and another for dogs and cats containing 4% </w:t>
      </w:r>
      <w:r>
        <w:t>lidocaine</w:t>
      </w:r>
      <w:r w:rsidRPr="00825A38">
        <w:t xml:space="preserve"> and a bittering agent. Therefore, the terminology in the amended entry needs to consider the i</w:t>
      </w:r>
      <w:r w:rsidR="002A504E">
        <w:t>mplications for these products.</w:t>
      </w:r>
    </w:p>
    <w:p w:rsidR="00814520" w:rsidRDefault="00814520" w:rsidP="002A504E">
      <w:pPr>
        <w:pStyle w:val="Heading5"/>
      </w:pPr>
      <w:r>
        <w:t xml:space="preserve">International </w:t>
      </w:r>
      <w:r w:rsidRPr="002A504E">
        <w:t>regulations</w:t>
      </w:r>
    </w:p>
    <w:p w:rsidR="00814520" w:rsidRPr="00E97A2F" w:rsidRDefault="00814520" w:rsidP="002A504E">
      <w:pPr>
        <w:rPr>
          <w:rFonts w:eastAsiaTheme="majorEastAsia"/>
        </w:rPr>
      </w:pPr>
      <w:r w:rsidRPr="00E97A2F">
        <w:t xml:space="preserve">According to the applicant, </w:t>
      </w:r>
      <w:r w:rsidRPr="00E97A2F">
        <w:rPr>
          <w:highlight w:val="black"/>
        </w:rPr>
        <w:t>XXXXX</w:t>
      </w:r>
      <w:r w:rsidRPr="00E97A2F">
        <w:t xml:space="preserve"> is registered in New Zealand as a Restricted Veterinary Medicine available only under veterinary prescription. However, the use of mulesing is not approved in New Zealand so the pressure driving the original Australian re-scheduling was not present in New Zealand.</w:t>
      </w:r>
    </w:p>
    <w:p w:rsidR="00814520" w:rsidRPr="00E97A2F" w:rsidRDefault="00814520" w:rsidP="002A504E">
      <w:pPr>
        <w:rPr>
          <w:rFonts w:eastAsiaTheme="majorEastAsia"/>
        </w:rPr>
      </w:pPr>
      <w:r w:rsidRPr="00E97A2F">
        <w:rPr>
          <w:highlight w:val="black"/>
        </w:rPr>
        <w:t>XXXXX</w:t>
      </w:r>
      <w:r>
        <w:t xml:space="preserve"> </w:t>
      </w:r>
      <w:r w:rsidRPr="00E97A2F">
        <w:t>is not register</w:t>
      </w:r>
      <w:r w:rsidR="002A504E">
        <w:t>ed in any other jurisdictions.</w:t>
      </w:r>
    </w:p>
    <w:p w:rsidR="00814520" w:rsidRDefault="00814520" w:rsidP="002A504E">
      <w:pPr>
        <w:pStyle w:val="Heading5"/>
      </w:pPr>
      <w:r w:rsidRPr="002A504E">
        <w:lastRenderedPageBreak/>
        <w:t>Substance</w:t>
      </w:r>
      <w:r>
        <w:t xml:space="preserve"> summary</w:t>
      </w:r>
    </w:p>
    <w:p w:rsidR="00814520" w:rsidRDefault="00814520" w:rsidP="002A504E">
      <w:pPr>
        <w:pStyle w:val="TableTitle0"/>
      </w:pPr>
      <w:r w:rsidRPr="00B92F73">
        <w:t xml:space="preserve">Table 1: </w:t>
      </w:r>
      <w:r w:rsidRPr="002A504E">
        <w:t>Chemical</w:t>
      </w:r>
      <w:r w:rsidRPr="00B92F73">
        <w:t xml:space="preserve"> information for lidocaine</w:t>
      </w:r>
    </w:p>
    <w:tbl>
      <w:tblPr>
        <w:tblStyle w:val="TableTGAblue"/>
        <w:tblW w:w="9214" w:type="dxa"/>
        <w:tblInd w:w="108" w:type="dxa"/>
        <w:tblLook w:val="04A0" w:firstRow="1" w:lastRow="0" w:firstColumn="1" w:lastColumn="0" w:noHBand="0" w:noVBand="1"/>
      </w:tblPr>
      <w:tblGrid>
        <w:gridCol w:w="3402"/>
        <w:gridCol w:w="5812"/>
      </w:tblGrid>
      <w:tr w:rsidR="00814520" w:rsidTr="0057266C">
        <w:trPr>
          <w:cnfStyle w:val="100000000000" w:firstRow="1" w:lastRow="0" w:firstColumn="0" w:lastColumn="0" w:oddVBand="0" w:evenVBand="0" w:oddHBand="0" w:evenHBand="0" w:firstRowFirstColumn="0" w:firstRowLastColumn="0" w:lastRowFirstColumn="0" w:lastRowLastColumn="0"/>
        </w:trPr>
        <w:tc>
          <w:tcPr>
            <w:tcW w:w="3402" w:type="dxa"/>
            <w:vAlign w:val="center"/>
            <w:hideMark/>
          </w:tcPr>
          <w:p w:rsidR="00814520" w:rsidRPr="006B7AE7" w:rsidRDefault="00814520" w:rsidP="002A504E">
            <w:pPr>
              <w:pStyle w:val="TableHeading"/>
              <w:rPr>
                <w:b/>
                <w:sz w:val="20"/>
                <w:szCs w:val="20"/>
              </w:rPr>
            </w:pPr>
            <w:r w:rsidRPr="006B7AE7">
              <w:rPr>
                <w:b/>
                <w:sz w:val="20"/>
                <w:szCs w:val="20"/>
              </w:rPr>
              <w:t>Property</w:t>
            </w:r>
          </w:p>
        </w:tc>
        <w:tc>
          <w:tcPr>
            <w:tcW w:w="5812" w:type="dxa"/>
            <w:vAlign w:val="center"/>
            <w:hideMark/>
          </w:tcPr>
          <w:p w:rsidR="00814520" w:rsidRPr="006B7AE7" w:rsidRDefault="00814520" w:rsidP="002A504E">
            <w:pPr>
              <w:pStyle w:val="TableHeading"/>
              <w:rPr>
                <w:b/>
                <w:sz w:val="20"/>
                <w:szCs w:val="20"/>
                <w:lang w:eastAsia="en-US"/>
              </w:rPr>
            </w:pPr>
            <w:r w:rsidRPr="006B7AE7">
              <w:rPr>
                <w:b/>
                <w:sz w:val="20"/>
                <w:szCs w:val="20"/>
              </w:rPr>
              <w:t>LIDOCAINE</w:t>
            </w:r>
          </w:p>
        </w:tc>
      </w:tr>
      <w:tr w:rsidR="00814520" w:rsidTr="0057266C">
        <w:tc>
          <w:tcPr>
            <w:tcW w:w="3402"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Chemical structure</w:t>
            </w:r>
          </w:p>
        </w:tc>
        <w:tc>
          <w:tcPr>
            <w:tcW w:w="5812"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rPr>
                <w:rFonts w:asciiTheme="minorHAnsi" w:hAnsiTheme="minorHAnsi" w:cs="Verdana"/>
                <w:sz w:val="20"/>
                <w:szCs w:val="20"/>
              </w:rPr>
            </w:pPr>
            <w:r>
              <w:rPr>
                <w:rFonts w:asciiTheme="minorHAnsi" w:hAnsiTheme="minorHAnsi" w:cs="Verdana"/>
                <w:noProof/>
                <w:sz w:val="20"/>
              </w:rPr>
              <w:drawing>
                <wp:inline distT="0" distB="0" distL="0" distR="0" wp14:anchorId="44B8D16A" wp14:editId="0146A933">
                  <wp:extent cx="1276985" cy="1285240"/>
                  <wp:effectExtent l="0" t="0" r="0" b="0"/>
                  <wp:docPr id="7" name="Picture 7" descr="Chemical structure of Lidoc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6985" cy="1285240"/>
                          </a:xfrm>
                          <a:prstGeom prst="rect">
                            <a:avLst/>
                          </a:prstGeom>
                          <a:noFill/>
                          <a:ln>
                            <a:noFill/>
                          </a:ln>
                        </pic:spPr>
                      </pic:pic>
                    </a:graphicData>
                  </a:graphic>
                </wp:inline>
              </w:drawing>
            </w:r>
          </w:p>
          <w:p w:rsidR="00814520" w:rsidRDefault="00814520" w:rsidP="00814520">
            <w:pPr>
              <w:rPr>
                <w:rFonts w:asciiTheme="minorHAnsi" w:hAnsiTheme="minorHAnsi"/>
                <w:iCs/>
                <w:sz w:val="20"/>
                <w:szCs w:val="20"/>
              </w:rPr>
            </w:pPr>
            <w:proofErr w:type="spellStart"/>
            <w:r>
              <w:rPr>
                <w:rFonts w:asciiTheme="minorHAnsi" w:hAnsiTheme="minorHAnsi"/>
                <w:iCs/>
                <w:sz w:val="20"/>
                <w:szCs w:val="20"/>
              </w:rPr>
              <w:t>Mol</w:t>
            </w:r>
            <w:proofErr w:type="spellEnd"/>
            <w:r>
              <w:rPr>
                <w:rFonts w:asciiTheme="minorHAnsi" w:hAnsiTheme="minorHAnsi"/>
                <w:iCs/>
                <w:sz w:val="20"/>
                <w:szCs w:val="20"/>
              </w:rPr>
              <w:t xml:space="preserve"> </w:t>
            </w:r>
            <w:proofErr w:type="spellStart"/>
            <w:r>
              <w:rPr>
                <w:rFonts w:asciiTheme="minorHAnsi" w:hAnsiTheme="minorHAnsi"/>
                <w:iCs/>
                <w:sz w:val="20"/>
                <w:szCs w:val="20"/>
              </w:rPr>
              <w:t>Wt</w:t>
            </w:r>
            <w:proofErr w:type="spellEnd"/>
            <w:r>
              <w:rPr>
                <w:rFonts w:asciiTheme="minorHAnsi" w:hAnsiTheme="minorHAnsi"/>
                <w:iCs/>
                <w:sz w:val="20"/>
                <w:szCs w:val="20"/>
              </w:rPr>
              <w:t xml:space="preserve"> 234.343 g/</w:t>
            </w:r>
            <w:proofErr w:type="spellStart"/>
            <w:r>
              <w:rPr>
                <w:rFonts w:asciiTheme="minorHAnsi" w:hAnsiTheme="minorHAnsi"/>
                <w:iCs/>
                <w:sz w:val="20"/>
                <w:szCs w:val="20"/>
              </w:rPr>
              <w:t>mol</w:t>
            </w:r>
            <w:proofErr w:type="spellEnd"/>
            <w:r>
              <w:rPr>
                <w:rFonts w:asciiTheme="minorHAnsi" w:hAnsiTheme="minorHAnsi"/>
                <w:iCs/>
                <w:sz w:val="20"/>
                <w:szCs w:val="20"/>
              </w:rPr>
              <w:t xml:space="preserve"> </w:t>
            </w:r>
          </w:p>
        </w:tc>
      </w:tr>
      <w:tr w:rsidR="00814520" w:rsidTr="0057266C">
        <w:tc>
          <w:tcPr>
            <w:tcW w:w="3402"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Molecular formula</w:t>
            </w:r>
          </w:p>
        </w:tc>
        <w:tc>
          <w:tcPr>
            <w:tcW w:w="5812"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rPr>
                <w:rFonts w:asciiTheme="minorHAnsi" w:hAnsiTheme="minorHAnsi"/>
                <w:noProof/>
                <w:sz w:val="20"/>
                <w:szCs w:val="20"/>
              </w:rPr>
            </w:pPr>
            <w:r>
              <w:rPr>
                <w:rFonts w:asciiTheme="minorHAnsi" w:hAnsiTheme="minorHAnsi"/>
                <w:noProof/>
                <w:sz w:val="20"/>
                <w:szCs w:val="20"/>
              </w:rPr>
              <w:t>C</w:t>
            </w:r>
            <w:r>
              <w:rPr>
                <w:rFonts w:asciiTheme="minorHAnsi" w:hAnsiTheme="minorHAnsi"/>
                <w:noProof/>
                <w:sz w:val="20"/>
                <w:szCs w:val="20"/>
                <w:vertAlign w:val="subscript"/>
              </w:rPr>
              <w:t>14</w:t>
            </w:r>
            <w:r>
              <w:rPr>
                <w:rFonts w:asciiTheme="minorHAnsi" w:hAnsiTheme="minorHAnsi"/>
                <w:noProof/>
                <w:sz w:val="20"/>
                <w:szCs w:val="20"/>
              </w:rPr>
              <w:t>H</w:t>
            </w:r>
            <w:r>
              <w:rPr>
                <w:rFonts w:asciiTheme="minorHAnsi" w:hAnsiTheme="minorHAnsi"/>
                <w:noProof/>
                <w:sz w:val="20"/>
                <w:szCs w:val="20"/>
                <w:vertAlign w:val="subscript"/>
              </w:rPr>
              <w:t>22</w:t>
            </w:r>
            <w:r>
              <w:rPr>
                <w:rFonts w:asciiTheme="minorHAnsi" w:hAnsiTheme="minorHAnsi"/>
                <w:noProof/>
                <w:sz w:val="20"/>
                <w:szCs w:val="20"/>
              </w:rPr>
              <w:t>N</w:t>
            </w:r>
            <w:r>
              <w:rPr>
                <w:rFonts w:asciiTheme="minorHAnsi" w:hAnsiTheme="minorHAnsi"/>
                <w:noProof/>
                <w:sz w:val="20"/>
                <w:szCs w:val="20"/>
                <w:vertAlign w:val="subscript"/>
              </w:rPr>
              <w:t>2</w:t>
            </w:r>
            <w:r>
              <w:rPr>
                <w:rFonts w:asciiTheme="minorHAnsi" w:hAnsiTheme="minorHAnsi"/>
                <w:noProof/>
                <w:sz w:val="20"/>
                <w:szCs w:val="20"/>
              </w:rPr>
              <w:t>O</w:t>
            </w:r>
          </w:p>
        </w:tc>
      </w:tr>
      <w:tr w:rsidR="00814520" w:rsidTr="0057266C">
        <w:tc>
          <w:tcPr>
            <w:tcW w:w="3402"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INN</w:t>
            </w:r>
          </w:p>
        </w:tc>
        <w:tc>
          <w:tcPr>
            <w:tcW w:w="5812"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rPr>
                <w:rFonts w:asciiTheme="minorHAnsi" w:hAnsiTheme="minorHAnsi"/>
                <w:color w:val="FF0000"/>
                <w:sz w:val="20"/>
                <w:szCs w:val="20"/>
                <w:lang w:eastAsia="en-US"/>
              </w:rPr>
            </w:pPr>
            <w:r>
              <w:rPr>
                <w:rFonts w:asciiTheme="minorHAnsi" w:hAnsiTheme="minorHAnsi"/>
                <w:sz w:val="20"/>
                <w:szCs w:val="20"/>
              </w:rPr>
              <w:t>Lidocaine (cross-referenced to lignocaine in  SUSMP)</w:t>
            </w:r>
          </w:p>
        </w:tc>
      </w:tr>
      <w:tr w:rsidR="00814520" w:rsidTr="0057266C">
        <w:tc>
          <w:tcPr>
            <w:tcW w:w="3402"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CAS number</w:t>
            </w:r>
          </w:p>
        </w:tc>
        <w:tc>
          <w:tcPr>
            <w:tcW w:w="5812"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rPr>
                <w:rFonts w:asciiTheme="minorHAnsi" w:hAnsiTheme="minorHAnsi"/>
                <w:sz w:val="20"/>
                <w:szCs w:val="20"/>
              </w:rPr>
            </w:pPr>
            <w:r>
              <w:rPr>
                <w:rFonts w:asciiTheme="minorHAnsi" w:hAnsiTheme="minorHAnsi"/>
                <w:sz w:val="20"/>
                <w:szCs w:val="20"/>
              </w:rPr>
              <w:t>137-58-6*</w:t>
            </w:r>
          </w:p>
        </w:tc>
      </w:tr>
      <w:tr w:rsidR="00814520" w:rsidTr="0057266C">
        <w:tc>
          <w:tcPr>
            <w:tcW w:w="3402"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rPr>
            </w:pPr>
            <w:r>
              <w:rPr>
                <w:sz w:val="20"/>
              </w:rPr>
              <w:t>EC number</w:t>
            </w:r>
          </w:p>
        </w:tc>
        <w:tc>
          <w:tcPr>
            <w:tcW w:w="5812"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Pr="000476E8" w:rsidRDefault="00814520" w:rsidP="00814520">
            <w:pPr>
              <w:rPr>
                <w:rFonts w:asciiTheme="minorHAnsi" w:hAnsiTheme="minorHAnsi"/>
                <w:b/>
                <w:sz w:val="20"/>
                <w:szCs w:val="20"/>
              </w:rPr>
            </w:pPr>
            <w:r w:rsidRPr="000476E8">
              <w:rPr>
                <w:rStyle w:val="Strong"/>
                <w:color w:val="333333"/>
                <w:sz w:val="20"/>
                <w:szCs w:val="20"/>
                <w:lang w:val="en-GB"/>
              </w:rPr>
              <w:t>205-302-8</w:t>
            </w:r>
          </w:p>
        </w:tc>
      </w:tr>
      <w:tr w:rsidR="00814520" w:rsidTr="0057266C">
        <w:tc>
          <w:tcPr>
            <w:tcW w:w="3402"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Pr="0057266C" w:rsidRDefault="00814520" w:rsidP="00814520">
            <w:pPr>
              <w:spacing w:before="120" w:after="120"/>
              <w:rPr>
                <w:sz w:val="20"/>
                <w:szCs w:val="20"/>
              </w:rPr>
            </w:pPr>
            <w:r w:rsidRPr="0057266C">
              <w:rPr>
                <w:sz w:val="20"/>
                <w:szCs w:val="20"/>
              </w:rPr>
              <w:t>IUPAC and/or common and/or other names</w:t>
            </w:r>
          </w:p>
        </w:tc>
        <w:tc>
          <w:tcPr>
            <w:tcW w:w="5812"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Pr="0057266C" w:rsidRDefault="00814520" w:rsidP="00814520">
            <w:pPr>
              <w:spacing w:before="120" w:after="120"/>
              <w:rPr>
                <w:sz w:val="20"/>
                <w:szCs w:val="20"/>
              </w:rPr>
            </w:pPr>
            <w:r w:rsidRPr="0057266C">
              <w:rPr>
                <w:sz w:val="20"/>
                <w:szCs w:val="20"/>
              </w:rPr>
              <w:t>IUPAC: 2-(</w:t>
            </w:r>
            <w:proofErr w:type="spellStart"/>
            <w:r w:rsidRPr="0057266C">
              <w:rPr>
                <w:sz w:val="20"/>
                <w:szCs w:val="20"/>
              </w:rPr>
              <w:t>diethylamino</w:t>
            </w:r>
            <w:proofErr w:type="spellEnd"/>
            <w:r w:rsidRPr="0057266C">
              <w:rPr>
                <w:sz w:val="20"/>
                <w:szCs w:val="20"/>
              </w:rPr>
              <w:t>)-N</w:t>
            </w:r>
            <w:r w:rsidR="0057266C" w:rsidRPr="0057266C">
              <w:rPr>
                <w:sz w:val="20"/>
                <w:szCs w:val="20"/>
              </w:rPr>
              <w:t>-(2,6-dimethylphenyl)</w:t>
            </w:r>
            <w:proofErr w:type="spellStart"/>
            <w:r w:rsidR="0057266C" w:rsidRPr="0057266C">
              <w:rPr>
                <w:sz w:val="20"/>
                <w:szCs w:val="20"/>
              </w:rPr>
              <w:t>acetamide</w:t>
            </w:r>
            <w:proofErr w:type="spellEnd"/>
          </w:p>
          <w:p w:rsidR="00814520" w:rsidRPr="0057266C" w:rsidRDefault="00814520" w:rsidP="00814520">
            <w:pPr>
              <w:spacing w:before="120" w:after="120"/>
              <w:rPr>
                <w:rFonts w:asciiTheme="minorHAnsi" w:hAnsiTheme="minorHAnsi"/>
                <w:sz w:val="20"/>
                <w:szCs w:val="20"/>
              </w:rPr>
            </w:pPr>
            <w:r w:rsidRPr="0057266C">
              <w:rPr>
                <w:sz w:val="20"/>
                <w:szCs w:val="20"/>
              </w:rPr>
              <w:t xml:space="preserve">2-Diethylamino-2', 6'-acetoxylidide,  Numerous other names: xylocaine, </w:t>
            </w:r>
            <w:proofErr w:type="spellStart"/>
            <w:r w:rsidRPr="0057266C">
              <w:rPr>
                <w:sz w:val="20"/>
                <w:szCs w:val="20"/>
              </w:rPr>
              <w:t>lidoderm</w:t>
            </w:r>
            <w:proofErr w:type="spellEnd"/>
            <w:r w:rsidRPr="0057266C">
              <w:rPr>
                <w:sz w:val="20"/>
                <w:szCs w:val="20"/>
              </w:rPr>
              <w:t xml:space="preserve">, </w:t>
            </w:r>
            <w:proofErr w:type="spellStart"/>
            <w:r w:rsidRPr="0057266C">
              <w:rPr>
                <w:sz w:val="20"/>
                <w:szCs w:val="20"/>
              </w:rPr>
              <w:t>lignocainum</w:t>
            </w:r>
            <w:proofErr w:type="spellEnd"/>
            <w:r w:rsidRPr="0057266C">
              <w:rPr>
                <w:sz w:val="20"/>
                <w:szCs w:val="20"/>
              </w:rPr>
              <w:t xml:space="preserve">, </w:t>
            </w:r>
            <w:proofErr w:type="spellStart"/>
            <w:r w:rsidRPr="0057266C">
              <w:rPr>
                <w:sz w:val="20"/>
                <w:szCs w:val="20"/>
              </w:rPr>
              <w:t>solcain</w:t>
            </w:r>
            <w:proofErr w:type="spellEnd"/>
            <w:r w:rsidRPr="0057266C">
              <w:rPr>
                <w:sz w:val="20"/>
                <w:szCs w:val="20"/>
              </w:rPr>
              <w:t xml:space="preserve">, </w:t>
            </w:r>
            <w:proofErr w:type="spellStart"/>
            <w:r w:rsidRPr="0057266C">
              <w:rPr>
                <w:sz w:val="20"/>
                <w:szCs w:val="20"/>
              </w:rPr>
              <w:t>solarcaine</w:t>
            </w:r>
            <w:proofErr w:type="spellEnd"/>
            <w:r w:rsidRPr="0057266C">
              <w:rPr>
                <w:sz w:val="20"/>
                <w:szCs w:val="20"/>
              </w:rPr>
              <w:t xml:space="preserve"> etc.</w:t>
            </w:r>
          </w:p>
        </w:tc>
      </w:tr>
    </w:tbl>
    <w:p w:rsidR="00814520" w:rsidRDefault="00814520" w:rsidP="0057266C">
      <w:pPr>
        <w:pStyle w:val="Tabledescription"/>
      </w:pPr>
      <w:r>
        <w:t>*CAS No. 6108-05-0 is for lignocaine hydrochlor</w:t>
      </w:r>
      <w:r w:rsidR="00445E77">
        <w:t>ide, the active in this product</w:t>
      </w:r>
    </w:p>
    <w:p w:rsidR="00814520" w:rsidRDefault="00814520" w:rsidP="0057266C">
      <w:pPr>
        <w:pStyle w:val="TableTitle0"/>
      </w:pPr>
      <w:r>
        <w:t xml:space="preserve">Table 2: </w:t>
      </w:r>
      <w:r w:rsidRPr="0057266C">
        <w:t>Acute</w:t>
      </w:r>
      <w:r>
        <w:t xml:space="preserve"> toxicity end-points for lidocaine</w:t>
      </w:r>
    </w:p>
    <w:tbl>
      <w:tblPr>
        <w:tblStyle w:val="TableTGAblue"/>
        <w:tblW w:w="5000" w:type="pct"/>
        <w:tblLook w:val="04A0" w:firstRow="1" w:lastRow="0" w:firstColumn="1" w:lastColumn="0" w:noHBand="0" w:noVBand="1"/>
      </w:tblPr>
      <w:tblGrid>
        <w:gridCol w:w="4504"/>
        <w:gridCol w:w="1135"/>
        <w:gridCol w:w="1983"/>
        <w:gridCol w:w="1664"/>
      </w:tblGrid>
      <w:tr w:rsidR="00814520" w:rsidRPr="0057266C" w:rsidTr="006B7AE7">
        <w:trPr>
          <w:cnfStyle w:val="100000000000" w:firstRow="1" w:lastRow="0" w:firstColumn="0" w:lastColumn="0" w:oddVBand="0" w:evenVBand="0" w:oddHBand="0" w:evenHBand="0" w:firstRowFirstColumn="0" w:firstRowLastColumn="0" w:lastRowFirstColumn="0" w:lastRowLastColumn="0"/>
        </w:trPr>
        <w:tc>
          <w:tcPr>
            <w:tcW w:w="2425" w:type="pct"/>
            <w:hideMark/>
          </w:tcPr>
          <w:p w:rsidR="00814520" w:rsidRPr="006B7AE7" w:rsidRDefault="00814520" w:rsidP="0057266C">
            <w:pPr>
              <w:pStyle w:val="TableHeading"/>
              <w:rPr>
                <w:b/>
                <w:sz w:val="20"/>
                <w:szCs w:val="20"/>
              </w:rPr>
            </w:pPr>
            <w:r w:rsidRPr="006B7AE7">
              <w:rPr>
                <w:b/>
                <w:sz w:val="20"/>
                <w:szCs w:val="20"/>
              </w:rPr>
              <w:t>Toxicity</w:t>
            </w:r>
          </w:p>
        </w:tc>
        <w:tc>
          <w:tcPr>
            <w:tcW w:w="611" w:type="pct"/>
            <w:hideMark/>
          </w:tcPr>
          <w:p w:rsidR="00814520" w:rsidRPr="006B7AE7" w:rsidRDefault="00814520" w:rsidP="0057266C">
            <w:pPr>
              <w:pStyle w:val="TableHeading"/>
              <w:rPr>
                <w:b/>
                <w:sz w:val="20"/>
                <w:szCs w:val="20"/>
              </w:rPr>
            </w:pPr>
            <w:r w:rsidRPr="006B7AE7">
              <w:rPr>
                <w:b/>
                <w:sz w:val="20"/>
                <w:szCs w:val="20"/>
              </w:rPr>
              <w:t>Species</w:t>
            </w:r>
          </w:p>
        </w:tc>
        <w:tc>
          <w:tcPr>
            <w:tcW w:w="1068" w:type="pct"/>
            <w:hideMark/>
          </w:tcPr>
          <w:p w:rsidR="00814520" w:rsidRPr="006B7AE7" w:rsidRDefault="00814520" w:rsidP="0057266C">
            <w:pPr>
              <w:pStyle w:val="TableHeading"/>
              <w:rPr>
                <w:b/>
                <w:sz w:val="20"/>
                <w:szCs w:val="20"/>
              </w:rPr>
            </w:pPr>
            <w:r w:rsidRPr="006B7AE7">
              <w:rPr>
                <w:b/>
                <w:sz w:val="20"/>
                <w:szCs w:val="20"/>
              </w:rPr>
              <w:t>Lidocaine</w:t>
            </w:r>
          </w:p>
        </w:tc>
        <w:tc>
          <w:tcPr>
            <w:tcW w:w="897" w:type="pct"/>
            <w:hideMark/>
          </w:tcPr>
          <w:p w:rsidR="00814520" w:rsidRPr="006B7AE7" w:rsidRDefault="00814520" w:rsidP="0057266C">
            <w:pPr>
              <w:pStyle w:val="TableHeading"/>
              <w:rPr>
                <w:b/>
                <w:sz w:val="20"/>
                <w:szCs w:val="20"/>
              </w:rPr>
            </w:pPr>
            <w:r w:rsidRPr="006B7AE7">
              <w:rPr>
                <w:b/>
                <w:sz w:val="20"/>
                <w:szCs w:val="20"/>
              </w:rPr>
              <w:t>SPF (2018) Classification</w:t>
            </w:r>
          </w:p>
        </w:tc>
      </w:tr>
      <w:tr w:rsidR="00814520" w:rsidTr="006B7AE7">
        <w:tc>
          <w:tcPr>
            <w:tcW w:w="2425" w:type="pct"/>
            <w:vMerge w:val="restar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Acute oral toxicity LD</w:t>
            </w:r>
            <w:r>
              <w:rPr>
                <w:sz w:val="20"/>
                <w:szCs w:val="20"/>
                <w:vertAlign w:val="subscript"/>
              </w:rPr>
              <w:t>50</w:t>
            </w:r>
            <w:r>
              <w:rPr>
                <w:sz w:val="20"/>
                <w:szCs w:val="20"/>
              </w:rPr>
              <w:t xml:space="preserve"> (mg/kg </w:t>
            </w:r>
            <w:proofErr w:type="spellStart"/>
            <w:r>
              <w:rPr>
                <w:sz w:val="20"/>
                <w:szCs w:val="20"/>
              </w:rPr>
              <w:t>bw</w:t>
            </w:r>
            <w:proofErr w:type="spellEnd"/>
            <w:r>
              <w:rPr>
                <w:sz w:val="20"/>
                <w:szCs w:val="20"/>
              </w:rPr>
              <w:t>)</w:t>
            </w:r>
          </w:p>
        </w:tc>
        <w:tc>
          <w:tcPr>
            <w:tcW w:w="611"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lang w:eastAsia="en-US"/>
              </w:rPr>
            </w:pPr>
            <w:r>
              <w:rPr>
                <w:sz w:val="20"/>
                <w:szCs w:val="20"/>
              </w:rPr>
              <w:t>Mice</w:t>
            </w:r>
          </w:p>
        </w:tc>
        <w:tc>
          <w:tcPr>
            <w:tcW w:w="1068"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6B7AE7">
            <w:pPr>
              <w:spacing w:before="120" w:after="120"/>
              <w:rPr>
                <w:sz w:val="20"/>
              </w:rPr>
            </w:pPr>
            <w:r>
              <w:rPr>
                <w:sz w:val="20"/>
              </w:rPr>
              <w:t xml:space="preserve">220 mg/kg </w:t>
            </w:r>
            <w:proofErr w:type="spellStart"/>
            <w:r>
              <w:rPr>
                <w:sz w:val="20"/>
              </w:rPr>
              <w:t>bw</w:t>
            </w:r>
            <w:proofErr w:type="spellEnd"/>
          </w:p>
        </w:tc>
        <w:tc>
          <w:tcPr>
            <w:tcW w:w="897"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jc w:val="center"/>
              <w:rPr>
                <w:sz w:val="20"/>
                <w:szCs w:val="20"/>
              </w:rPr>
            </w:pPr>
            <w:r>
              <w:rPr>
                <w:sz w:val="20"/>
                <w:szCs w:val="20"/>
              </w:rPr>
              <w:t>S6*</w:t>
            </w:r>
          </w:p>
        </w:tc>
      </w:tr>
      <w:tr w:rsidR="00814520" w:rsidTr="006B7AE7">
        <w:tc>
          <w:tcPr>
            <w:tcW w:w="2425" w:type="pct"/>
            <w:vMerge/>
            <w:tcBorders>
              <w:top w:val="single" w:sz="8" w:space="0" w:color="002C47" w:themeColor="text1"/>
              <w:left w:val="single" w:sz="8" w:space="0" w:color="002C47" w:themeColor="text1"/>
              <w:bottom w:val="single" w:sz="8" w:space="0" w:color="002C47" w:themeColor="text1"/>
              <w:right w:val="single" w:sz="8" w:space="0" w:color="002C47" w:themeColor="text1"/>
            </w:tcBorders>
            <w:vAlign w:val="center"/>
            <w:hideMark/>
          </w:tcPr>
          <w:p w:rsidR="00814520" w:rsidRDefault="00814520" w:rsidP="00814520">
            <w:pPr>
              <w:spacing w:before="0" w:after="0" w:line="240" w:lineRule="auto"/>
              <w:rPr>
                <w:sz w:val="20"/>
              </w:rPr>
            </w:pPr>
          </w:p>
        </w:tc>
        <w:tc>
          <w:tcPr>
            <w:tcW w:w="611"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rPr>
            </w:pPr>
            <w:r>
              <w:rPr>
                <w:sz w:val="20"/>
              </w:rPr>
              <w:t>Rat</w:t>
            </w:r>
          </w:p>
        </w:tc>
        <w:tc>
          <w:tcPr>
            <w:tcW w:w="1068"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6B7AE7">
            <w:pPr>
              <w:spacing w:before="120" w:after="120"/>
              <w:rPr>
                <w:sz w:val="20"/>
              </w:rPr>
            </w:pPr>
            <w:r>
              <w:rPr>
                <w:sz w:val="20"/>
              </w:rPr>
              <w:t xml:space="preserve">317 mg/kg </w:t>
            </w:r>
            <w:proofErr w:type="spellStart"/>
            <w:r>
              <w:rPr>
                <w:sz w:val="20"/>
              </w:rPr>
              <w:t>bw</w:t>
            </w:r>
            <w:proofErr w:type="spellEnd"/>
          </w:p>
        </w:tc>
        <w:tc>
          <w:tcPr>
            <w:tcW w:w="897"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jc w:val="center"/>
              <w:rPr>
                <w:sz w:val="20"/>
              </w:rPr>
            </w:pPr>
            <w:r>
              <w:rPr>
                <w:sz w:val="20"/>
              </w:rPr>
              <w:t>S6*</w:t>
            </w:r>
          </w:p>
        </w:tc>
      </w:tr>
      <w:tr w:rsidR="00814520" w:rsidTr="006B7AE7">
        <w:tc>
          <w:tcPr>
            <w:tcW w:w="2425"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Acute dermal toxicity LD</w:t>
            </w:r>
            <w:r>
              <w:rPr>
                <w:sz w:val="20"/>
                <w:szCs w:val="20"/>
                <w:vertAlign w:val="subscript"/>
              </w:rPr>
              <w:t>50</w:t>
            </w:r>
            <w:r>
              <w:rPr>
                <w:sz w:val="20"/>
                <w:szCs w:val="20"/>
              </w:rPr>
              <w:t xml:space="preserve"> (mg/kg </w:t>
            </w:r>
            <w:proofErr w:type="spellStart"/>
            <w:r>
              <w:rPr>
                <w:sz w:val="20"/>
                <w:szCs w:val="20"/>
              </w:rPr>
              <w:t>bw</w:t>
            </w:r>
            <w:proofErr w:type="spellEnd"/>
            <w:r>
              <w:rPr>
                <w:sz w:val="20"/>
                <w:szCs w:val="20"/>
              </w:rPr>
              <w:t>)</w:t>
            </w:r>
          </w:p>
        </w:tc>
        <w:tc>
          <w:tcPr>
            <w:tcW w:w="611"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w:t>
            </w:r>
          </w:p>
        </w:tc>
        <w:tc>
          <w:tcPr>
            <w:tcW w:w="1068"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6B7AE7">
            <w:pPr>
              <w:spacing w:before="120" w:after="120"/>
              <w:rPr>
                <w:sz w:val="20"/>
              </w:rPr>
            </w:pPr>
            <w:r>
              <w:rPr>
                <w:sz w:val="20"/>
              </w:rPr>
              <w:t>No data</w:t>
            </w:r>
          </w:p>
        </w:tc>
        <w:tc>
          <w:tcPr>
            <w:tcW w:w="897"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jc w:val="center"/>
              <w:rPr>
                <w:sz w:val="20"/>
                <w:szCs w:val="20"/>
              </w:rPr>
            </w:pPr>
            <w:r>
              <w:rPr>
                <w:sz w:val="20"/>
                <w:szCs w:val="20"/>
              </w:rPr>
              <w:t>-</w:t>
            </w:r>
          </w:p>
        </w:tc>
      </w:tr>
      <w:tr w:rsidR="00814520" w:rsidTr="006B7AE7">
        <w:tc>
          <w:tcPr>
            <w:tcW w:w="2425"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Acute inhalational toxicity LC</w:t>
            </w:r>
            <w:r>
              <w:rPr>
                <w:sz w:val="20"/>
                <w:szCs w:val="20"/>
                <w:vertAlign w:val="subscript"/>
              </w:rPr>
              <w:t>50</w:t>
            </w:r>
            <w:r>
              <w:rPr>
                <w:sz w:val="20"/>
                <w:szCs w:val="20"/>
              </w:rPr>
              <w:t xml:space="preserve"> (mg/m</w:t>
            </w:r>
            <w:r>
              <w:rPr>
                <w:sz w:val="20"/>
                <w:szCs w:val="20"/>
                <w:vertAlign w:val="superscript"/>
              </w:rPr>
              <w:t>3</w:t>
            </w:r>
            <w:r>
              <w:rPr>
                <w:sz w:val="20"/>
                <w:szCs w:val="20"/>
              </w:rPr>
              <w:t>/4 h)</w:t>
            </w:r>
          </w:p>
        </w:tc>
        <w:tc>
          <w:tcPr>
            <w:tcW w:w="611"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w:t>
            </w:r>
          </w:p>
        </w:tc>
        <w:tc>
          <w:tcPr>
            <w:tcW w:w="1068"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6B7AE7">
            <w:pPr>
              <w:spacing w:before="120" w:after="120"/>
              <w:rPr>
                <w:sz w:val="20"/>
              </w:rPr>
            </w:pPr>
            <w:r>
              <w:rPr>
                <w:sz w:val="20"/>
              </w:rPr>
              <w:t>No data</w:t>
            </w:r>
          </w:p>
        </w:tc>
        <w:tc>
          <w:tcPr>
            <w:tcW w:w="897"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jc w:val="center"/>
              <w:rPr>
                <w:sz w:val="20"/>
                <w:szCs w:val="20"/>
              </w:rPr>
            </w:pPr>
            <w:r>
              <w:rPr>
                <w:sz w:val="20"/>
                <w:szCs w:val="20"/>
              </w:rPr>
              <w:t>-</w:t>
            </w:r>
          </w:p>
        </w:tc>
      </w:tr>
      <w:tr w:rsidR="00814520" w:rsidTr="006B7AE7">
        <w:tc>
          <w:tcPr>
            <w:tcW w:w="2425"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Skin irritation</w:t>
            </w:r>
          </w:p>
        </w:tc>
        <w:tc>
          <w:tcPr>
            <w:tcW w:w="611"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w:t>
            </w:r>
          </w:p>
        </w:tc>
        <w:tc>
          <w:tcPr>
            <w:tcW w:w="1068"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6B7AE7" w:rsidP="006B7AE7">
            <w:pPr>
              <w:spacing w:before="120" w:after="120"/>
              <w:rPr>
                <w:sz w:val="20"/>
                <w:szCs w:val="20"/>
              </w:rPr>
            </w:pPr>
            <w:r>
              <w:rPr>
                <w:sz w:val="20"/>
                <w:szCs w:val="20"/>
              </w:rPr>
              <w:t>Slight</w:t>
            </w:r>
          </w:p>
        </w:tc>
        <w:tc>
          <w:tcPr>
            <w:tcW w:w="897"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jc w:val="center"/>
              <w:rPr>
                <w:sz w:val="20"/>
                <w:szCs w:val="20"/>
              </w:rPr>
            </w:pPr>
            <w:r>
              <w:rPr>
                <w:sz w:val="20"/>
                <w:szCs w:val="20"/>
              </w:rPr>
              <w:t>S5</w:t>
            </w:r>
          </w:p>
        </w:tc>
      </w:tr>
      <w:tr w:rsidR="00814520" w:rsidTr="006B7AE7">
        <w:tc>
          <w:tcPr>
            <w:tcW w:w="2425"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6B7AE7" w:rsidP="00814520">
            <w:pPr>
              <w:spacing w:before="120" w:after="120"/>
              <w:rPr>
                <w:sz w:val="20"/>
                <w:szCs w:val="20"/>
              </w:rPr>
            </w:pPr>
            <w:r>
              <w:rPr>
                <w:sz w:val="20"/>
                <w:szCs w:val="20"/>
              </w:rPr>
              <w:t>Eye irritation</w:t>
            </w:r>
          </w:p>
        </w:tc>
        <w:tc>
          <w:tcPr>
            <w:tcW w:w="611"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w:t>
            </w:r>
          </w:p>
        </w:tc>
        <w:tc>
          <w:tcPr>
            <w:tcW w:w="1068"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6B7AE7">
            <w:pPr>
              <w:spacing w:before="120" w:after="120"/>
              <w:rPr>
                <w:sz w:val="20"/>
                <w:szCs w:val="20"/>
              </w:rPr>
            </w:pPr>
            <w:r>
              <w:rPr>
                <w:sz w:val="20"/>
                <w:szCs w:val="20"/>
              </w:rPr>
              <w:t>Irritant</w:t>
            </w:r>
          </w:p>
        </w:tc>
        <w:tc>
          <w:tcPr>
            <w:tcW w:w="897"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jc w:val="center"/>
              <w:rPr>
                <w:sz w:val="20"/>
                <w:szCs w:val="20"/>
              </w:rPr>
            </w:pPr>
            <w:r>
              <w:rPr>
                <w:sz w:val="20"/>
                <w:szCs w:val="20"/>
              </w:rPr>
              <w:t>S5</w:t>
            </w:r>
          </w:p>
        </w:tc>
      </w:tr>
      <w:tr w:rsidR="00814520" w:rsidTr="006B7AE7">
        <w:tc>
          <w:tcPr>
            <w:tcW w:w="2425"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Skin sensitisation</w:t>
            </w:r>
          </w:p>
        </w:tc>
        <w:tc>
          <w:tcPr>
            <w:tcW w:w="611"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Human</w:t>
            </w:r>
          </w:p>
        </w:tc>
        <w:tc>
          <w:tcPr>
            <w:tcW w:w="1068"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6B7AE7">
            <w:pPr>
              <w:spacing w:before="120" w:after="120"/>
              <w:rPr>
                <w:sz w:val="20"/>
                <w:szCs w:val="20"/>
              </w:rPr>
            </w:pPr>
            <w:r>
              <w:rPr>
                <w:sz w:val="20"/>
                <w:szCs w:val="20"/>
              </w:rPr>
              <w:t>Rarely</w:t>
            </w:r>
          </w:p>
        </w:tc>
        <w:tc>
          <w:tcPr>
            <w:tcW w:w="897"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jc w:val="center"/>
              <w:rPr>
                <w:sz w:val="20"/>
                <w:szCs w:val="20"/>
              </w:rPr>
            </w:pPr>
            <w:r>
              <w:rPr>
                <w:sz w:val="20"/>
                <w:szCs w:val="20"/>
              </w:rPr>
              <w:t>-</w:t>
            </w:r>
          </w:p>
        </w:tc>
      </w:tr>
    </w:tbl>
    <w:p w:rsidR="00814520" w:rsidRDefault="00814520" w:rsidP="00B24873">
      <w:pPr>
        <w:pStyle w:val="Tabledescription"/>
      </w:pPr>
      <w:r>
        <w:t>*</w:t>
      </w:r>
      <w:r w:rsidRPr="003E003D">
        <w:t xml:space="preserve">Previous considerations determined ‘POISON’ was not an appropriate signal heading for a veterinary medicine and the active, when present in </w:t>
      </w:r>
      <w:r w:rsidRPr="003E003D">
        <w:rPr>
          <w:highlight w:val="black"/>
        </w:rPr>
        <w:t>XXXXXX</w:t>
      </w:r>
      <w:r w:rsidRPr="003E003D">
        <w:t>, was instead classified as a Schedule 5.</w:t>
      </w:r>
    </w:p>
    <w:p w:rsidR="00814520" w:rsidRDefault="00814520" w:rsidP="007A6F3B">
      <w:pPr>
        <w:pStyle w:val="TableTitle0"/>
      </w:pPr>
      <w:r>
        <w:lastRenderedPageBreak/>
        <w:t xml:space="preserve">Table </w:t>
      </w:r>
      <w:r w:rsidR="00445E77">
        <w:rPr>
          <w:noProof/>
        </w:rPr>
        <w:t>3</w:t>
      </w:r>
      <w:r>
        <w:t xml:space="preserve">: Acute toxicity end-points for </w:t>
      </w:r>
      <w:r w:rsidRPr="003E003D">
        <w:rPr>
          <w:highlight w:val="black"/>
        </w:rPr>
        <w:t>XXXXX</w:t>
      </w:r>
      <w:r>
        <w:t xml:space="preserve"> containing 40.6 g/L lidocaine (as hydrochloride), 4.2 g/L bupivacaine (as hydrochloride), 24.8 mg/L adrenaline (as acid tartrate) </w:t>
      </w:r>
      <w:r w:rsidRPr="007A6F3B">
        <w:t>and</w:t>
      </w:r>
      <w:r>
        <w:t xml:space="preserve"> 5.0 g/L </w:t>
      </w:r>
      <w:proofErr w:type="spellStart"/>
      <w:r>
        <w:t>cetrimide</w:t>
      </w:r>
      <w:proofErr w:type="spellEnd"/>
    </w:p>
    <w:tbl>
      <w:tblPr>
        <w:tblStyle w:val="TableTGAblue"/>
        <w:tblW w:w="5000" w:type="pct"/>
        <w:tblLook w:val="04A0" w:firstRow="1" w:lastRow="0" w:firstColumn="1" w:lastColumn="0" w:noHBand="0" w:noVBand="1"/>
      </w:tblPr>
      <w:tblGrid>
        <w:gridCol w:w="4503"/>
        <w:gridCol w:w="1418"/>
        <w:gridCol w:w="1842"/>
        <w:gridCol w:w="1523"/>
      </w:tblGrid>
      <w:tr w:rsidR="00814520" w:rsidTr="007A6F3B">
        <w:trPr>
          <w:cnfStyle w:val="100000000000" w:firstRow="1" w:lastRow="0" w:firstColumn="0" w:lastColumn="0" w:oddVBand="0" w:evenVBand="0" w:oddHBand="0" w:evenHBand="0" w:firstRowFirstColumn="0" w:firstRowLastColumn="0" w:lastRowFirstColumn="0" w:lastRowLastColumn="0"/>
        </w:trPr>
        <w:tc>
          <w:tcPr>
            <w:tcW w:w="2425" w:type="pct"/>
            <w:hideMark/>
          </w:tcPr>
          <w:p w:rsidR="00814520" w:rsidRPr="007A6F3B" w:rsidRDefault="00814520" w:rsidP="007A6F3B">
            <w:pPr>
              <w:pStyle w:val="TableHeading"/>
              <w:rPr>
                <w:b/>
                <w:sz w:val="20"/>
                <w:szCs w:val="20"/>
              </w:rPr>
            </w:pPr>
            <w:r w:rsidRPr="007A6F3B">
              <w:rPr>
                <w:b/>
                <w:sz w:val="20"/>
                <w:szCs w:val="20"/>
              </w:rPr>
              <w:t>Toxicity</w:t>
            </w:r>
          </w:p>
        </w:tc>
        <w:tc>
          <w:tcPr>
            <w:tcW w:w="764" w:type="pct"/>
            <w:hideMark/>
          </w:tcPr>
          <w:p w:rsidR="00814520" w:rsidRPr="007A6F3B" w:rsidRDefault="00814520" w:rsidP="007A6F3B">
            <w:pPr>
              <w:pStyle w:val="TableHeading"/>
              <w:rPr>
                <w:b/>
                <w:sz w:val="20"/>
                <w:szCs w:val="20"/>
              </w:rPr>
            </w:pPr>
            <w:r w:rsidRPr="007A6F3B">
              <w:rPr>
                <w:b/>
                <w:sz w:val="20"/>
                <w:szCs w:val="20"/>
              </w:rPr>
              <w:t>Species</w:t>
            </w:r>
          </w:p>
        </w:tc>
        <w:tc>
          <w:tcPr>
            <w:tcW w:w="992" w:type="pct"/>
            <w:hideMark/>
          </w:tcPr>
          <w:p w:rsidR="00814520" w:rsidRPr="007A6F3B" w:rsidRDefault="00814520" w:rsidP="007A6F3B">
            <w:pPr>
              <w:pStyle w:val="TableHeading"/>
              <w:rPr>
                <w:b/>
                <w:sz w:val="20"/>
                <w:szCs w:val="20"/>
              </w:rPr>
            </w:pPr>
            <w:r w:rsidRPr="007A6F3B">
              <w:rPr>
                <w:b/>
                <w:sz w:val="20"/>
                <w:szCs w:val="20"/>
              </w:rPr>
              <w:t>Tri-</w:t>
            </w:r>
            <w:proofErr w:type="spellStart"/>
            <w:r w:rsidRPr="007A6F3B">
              <w:rPr>
                <w:b/>
                <w:sz w:val="20"/>
                <w:szCs w:val="20"/>
              </w:rPr>
              <w:t>solfen</w:t>
            </w:r>
            <w:proofErr w:type="spellEnd"/>
            <w:r w:rsidRPr="007A6F3B">
              <w:rPr>
                <w:b/>
                <w:sz w:val="20"/>
                <w:szCs w:val="20"/>
              </w:rPr>
              <w:t>*</w:t>
            </w:r>
          </w:p>
        </w:tc>
        <w:tc>
          <w:tcPr>
            <w:tcW w:w="820" w:type="pct"/>
            <w:hideMark/>
          </w:tcPr>
          <w:p w:rsidR="00814520" w:rsidRPr="007A6F3B" w:rsidRDefault="00814520" w:rsidP="007A6F3B">
            <w:pPr>
              <w:pStyle w:val="TableHeading"/>
              <w:rPr>
                <w:b/>
                <w:sz w:val="20"/>
                <w:szCs w:val="20"/>
              </w:rPr>
            </w:pPr>
            <w:r w:rsidRPr="007A6F3B">
              <w:rPr>
                <w:b/>
                <w:sz w:val="20"/>
                <w:szCs w:val="20"/>
              </w:rPr>
              <w:t>SPF (2018) Classification</w:t>
            </w:r>
            <w:r w:rsidRPr="00AC68E2">
              <w:rPr>
                <w:rStyle w:val="FootnoteReference"/>
              </w:rPr>
              <w:footnoteReference w:id="9"/>
            </w:r>
          </w:p>
        </w:tc>
      </w:tr>
      <w:tr w:rsidR="00814520" w:rsidTr="007A6F3B">
        <w:tc>
          <w:tcPr>
            <w:tcW w:w="2425"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Acute oral toxicity LD</w:t>
            </w:r>
            <w:r>
              <w:rPr>
                <w:sz w:val="20"/>
                <w:szCs w:val="20"/>
                <w:vertAlign w:val="subscript"/>
              </w:rPr>
              <w:t>50</w:t>
            </w:r>
            <w:r>
              <w:rPr>
                <w:sz w:val="20"/>
                <w:szCs w:val="20"/>
              </w:rPr>
              <w:t xml:space="preserve"> (mg/kg </w:t>
            </w:r>
            <w:proofErr w:type="spellStart"/>
            <w:r>
              <w:rPr>
                <w:sz w:val="20"/>
                <w:szCs w:val="20"/>
              </w:rPr>
              <w:t>bw</w:t>
            </w:r>
            <w:proofErr w:type="spellEnd"/>
            <w:r>
              <w:rPr>
                <w:sz w:val="20"/>
                <w:szCs w:val="20"/>
              </w:rPr>
              <w:t>)</w:t>
            </w:r>
          </w:p>
        </w:tc>
        <w:tc>
          <w:tcPr>
            <w:tcW w:w="764"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lang w:eastAsia="en-US"/>
              </w:rPr>
            </w:pPr>
            <w:r>
              <w:rPr>
                <w:sz w:val="20"/>
                <w:szCs w:val="20"/>
              </w:rPr>
              <w:t>rats</w:t>
            </w:r>
          </w:p>
        </w:tc>
        <w:tc>
          <w:tcPr>
            <w:tcW w:w="992"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7A6F3B">
            <w:pPr>
              <w:spacing w:before="120" w:after="120"/>
              <w:rPr>
                <w:sz w:val="20"/>
              </w:rPr>
            </w:pPr>
            <w:r>
              <w:rPr>
                <w:sz w:val="20"/>
              </w:rPr>
              <w:t>Low</w:t>
            </w:r>
          </w:p>
        </w:tc>
        <w:tc>
          <w:tcPr>
            <w:tcW w:w="820"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jc w:val="center"/>
              <w:rPr>
                <w:sz w:val="20"/>
                <w:szCs w:val="20"/>
              </w:rPr>
            </w:pPr>
            <w:r>
              <w:rPr>
                <w:sz w:val="20"/>
                <w:szCs w:val="20"/>
              </w:rPr>
              <w:t>S5</w:t>
            </w:r>
          </w:p>
        </w:tc>
      </w:tr>
      <w:tr w:rsidR="00814520" w:rsidTr="007A6F3B">
        <w:tc>
          <w:tcPr>
            <w:tcW w:w="2425"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Acute dermal toxicity LD</w:t>
            </w:r>
            <w:r>
              <w:rPr>
                <w:sz w:val="20"/>
                <w:szCs w:val="20"/>
                <w:vertAlign w:val="subscript"/>
              </w:rPr>
              <w:t>50</w:t>
            </w:r>
            <w:r>
              <w:rPr>
                <w:sz w:val="20"/>
                <w:szCs w:val="20"/>
              </w:rPr>
              <w:t xml:space="preserve"> (mg/kg </w:t>
            </w:r>
            <w:proofErr w:type="spellStart"/>
            <w:r>
              <w:rPr>
                <w:sz w:val="20"/>
                <w:szCs w:val="20"/>
              </w:rPr>
              <w:t>bw</w:t>
            </w:r>
            <w:proofErr w:type="spellEnd"/>
            <w:r>
              <w:rPr>
                <w:sz w:val="20"/>
                <w:szCs w:val="20"/>
              </w:rPr>
              <w:t>)</w:t>
            </w:r>
          </w:p>
        </w:tc>
        <w:tc>
          <w:tcPr>
            <w:tcW w:w="764"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rats</w:t>
            </w:r>
          </w:p>
        </w:tc>
        <w:tc>
          <w:tcPr>
            <w:tcW w:w="992"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7A6F3B">
            <w:pPr>
              <w:spacing w:before="120" w:after="120"/>
              <w:rPr>
                <w:sz w:val="20"/>
              </w:rPr>
            </w:pPr>
            <w:r>
              <w:rPr>
                <w:sz w:val="20"/>
              </w:rPr>
              <w:t>Low</w:t>
            </w:r>
          </w:p>
        </w:tc>
        <w:tc>
          <w:tcPr>
            <w:tcW w:w="820"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jc w:val="center"/>
              <w:rPr>
                <w:sz w:val="20"/>
                <w:szCs w:val="20"/>
              </w:rPr>
            </w:pPr>
            <w:r>
              <w:rPr>
                <w:sz w:val="20"/>
                <w:szCs w:val="20"/>
              </w:rPr>
              <w:t>S5</w:t>
            </w:r>
          </w:p>
        </w:tc>
      </w:tr>
      <w:tr w:rsidR="00814520" w:rsidTr="007A6F3B">
        <w:tc>
          <w:tcPr>
            <w:tcW w:w="2425"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Acute inhalational toxicity LC</w:t>
            </w:r>
            <w:r>
              <w:rPr>
                <w:sz w:val="20"/>
                <w:szCs w:val="20"/>
                <w:vertAlign w:val="subscript"/>
              </w:rPr>
              <w:t>50</w:t>
            </w:r>
            <w:r>
              <w:rPr>
                <w:sz w:val="20"/>
                <w:szCs w:val="20"/>
              </w:rPr>
              <w:t xml:space="preserve"> (mg/m</w:t>
            </w:r>
            <w:r>
              <w:rPr>
                <w:sz w:val="20"/>
                <w:szCs w:val="20"/>
                <w:vertAlign w:val="superscript"/>
              </w:rPr>
              <w:t>3</w:t>
            </w:r>
            <w:r>
              <w:rPr>
                <w:sz w:val="20"/>
                <w:szCs w:val="20"/>
              </w:rPr>
              <w:t>/4 h)</w:t>
            </w:r>
          </w:p>
        </w:tc>
        <w:tc>
          <w:tcPr>
            <w:tcW w:w="764"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N/A</w:t>
            </w:r>
          </w:p>
        </w:tc>
        <w:tc>
          <w:tcPr>
            <w:tcW w:w="992"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7A6F3B">
            <w:pPr>
              <w:spacing w:before="120" w:after="120"/>
              <w:rPr>
                <w:sz w:val="20"/>
              </w:rPr>
            </w:pPr>
            <w:r>
              <w:rPr>
                <w:sz w:val="20"/>
              </w:rPr>
              <w:t>No data</w:t>
            </w:r>
          </w:p>
        </w:tc>
        <w:tc>
          <w:tcPr>
            <w:tcW w:w="820"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jc w:val="center"/>
              <w:rPr>
                <w:sz w:val="20"/>
                <w:szCs w:val="20"/>
              </w:rPr>
            </w:pPr>
            <w:r>
              <w:rPr>
                <w:sz w:val="20"/>
                <w:szCs w:val="20"/>
              </w:rPr>
              <w:t>-</w:t>
            </w:r>
          </w:p>
        </w:tc>
      </w:tr>
      <w:tr w:rsidR="00814520" w:rsidTr="007A6F3B">
        <w:tc>
          <w:tcPr>
            <w:tcW w:w="2425"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Skin irritation</w:t>
            </w:r>
          </w:p>
        </w:tc>
        <w:tc>
          <w:tcPr>
            <w:tcW w:w="764"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N/A</w:t>
            </w:r>
          </w:p>
        </w:tc>
        <w:tc>
          <w:tcPr>
            <w:tcW w:w="992"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7A6F3B">
            <w:pPr>
              <w:spacing w:before="120" w:after="120"/>
              <w:rPr>
                <w:sz w:val="20"/>
                <w:szCs w:val="20"/>
              </w:rPr>
            </w:pPr>
            <w:r>
              <w:rPr>
                <w:sz w:val="20"/>
                <w:szCs w:val="20"/>
              </w:rPr>
              <w:t>Slight</w:t>
            </w:r>
          </w:p>
        </w:tc>
        <w:tc>
          <w:tcPr>
            <w:tcW w:w="820"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jc w:val="center"/>
              <w:rPr>
                <w:sz w:val="20"/>
                <w:szCs w:val="20"/>
              </w:rPr>
            </w:pPr>
            <w:r>
              <w:rPr>
                <w:sz w:val="20"/>
                <w:szCs w:val="20"/>
              </w:rPr>
              <w:t>S5</w:t>
            </w:r>
          </w:p>
        </w:tc>
      </w:tr>
      <w:tr w:rsidR="00814520" w:rsidTr="007A6F3B">
        <w:tc>
          <w:tcPr>
            <w:tcW w:w="2425"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7A6F3B" w:rsidP="00814520">
            <w:pPr>
              <w:spacing w:before="120" w:after="120"/>
              <w:rPr>
                <w:sz w:val="20"/>
                <w:szCs w:val="20"/>
              </w:rPr>
            </w:pPr>
            <w:r>
              <w:rPr>
                <w:sz w:val="20"/>
                <w:szCs w:val="20"/>
              </w:rPr>
              <w:t>Eye irritation</w:t>
            </w:r>
          </w:p>
        </w:tc>
        <w:tc>
          <w:tcPr>
            <w:tcW w:w="764"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N/A</w:t>
            </w:r>
          </w:p>
        </w:tc>
        <w:tc>
          <w:tcPr>
            <w:tcW w:w="992"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7A6F3B">
            <w:pPr>
              <w:spacing w:before="120" w:after="120"/>
              <w:rPr>
                <w:sz w:val="20"/>
                <w:szCs w:val="20"/>
              </w:rPr>
            </w:pPr>
            <w:r>
              <w:rPr>
                <w:sz w:val="20"/>
                <w:szCs w:val="20"/>
              </w:rPr>
              <w:t>Slight</w:t>
            </w:r>
          </w:p>
        </w:tc>
        <w:tc>
          <w:tcPr>
            <w:tcW w:w="820"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jc w:val="center"/>
              <w:rPr>
                <w:sz w:val="20"/>
                <w:szCs w:val="20"/>
              </w:rPr>
            </w:pPr>
            <w:r>
              <w:rPr>
                <w:sz w:val="20"/>
                <w:szCs w:val="20"/>
              </w:rPr>
              <w:t>S5</w:t>
            </w:r>
          </w:p>
        </w:tc>
      </w:tr>
      <w:tr w:rsidR="00814520" w:rsidTr="007A6F3B">
        <w:tc>
          <w:tcPr>
            <w:tcW w:w="2425"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Skin sensitisation</w:t>
            </w:r>
          </w:p>
        </w:tc>
        <w:tc>
          <w:tcPr>
            <w:tcW w:w="764"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w:t>
            </w:r>
          </w:p>
        </w:tc>
        <w:tc>
          <w:tcPr>
            <w:tcW w:w="992"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7A6F3B">
            <w:pPr>
              <w:spacing w:before="120" w:after="120"/>
              <w:rPr>
                <w:sz w:val="20"/>
                <w:szCs w:val="20"/>
              </w:rPr>
            </w:pPr>
            <w:r>
              <w:rPr>
                <w:sz w:val="20"/>
                <w:szCs w:val="20"/>
              </w:rPr>
              <w:t>May be a sensitiser</w:t>
            </w:r>
          </w:p>
        </w:tc>
        <w:tc>
          <w:tcPr>
            <w:tcW w:w="820"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jc w:val="center"/>
              <w:rPr>
                <w:sz w:val="20"/>
                <w:szCs w:val="20"/>
              </w:rPr>
            </w:pPr>
            <w:r>
              <w:rPr>
                <w:sz w:val="20"/>
                <w:szCs w:val="20"/>
              </w:rPr>
              <w:t>S5</w:t>
            </w:r>
          </w:p>
        </w:tc>
      </w:tr>
    </w:tbl>
    <w:p w:rsidR="00814520" w:rsidRDefault="00814520" w:rsidP="00D32D5E">
      <w:pPr>
        <w:pStyle w:val="Tabledescription"/>
      </w:pPr>
      <w:r>
        <w:t xml:space="preserve">*From original product assessment by APVMA, determined by extrapolation of all actives and excipients in the formulation (under the product name </w:t>
      </w:r>
      <w:r w:rsidRPr="003E003D">
        <w:rPr>
          <w:highlight w:val="black"/>
        </w:rPr>
        <w:t>XXXXXXXXXXX</w:t>
      </w:r>
      <w:r>
        <w:t xml:space="preserve">. Registrant: </w:t>
      </w:r>
      <w:r w:rsidRPr="003E003D">
        <w:rPr>
          <w:highlight w:val="black"/>
        </w:rPr>
        <w:t>XXXXXXX</w:t>
      </w:r>
    </w:p>
    <w:p w:rsidR="00814520" w:rsidRDefault="00814520" w:rsidP="00D32D5E">
      <w:r>
        <w:t xml:space="preserve">Lidocaine is a water-soluble local anaesthetic. Lidocaine is an </w:t>
      </w:r>
      <w:proofErr w:type="spellStart"/>
      <w:r>
        <w:t>aminoethylamide</w:t>
      </w:r>
      <w:proofErr w:type="spellEnd"/>
      <w:r>
        <w:t xml:space="preserve"> and is a member of the amide class of local anaesthetics. The active is used as a human and veterinary therapeutic for local-regional, epidural, intercostal and topical </w:t>
      </w:r>
      <w:proofErr w:type="spellStart"/>
      <w:r>
        <w:t>anaesthetia</w:t>
      </w:r>
      <w:proofErr w:type="spellEnd"/>
      <w:r>
        <w:t>, and intravenously to treat cardiac arrhythmias (human</w:t>
      </w:r>
      <w:r w:rsidR="00D32D5E">
        <w:t xml:space="preserve"> dose typically 1—10 mg/kg </w:t>
      </w:r>
      <w:proofErr w:type="spellStart"/>
      <w:proofErr w:type="gramStart"/>
      <w:r w:rsidR="00D32D5E">
        <w:t>bw</w:t>
      </w:r>
      <w:proofErr w:type="spellEnd"/>
      <w:proofErr w:type="gramEnd"/>
      <w:r w:rsidR="00D32D5E">
        <w:t>).</w:t>
      </w:r>
    </w:p>
    <w:p w:rsidR="00814520" w:rsidRDefault="00814520" w:rsidP="00054F17">
      <w:r>
        <w:t>Lidocaine principally acts as a sodium channel blocker in electrically excitable tissues. In the nervous system it blocks voltage-gated sodium channels at Nodes of Ranvier which, in turn inhibits the propagation of nerve action potentials. As in other excitable tissues, lidocaine selectively blocks sodium channels in their open and inactive states and has little binding capability in the channel resting state. This means that its actions are nerve impulse frequency dependent i.e. its pharmacological actions will increase with an increasing frequency of nerve firing.</w:t>
      </w:r>
    </w:p>
    <w:p w:rsidR="00814520" w:rsidRDefault="00814520" w:rsidP="00054F17">
      <w:r>
        <w:t>Lidocaine’s major action on cardiac excitable tissue is as a Class 1b antiarrhythmic agent acting on voltage gated sodium channels. As noted above, its pharmacological actions are frequency dependent and thus lidocaine has little or no effect on slower heart rates and proportionally increasing effects as heart rate increases. Lidocaine decreases the V</w:t>
      </w:r>
      <w:r>
        <w:rPr>
          <w:vertAlign w:val="subscript"/>
        </w:rPr>
        <w:t>max</w:t>
      </w:r>
      <w:r>
        <w:t xml:space="preserve"> in partially depolarised cells with fa</w:t>
      </w:r>
      <w:r w:rsidR="00054F17">
        <w:t xml:space="preserve">st response action potentials. </w:t>
      </w:r>
      <w:r>
        <w:t xml:space="preserve">The key effects on the cardiac fast-response action potential are to decrease the effective refractory period and to decrease the slope of phase 0 of the action potential curve. These effects decrease </w:t>
      </w:r>
      <w:proofErr w:type="spellStart"/>
      <w:r>
        <w:t>arrhythmogenesis</w:t>
      </w:r>
      <w:proofErr w:type="spellEnd"/>
      <w:r>
        <w:t xml:space="preserve"> during events that cause premature ventricular contractions and ventricular tachycardia</w:t>
      </w:r>
      <w:r w:rsidRPr="00AC68E2">
        <w:rPr>
          <w:rStyle w:val="FootnoteReference"/>
        </w:rPr>
        <w:footnoteReference w:id="10"/>
      </w:r>
      <w:r w:rsidR="00054F17">
        <w:t>.</w:t>
      </w:r>
    </w:p>
    <w:p w:rsidR="00814520" w:rsidRDefault="00814520" w:rsidP="00054F17">
      <w:r>
        <w:t>Lidocaine has a long history of safety during widespread and frequent use in both human therapeutics and veterinary medicines. The active has been considered by Poison Scheduling previously, therefore minimal detail on the toxicity profile is presented in this application.</w:t>
      </w:r>
    </w:p>
    <w:p w:rsidR="00814520" w:rsidRDefault="00814520" w:rsidP="00814520">
      <w:pPr>
        <w:pStyle w:val="Heading6"/>
        <w:rPr>
          <w:rFonts w:eastAsiaTheme="majorEastAsia"/>
        </w:rPr>
      </w:pPr>
      <w:r>
        <w:rPr>
          <w:rFonts w:eastAsiaTheme="majorEastAsia"/>
        </w:rPr>
        <w:lastRenderedPageBreak/>
        <w:t>Toxic</w:t>
      </w:r>
      <w:r w:rsidRPr="00054F17">
        <w:rPr>
          <w:rFonts w:eastAsiaTheme="majorEastAsia"/>
        </w:rPr>
        <w:t>i</w:t>
      </w:r>
      <w:r>
        <w:rPr>
          <w:rFonts w:eastAsiaTheme="majorEastAsia"/>
        </w:rPr>
        <w:t>ty</w:t>
      </w:r>
    </w:p>
    <w:p w:rsidR="00814520" w:rsidRDefault="00814520" w:rsidP="00054F17">
      <w:r>
        <w:t xml:space="preserve">Lidocaine is of moderate toxicity by the oral route (220 mg/kg </w:t>
      </w:r>
      <w:proofErr w:type="spellStart"/>
      <w:proofErr w:type="gramStart"/>
      <w:r>
        <w:t>bw</w:t>
      </w:r>
      <w:proofErr w:type="spellEnd"/>
      <w:proofErr w:type="gramEnd"/>
      <w:r>
        <w:t xml:space="preserve"> (mice); 317 mg/kg </w:t>
      </w:r>
      <w:proofErr w:type="spellStart"/>
      <w:r>
        <w:t>bw</w:t>
      </w:r>
      <w:proofErr w:type="spellEnd"/>
      <w:r>
        <w:t xml:space="preserve"> (rats) and is expected to be a skin and eye irritant, but not a skin sensitiser</w:t>
      </w:r>
      <w:r w:rsidRPr="00AC68E2">
        <w:rPr>
          <w:rStyle w:val="FootnoteReference"/>
        </w:rPr>
        <w:footnoteReference w:id="11"/>
      </w:r>
      <w:r>
        <w:t>.</w:t>
      </w:r>
    </w:p>
    <w:p w:rsidR="00814520" w:rsidRDefault="00814520" w:rsidP="00054F17">
      <w:r>
        <w:t xml:space="preserve">Limited repeat dose studies on lidocaine are available, particularly through routes relevant to occupational exposure. Adverse effects reported in the literature were often a result of </w:t>
      </w:r>
      <w:proofErr w:type="spellStart"/>
      <w:r>
        <w:t>mis</w:t>
      </w:r>
      <w:proofErr w:type="spellEnd"/>
      <w:r>
        <w:t xml:space="preserve">-use or over use. Lidocaine is readily absorbed orally and from mucus membranes, but poorly absorbed through intact skin. The major adverse effects reported mainly involve the CNS and the cardiovascular system. In humans, the side effects seen with increasing dose include drowsiness, tinnitus, </w:t>
      </w:r>
      <w:proofErr w:type="spellStart"/>
      <w:r>
        <w:t>dysgeusia</w:t>
      </w:r>
      <w:proofErr w:type="spellEnd"/>
      <w:r>
        <w:t>, dizziness and twitching. With increasing dose, seizures, coma and respiratory depression and arrest occur. Cardiovascular depression usually occurs at serum lidocaine levels that product marked CNS effects</w:t>
      </w:r>
      <w:r w:rsidRPr="00AC68E2">
        <w:rPr>
          <w:rStyle w:val="FootnoteReference"/>
        </w:rPr>
        <w:footnoteReference w:id="12"/>
      </w:r>
      <w:r>
        <w:t>. In the literature, hypersensitivity reactions have been reported although they are described as rare and mainly related to the ester-type local anaesthetics. The most common adverse findings from topical application appear to be mild skin reactions</w:t>
      </w:r>
      <w:r w:rsidRPr="00AC68E2">
        <w:rPr>
          <w:rStyle w:val="FootnoteReference"/>
        </w:rPr>
        <w:footnoteReference w:id="13"/>
      </w:r>
      <w:r w:rsidR="00054F17">
        <w:t>.</w:t>
      </w:r>
    </w:p>
    <w:p w:rsidR="00814520" w:rsidRPr="00B92F73" w:rsidRDefault="00814520" w:rsidP="00054F17">
      <w:r>
        <w:t xml:space="preserve">The product, </w:t>
      </w:r>
      <w:r w:rsidRPr="00E97A2F">
        <w:rPr>
          <w:highlight w:val="black"/>
        </w:rPr>
        <w:t>XXXXX</w:t>
      </w:r>
      <w:r>
        <w:t>, has previously been assessed to be of low toxicity by the oral and dermal routes, a slight eye and skin irritant and possibly a skin sensitiser. No data were available on the acute inhalational toxicity, however due to their low concentrations in the product and the viscous nature of the formulated product, inhalational exposure an</w:t>
      </w:r>
      <w:r w:rsidR="00054F17">
        <w:t>d toxicity is likely to be low.</w:t>
      </w:r>
    </w:p>
    <w:p w:rsidR="00814520" w:rsidRPr="002372FD" w:rsidRDefault="00054F17" w:rsidP="00054F17">
      <w:pPr>
        <w:pStyle w:val="Heading4"/>
        <w:rPr>
          <w:lang w:val="en-US"/>
        </w:rPr>
      </w:pPr>
      <w:bookmarkStart w:id="25" w:name="_Toc6403901"/>
      <w:bookmarkStart w:id="26" w:name="_Toc8656091"/>
      <w:r>
        <w:lastRenderedPageBreak/>
        <w:t>1</w:t>
      </w:r>
      <w:r w:rsidR="00814520">
        <w:t>.6</w:t>
      </w:r>
      <w:r w:rsidR="00814520" w:rsidRPr="006927BC">
        <w:t>.</w:t>
      </w:r>
      <w:r w:rsidR="00814520" w:rsidRPr="002372FD">
        <w:rPr>
          <w:rFonts w:cs="Arial"/>
          <w:color w:val="17365D"/>
          <w:kern w:val="32"/>
          <w:sz w:val="32"/>
          <w:szCs w:val="32"/>
          <w:lang w:val="en-US"/>
        </w:rPr>
        <w:t xml:space="preserve"> </w:t>
      </w:r>
      <w:bookmarkStart w:id="27" w:name="_Toc6302160"/>
      <w:r w:rsidR="00814520" w:rsidRPr="002372FD">
        <w:rPr>
          <w:lang w:val="en-US"/>
        </w:rPr>
        <w:t>Sodium salicylate</w:t>
      </w:r>
      <w:bookmarkEnd w:id="25"/>
      <w:bookmarkEnd w:id="26"/>
      <w:bookmarkEnd w:id="27"/>
    </w:p>
    <w:p w:rsidR="00814520" w:rsidRPr="0019029E" w:rsidRDefault="00814520" w:rsidP="00054F17">
      <w:pPr>
        <w:pStyle w:val="Heading5"/>
      </w:pPr>
      <w:r>
        <w:t xml:space="preserve">Delegate’s final </w:t>
      </w:r>
      <w:r w:rsidRPr="00054F17">
        <w:t>decision</w:t>
      </w:r>
    </w:p>
    <w:tbl>
      <w:tblPr>
        <w:tblStyle w:val="TableGrid"/>
        <w:tblW w:w="0" w:type="auto"/>
        <w:tblBorders>
          <w:top w:val="single" w:sz="12" w:space="0" w:color="002C47" w:themeColor="text1"/>
          <w:left w:val="single" w:sz="12" w:space="0" w:color="002C47" w:themeColor="text1"/>
          <w:bottom w:val="single" w:sz="12" w:space="0" w:color="002C47" w:themeColor="text1"/>
          <w:right w:val="single" w:sz="12" w:space="0" w:color="002C47" w:themeColor="text1"/>
          <w:insideH w:val="single" w:sz="12" w:space="0" w:color="002C47" w:themeColor="text1"/>
          <w:insideV w:val="single" w:sz="12" w:space="0" w:color="002C47" w:themeColor="text1"/>
        </w:tblBorders>
        <w:tblLook w:val="04A0" w:firstRow="1" w:lastRow="0" w:firstColumn="1" w:lastColumn="0" w:noHBand="0" w:noVBand="1"/>
      </w:tblPr>
      <w:tblGrid>
        <w:gridCol w:w="9286"/>
      </w:tblGrid>
      <w:tr w:rsidR="00814520" w:rsidTr="00814520">
        <w:tc>
          <w:tcPr>
            <w:tcW w:w="9286" w:type="dxa"/>
            <w:shd w:val="clear" w:color="auto" w:fill="D2EDFF" w:themeFill="text2" w:themeFillTint="1A"/>
          </w:tcPr>
          <w:p w:rsidR="00814520" w:rsidRPr="00A6563B" w:rsidRDefault="00814520" w:rsidP="00054F17">
            <w:pPr>
              <w:pStyle w:val="Heading6"/>
            </w:pPr>
            <w:r>
              <w:t xml:space="preserve">Final </w:t>
            </w:r>
            <w:r w:rsidRPr="00054F17">
              <w:t>decision</w:t>
            </w:r>
          </w:p>
          <w:p w:rsidR="00814520" w:rsidRDefault="00814520" w:rsidP="00054F17">
            <w:r w:rsidRPr="00C33CB0">
              <w:t>The delegate's final decision under regulation 42ZCZU</w:t>
            </w:r>
            <w:r w:rsidRPr="00C33CB0">
              <w:rPr>
                <w:bCs/>
                <w:lang w:val="en-US"/>
              </w:rPr>
              <w:t xml:space="preserve"> </w:t>
            </w:r>
            <w:r w:rsidRPr="00C33CB0">
              <w:t>of the</w:t>
            </w:r>
            <w:r w:rsidR="00054F17">
              <w:t xml:space="preserve"> </w:t>
            </w:r>
            <w:r w:rsidRPr="00C33CB0">
              <w:rPr>
                <w:i/>
                <w:iCs/>
              </w:rPr>
              <w:t xml:space="preserve">Therapeutic Goods Regulations 1990 </w:t>
            </w:r>
            <w:r w:rsidRPr="00C33CB0">
              <w:t>(the Regulations) is to amend the current Poisons Standard in relation to</w:t>
            </w:r>
            <w:r>
              <w:t xml:space="preserve"> sodium salicylate as follows:</w:t>
            </w:r>
          </w:p>
          <w:p w:rsidR="00814520" w:rsidRPr="008C23D5" w:rsidRDefault="00814520" w:rsidP="00054F17">
            <w:pPr>
              <w:ind w:left="426"/>
              <w:rPr>
                <w:b/>
                <w:sz w:val="20"/>
              </w:rPr>
            </w:pPr>
            <w:r w:rsidRPr="008C23D5">
              <w:rPr>
                <w:b/>
              </w:rPr>
              <w:t xml:space="preserve">Schedule </w:t>
            </w:r>
            <w:r>
              <w:rPr>
                <w:b/>
              </w:rPr>
              <w:t>4</w:t>
            </w:r>
            <w:r w:rsidRPr="008C23D5">
              <w:rPr>
                <w:b/>
              </w:rPr>
              <w:t xml:space="preserve"> </w:t>
            </w:r>
            <w:r>
              <w:rPr>
                <w:b/>
              </w:rPr>
              <w:t>– Amend Entry</w:t>
            </w:r>
          </w:p>
          <w:p w:rsidR="00814520" w:rsidRPr="00674DAF" w:rsidRDefault="00814520" w:rsidP="00054F17">
            <w:pPr>
              <w:ind w:left="426"/>
              <w:rPr>
                <w:rFonts w:asciiTheme="minorHAnsi" w:hAnsiTheme="minorHAnsi"/>
              </w:rPr>
            </w:pPr>
            <w:r w:rsidRPr="00420CE1">
              <w:rPr>
                <w:rFonts w:asciiTheme="minorHAnsi" w:hAnsiTheme="minorHAnsi"/>
              </w:rPr>
              <w:t xml:space="preserve">SODIUM SALICYLATE in preparations for </w:t>
            </w:r>
            <w:r w:rsidRPr="00420CE1">
              <w:rPr>
                <w:rFonts w:asciiTheme="minorHAnsi" w:hAnsiTheme="minorHAnsi"/>
                <w:color w:val="FF0000"/>
              </w:rPr>
              <w:t xml:space="preserve">internal use </w:t>
            </w:r>
            <w:r w:rsidRPr="00420CE1">
              <w:rPr>
                <w:rFonts w:asciiTheme="minorHAnsi" w:hAnsiTheme="minorHAnsi"/>
                <w:strike/>
              </w:rPr>
              <w:t>injection</w:t>
            </w:r>
            <w:r w:rsidRPr="00420CE1">
              <w:rPr>
                <w:rFonts w:asciiTheme="minorHAnsi" w:hAnsiTheme="minorHAnsi"/>
                <w:color w:val="FF0000"/>
              </w:rPr>
              <w:t xml:space="preserve"> </w:t>
            </w:r>
            <w:r w:rsidRPr="00420CE1">
              <w:rPr>
                <w:rFonts w:asciiTheme="minorHAnsi" w:hAnsiTheme="minorHAnsi"/>
              </w:rPr>
              <w:t>for the treatment of animals</w:t>
            </w:r>
            <w:r>
              <w:rPr>
                <w:rFonts w:asciiTheme="minorHAnsi" w:hAnsiTheme="minorHAnsi"/>
              </w:rPr>
              <w:t>.</w:t>
            </w:r>
          </w:p>
          <w:p w:rsidR="00814520" w:rsidRPr="00674DAF" w:rsidRDefault="00054F17" w:rsidP="00054F17">
            <w:pPr>
              <w:ind w:left="426"/>
              <w:rPr>
                <w:rFonts w:asciiTheme="minorHAnsi" w:hAnsiTheme="minorHAnsi"/>
                <w:b/>
              </w:rPr>
            </w:pPr>
            <w:r>
              <w:rPr>
                <w:rFonts w:asciiTheme="minorHAnsi" w:hAnsiTheme="minorHAnsi"/>
                <w:b/>
              </w:rPr>
              <w:t>Index</w:t>
            </w:r>
          </w:p>
          <w:p w:rsidR="00814520" w:rsidRPr="001E2829" w:rsidRDefault="00814520" w:rsidP="00054F17">
            <w:pPr>
              <w:ind w:left="426"/>
              <w:rPr>
                <w:b/>
              </w:rPr>
            </w:pPr>
            <w:r w:rsidRPr="001E2829">
              <w:rPr>
                <w:b/>
              </w:rPr>
              <w:t>SODIUM SALICYLATE</w:t>
            </w:r>
          </w:p>
          <w:p w:rsidR="00814520" w:rsidRPr="00674DAF" w:rsidRDefault="00814520" w:rsidP="00054F17">
            <w:pPr>
              <w:ind w:left="426"/>
            </w:pPr>
            <w:r w:rsidRPr="001E2829">
              <w:t>Schedule 4</w:t>
            </w:r>
          </w:p>
          <w:p w:rsidR="00814520" w:rsidRDefault="00445E77" w:rsidP="00814520">
            <w:pPr>
              <w:pStyle w:val="Heading6"/>
            </w:pPr>
            <w:r>
              <w:t>I</w:t>
            </w:r>
            <w:r w:rsidR="00814520">
              <w:t xml:space="preserve">mplementation date: </w:t>
            </w:r>
            <w:r w:rsidR="00814520" w:rsidRPr="00AB38C3">
              <w:rPr>
                <w:b w:val="0"/>
              </w:rPr>
              <w:t xml:space="preserve">1 </w:t>
            </w:r>
            <w:r w:rsidR="00814520">
              <w:rPr>
                <w:b w:val="0"/>
              </w:rPr>
              <w:t>June 2019</w:t>
            </w:r>
          </w:p>
          <w:p w:rsidR="00814520" w:rsidRPr="004B2F35" w:rsidRDefault="00814520" w:rsidP="00445E77">
            <w:pPr>
              <w:pStyle w:val="Heading6"/>
            </w:pPr>
            <w:r w:rsidRPr="004B2F35">
              <w:t>Delegate’s considerations</w:t>
            </w:r>
          </w:p>
          <w:p w:rsidR="00814520" w:rsidRPr="00070C87" w:rsidRDefault="00814520" w:rsidP="001073EB">
            <w:pPr>
              <w:pStyle w:val="ListBullet"/>
            </w:pPr>
            <w:r>
              <w:t xml:space="preserve">The </w:t>
            </w:r>
            <w:hyperlink w:anchor="_Applicant’s_scheduling_proposal_5" w:history="1">
              <w:r w:rsidRPr="005D002B">
                <w:rPr>
                  <w:rStyle w:val="Hyperlink"/>
                </w:rPr>
                <w:t>application</w:t>
              </w:r>
            </w:hyperlink>
            <w:r w:rsidRPr="005D002B">
              <w:t xml:space="preserve"> to </w:t>
            </w:r>
            <w:r w:rsidRPr="001073EB">
              <w:t>amend</w:t>
            </w:r>
            <w:r w:rsidRPr="005D002B">
              <w:t xml:space="preserve"> the current Poisons Standard with respect to sodium salicylate</w:t>
            </w:r>
            <w:r>
              <w:rPr>
                <w:rStyle w:val="Hyperlink"/>
                <w:color w:val="auto"/>
                <w:u w:val="none"/>
              </w:rPr>
              <w:t>;</w:t>
            </w:r>
          </w:p>
          <w:p w:rsidR="00814520" w:rsidRDefault="00814520" w:rsidP="001073EB">
            <w:pPr>
              <w:pStyle w:val="ListBullet"/>
            </w:pPr>
            <w:r w:rsidRPr="00E152D7">
              <w:t xml:space="preserve">The </w:t>
            </w:r>
            <w:r w:rsidRPr="0017557B">
              <w:t xml:space="preserve">Australian Health Ministers’ Advisory Council’s </w:t>
            </w:r>
            <w:hyperlink r:id="rId40" w:history="1">
              <w:r w:rsidRPr="0017557B">
                <w:rPr>
                  <w:rStyle w:val="Hyperlink"/>
                  <w:rFonts w:asciiTheme="minorHAnsi" w:hAnsiTheme="minorHAnsi"/>
                </w:rPr>
                <w:t>Scheduling Policy Framework</w:t>
              </w:r>
            </w:hyperlink>
            <w:r w:rsidRPr="0017557B">
              <w:t xml:space="preserve"> (SPF</w:t>
            </w:r>
            <w:r w:rsidR="001073EB">
              <w:t> </w:t>
            </w:r>
            <w:r w:rsidRPr="0017557B">
              <w:t>2018); and</w:t>
            </w:r>
          </w:p>
          <w:p w:rsidR="00814520" w:rsidRPr="00043015" w:rsidRDefault="00814520" w:rsidP="001073EB">
            <w:pPr>
              <w:pStyle w:val="ListBullet"/>
            </w:pPr>
            <w:r>
              <w:t>Section 52E</w:t>
            </w:r>
            <w:r w:rsidRPr="0017557B">
              <w:t xml:space="preserve"> of the </w:t>
            </w:r>
            <w:r w:rsidRPr="008A520C">
              <w:rPr>
                <w:i/>
              </w:rPr>
              <w:t>Therapeutic Goods Act 1989</w:t>
            </w:r>
            <w:r w:rsidRPr="0017557B">
              <w:t xml:space="preserve"> in particular: (a) the risks and benefits of the use of a substance; (b) the purposes for which a substance is to be used and the extent of use of a substance; (c) the toxicity of a substance</w:t>
            </w:r>
            <w:r>
              <w:t xml:space="preserve">; (e) </w:t>
            </w:r>
            <w:r w:rsidRPr="00D936D0">
              <w:t>the potential for abuse of a substance</w:t>
            </w:r>
            <w:r>
              <w:t xml:space="preserve">; and (f) </w:t>
            </w:r>
            <w:r w:rsidRPr="00D936D0">
              <w:t>any other matters that the Secretary considers necessary to protect public health</w:t>
            </w:r>
            <w:r>
              <w:t>.</w:t>
            </w:r>
          </w:p>
          <w:p w:rsidR="00814520" w:rsidRDefault="00814520" w:rsidP="001073EB">
            <w:pPr>
              <w:pStyle w:val="Heading6"/>
            </w:pPr>
            <w:r w:rsidRPr="001073EB">
              <w:t>Reasons</w:t>
            </w:r>
            <w:r>
              <w:t>:</w:t>
            </w:r>
          </w:p>
          <w:p w:rsidR="00814520" w:rsidRDefault="00814520" w:rsidP="001073EB">
            <w:r w:rsidRPr="00B93717">
              <w:t xml:space="preserve">The matters </w:t>
            </w:r>
            <w:r w:rsidR="001073EB">
              <w:t xml:space="preserve">under subsection 52E (1) of the </w:t>
            </w:r>
            <w:r w:rsidRPr="00B93717">
              <w:rPr>
                <w:i/>
                <w:iCs/>
              </w:rPr>
              <w:t>Therapeutic Goods Act 1989</w:t>
            </w:r>
            <w:r w:rsidR="001073EB">
              <w:t xml:space="preserve"> </w:t>
            </w:r>
            <w:r w:rsidRPr="00B93717">
              <w:t>considered relevant by the delegate for the decision include:</w:t>
            </w:r>
          </w:p>
          <w:p w:rsidR="00814520" w:rsidRDefault="00814520" w:rsidP="001073EB">
            <w:pPr>
              <w:pStyle w:val="Numberbullet2-52E1reasons"/>
              <w:numPr>
                <w:ilvl w:val="0"/>
                <w:numId w:val="50"/>
              </w:numPr>
            </w:pPr>
            <w:r w:rsidRPr="003B0767">
              <w:t xml:space="preserve">the </w:t>
            </w:r>
            <w:r w:rsidRPr="00445E77">
              <w:t>risks</w:t>
            </w:r>
            <w:r w:rsidRPr="003B0767">
              <w:t xml:space="preserve"> and benefits of the use of a substance:</w:t>
            </w:r>
          </w:p>
          <w:p w:rsidR="00814520" w:rsidRPr="003B0767" w:rsidRDefault="00814520" w:rsidP="00BD2FC6">
            <w:r>
              <w:t>Sodium salicylate is a non-steroidal anti-inflammatory drug (NSAID) used in humans and animals for the treatment of pain and fever. In general, sodium salicylate produces the same adverse reactions as aspirin including stomach ulcers and stomach bleeding.</w:t>
            </w:r>
          </w:p>
          <w:p w:rsidR="00814520" w:rsidRDefault="00814520" w:rsidP="00BD2FC6">
            <w:pPr>
              <w:pStyle w:val="Numberbullet2-52E1reasons"/>
            </w:pPr>
            <w:r>
              <w:t xml:space="preserve">the </w:t>
            </w:r>
            <w:r w:rsidRPr="000046FA">
              <w:t>purposes</w:t>
            </w:r>
            <w:r>
              <w:t xml:space="preserve"> for which a substance is to be used and the extent of use of a substance:</w:t>
            </w:r>
          </w:p>
          <w:p w:rsidR="00814520" w:rsidRPr="00C84127" w:rsidRDefault="00814520" w:rsidP="00BD2FC6">
            <w:r>
              <w:t>Sodium salicylate is currently approved for use as an injectable v</w:t>
            </w:r>
            <w:r w:rsidRPr="00FC2C8E">
              <w:t xml:space="preserve">eterinary </w:t>
            </w:r>
            <w:r>
              <w:t>medicine</w:t>
            </w:r>
            <w:r w:rsidRPr="00FC2C8E">
              <w:t xml:space="preserve"> for </w:t>
            </w:r>
            <w:r>
              <w:t>the</w:t>
            </w:r>
            <w:r w:rsidRPr="00FC2C8E">
              <w:t xml:space="preserve"> treatment of animals.</w:t>
            </w:r>
            <w:r w:rsidR="00BD2FC6">
              <w:t xml:space="preserve"> </w:t>
            </w:r>
            <w:r>
              <w:t>The APVMA has received an application to register a veterinary medicine containing 100% sodium salicylate oral powder.</w:t>
            </w:r>
          </w:p>
          <w:p w:rsidR="00814520" w:rsidRPr="00BD1749" w:rsidRDefault="00814520" w:rsidP="00BD2FC6">
            <w:pPr>
              <w:pStyle w:val="Numberbullet2-52E1reasons"/>
            </w:pPr>
            <w:r w:rsidRPr="00704EDD">
              <w:t xml:space="preserve">the toxicity of a </w:t>
            </w:r>
            <w:r w:rsidRPr="00BD2FC6">
              <w:t>substance</w:t>
            </w:r>
            <w:r w:rsidRPr="00704EDD">
              <w:t>:</w:t>
            </w:r>
          </w:p>
          <w:p w:rsidR="00814520" w:rsidRDefault="00814520" w:rsidP="00BD2FC6">
            <w:r w:rsidRPr="00190ED2">
              <w:t xml:space="preserve">From the available international data and an international assessment report, sodium salicylate has </w:t>
            </w:r>
            <w:r>
              <w:t xml:space="preserve">a low to </w:t>
            </w:r>
            <w:r w:rsidRPr="00190ED2">
              <w:t xml:space="preserve">moderate acute oral </w:t>
            </w:r>
            <w:r>
              <w:t xml:space="preserve">toxicity, </w:t>
            </w:r>
            <w:r w:rsidRPr="00190ED2">
              <w:t xml:space="preserve">and low acute dermal toxicity. It is not likely to be an inhalation hazard given its </w:t>
            </w:r>
            <w:r>
              <w:t>very</w:t>
            </w:r>
            <w:r w:rsidRPr="00190ED2">
              <w:t xml:space="preserve"> low vapour pressure. It is a moderate eye irritant but not a skin irritant or sensitiser.</w:t>
            </w:r>
          </w:p>
          <w:p w:rsidR="00814520" w:rsidRDefault="00814520" w:rsidP="00BD2FC6">
            <w:r>
              <w:t xml:space="preserve">Moderate to severe salicylate intoxication leads to adverse effects on the central nervous system, </w:t>
            </w:r>
            <w:r w:rsidRPr="004C172B">
              <w:t xml:space="preserve">the primary effect of acute salicylate intoxication and the major concern in relation to accidental </w:t>
            </w:r>
            <w:r w:rsidRPr="004C172B">
              <w:lastRenderedPageBreak/>
              <w:t>poisoning</w:t>
            </w:r>
            <w:r>
              <w:t>. H</w:t>
            </w:r>
            <w:r w:rsidRPr="004C172B">
              <w:t>igh doses in rats and dogs results in liver and kidney damage</w:t>
            </w:r>
            <w:r>
              <w:t>.</w:t>
            </w:r>
          </w:p>
          <w:p w:rsidR="00814520" w:rsidRPr="00BD1749" w:rsidRDefault="00814520" w:rsidP="00BD2FC6">
            <w:r>
              <w:t>Salicylates</w:t>
            </w:r>
            <w:r w:rsidRPr="00D45336">
              <w:t xml:space="preserve"> </w:t>
            </w:r>
            <w:r>
              <w:t>are</w:t>
            </w:r>
            <w:r w:rsidRPr="00D45336">
              <w:t xml:space="preserve"> not </w:t>
            </w:r>
            <w:r w:rsidRPr="00BC5D20">
              <w:t xml:space="preserve">considered </w:t>
            </w:r>
            <w:r>
              <w:t>genotoxic or</w:t>
            </w:r>
            <w:r w:rsidRPr="00BC5D20">
              <w:t xml:space="preserve"> carcinogenic</w:t>
            </w:r>
            <w:r>
              <w:t>.</w:t>
            </w:r>
            <w:r w:rsidRPr="00BC5D20">
              <w:t xml:space="preserve"> </w:t>
            </w:r>
            <w:r>
              <w:t>High systemic exposures to salicylates are associated with reproductive, developmental and teratogenic effects.</w:t>
            </w:r>
          </w:p>
          <w:p w:rsidR="00814520" w:rsidRDefault="00814520" w:rsidP="00814520">
            <w:pPr>
              <w:pStyle w:val="Numberbullet2-52E1reasons"/>
            </w:pPr>
            <w:r w:rsidRPr="00704EDD">
              <w:t>the dosage, formulation, labelling, packaging and presentation of a substance:</w:t>
            </w:r>
          </w:p>
          <w:p w:rsidR="00814520" w:rsidRDefault="00814520" w:rsidP="00814520">
            <w:r w:rsidRPr="00D56B94">
              <w:t>Nil.</w:t>
            </w:r>
          </w:p>
          <w:p w:rsidR="00814520" w:rsidRDefault="00814520" w:rsidP="00BD2FC6">
            <w:pPr>
              <w:pStyle w:val="Numberbullet2-52E1reasons"/>
            </w:pPr>
            <w:r w:rsidRPr="000046FA">
              <w:t xml:space="preserve">the potential for abuse of a </w:t>
            </w:r>
            <w:r w:rsidRPr="00BD2FC6">
              <w:t>substance</w:t>
            </w:r>
            <w:r>
              <w:t>:</w:t>
            </w:r>
          </w:p>
          <w:p w:rsidR="00814520" w:rsidRPr="008A520C" w:rsidRDefault="00814520" w:rsidP="00BD2FC6">
            <w:r w:rsidRPr="00D56B94">
              <w:t>The appropriate use of sodium salicylate in animal treatment would require veterinary diagnosis and oversight. This supports consideration for listing in Schedule 4.</w:t>
            </w:r>
          </w:p>
          <w:p w:rsidR="00814520" w:rsidRDefault="00814520" w:rsidP="00814520">
            <w:pPr>
              <w:pStyle w:val="Numberbullet2-52E1reasons"/>
            </w:pPr>
            <w:r w:rsidRPr="000046FA">
              <w:t>any other matters that the Secretary considers necessary to protect public health</w:t>
            </w:r>
            <w:r>
              <w:t>:</w:t>
            </w:r>
          </w:p>
          <w:p w:rsidR="00814520" w:rsidRPr="00BA0556" w:rsidRDefault="00814520" w:rsidP="00BD2FC6">
            <w:r w:rsidRPr="00276822">
              <w:t>Sodium salicylate as an oral veterinary medicine for internal animal treatment (symptomatic treatment of fever and inflammation) is approved for use in the Europe as a prescription medicine. Similar products in the</w:t>
            </w:r>
            <w:r>
              <w:t xml:space="preserve"> United States</w:t>
            </w:r>
            <w:r w:rsidRPr="00276822">
              <w:t xml:space="preserve"> </w:t>
            </w:r>
            <w:r>
              <w:t>(</w:t>
            </w:r>
            <w:r w:rsidRPr="00276822">
              <w:t>U</w:t>
            </w:r>
            <w:r>
              <w:t>S)</w:t>
            </w:r>
            <w:r w:rsidRPr="00276822">
              <w:t xml:space="preserve"> are </w:t>
            </w:r>
            <w:r>
              <w:t>over the counter animal d</w:t>
            </w:r>
            <w:r w:rsidRPr="00276822">
              <w:t>rugs.</w:t>
            </w:r>
          </w:p>
          <w:p w:rsidR="00814520" w:rsidRDefault="00814520" w:rsidP="00BD2FC6">
            <w:pPr>
              <w:pStyle w:val="Heading6"/>
            </w:pPr>
            <w:r w:rsidRPr="003105CC">
              <w:t>Overall conclusions:</w:t>
            </w:r>
          </w:p>
          <w:p w:rsidR="00814520" w:rsidRDefault="00814520" w:rsidP="00BD2FC6">
            <w:r>
              <w:t>After consideration of all the available information, I am satisfied that on balance, the benefits of  amending the wording of the current Schedule 4 entry for sodium salicylate to encompass all forms of internal t</w:t>
            </w:r>
            <w:r w:rsidR="00BD2FC6">
              <w:t xml:space="preserve">reatments out-weigh the risks. </w:t>
            </w:r>
            <w:r w:rsidRPr="00BC1387">
              <w:t>The appropriate use of sodium salicylate in animal treatment would require veterinary diagnosis and oversight</w:t>
            </w:r>
            <w:r>
              <w:t>, thus supporting a Schedule 4 entry. Therefore, risks associated with the use of new sodium salicylate oral treatments can be managed by the existing regulatory controls imposed by the Poisons Standard.</w:t>
            </w:r>
          </w:p>
          <w:p w:rsidR="00814520" w:rsidRDefault="00814520" w:rsidP="00BD2FC6">
            <w:r w:rsidRPr="00BF7F95">
              <w:t xml:space="preserve">On the basis that the proposed changes to the existing entry do not involve down-scheduling or up-scheduling, I am satisfied that the application is not captured as a ‘rescheduling’ consideration as described in the </w:t>
            </w:r>
            <w:r>
              <w:rPr>
                <w:i/>
              </w:rPr>
              <w:t>Scheduling H</w:t>
            </w:r>
            <w:r w:rsidRPr="00BF7F95">
              <w:rPr>
                <w:i/>
              </w:rPr>
              <w:t>andbook</w:t>
            </w:r>
            <w:r>
              <w:rPr>
                <w:i/>
              </w:rPr>
              <w:t>,</w:t>
            </w:r>
            <w:r w:rsidRPr="00BF7F95">
              <w:rPr>
                <w:i/>
              </w:rPr>
              <w:t xml:space="preserve"> Guidance for ame</w:t>
            </w:r>
            <w:r>
              <w:rPr>
                <w:i/>
              </w:rPr>
              <w:t>nding the Poisons Standard, 2018</w:t>
            </w:r>
            <w:r w:rsidRPr="00BF7F95">
              <w:t>.</w:t>
            </w:r>
          </w:p>
        </w:tc>
      </w:tr>
    </w:tbl>
    <w:p w:rsidR="00814520" w:rsidRPr="00445E77" w:rsidRDefault="00814520" w:rsidP="00BD2FC6">
      <w:pPr>
        <w:pStyle w:val="Heading5"/>
      </w:pPr>
      <w:bookmarkStart w:id="28" w:name="_Applicant’s_scheduling_proposal_5"/>
      <w:bookmarkEnd w:id="28"/>
      <w:r w:rsidRPr="00445E77">
        <w:lastRenderedPageBreak/>
        <w:t xml:space="preserve">Applicant’s </w:t>
      </w:r>
      <w:r w:rsidRPr="00BD2FC6">
        <w:t>scheduling</w:t>
      </w:r>
      <w:r w:rsidRPr="00445E77">
        <w:t xml:space="preserve"> proposal and reasons for proposal</w:t>
      </w:r>
    </w:p>
    <w:p w:rsidR="00814520" w:rsidRPr="00AA2FE3" w:rsidRDefault="00814520" w:rsidP="00BD2FC6">
      <w:r w:rsidRPr="00AA2FE3">
        <w:t xml:space="preserve">An application was submitted by the Australian Pesticides and Veterinary Medicines Authority (APVMA) to amend the Schedule </w:t>
      </w:r>
      <w:r>
        <w:t>4</w:t>
      </w:r>
      <w:r w:rsidRPr="00AA2FE3">
        <w:t xml:space="preserve"> entry for </w:t>
      </w:r>
      <w:r>
        <w:t>sodium salicylate</w:t>
      </w:r>
      <w:r w:rsidR="00BD2FC6">
        <w:t xml:space="preserve"> in the Poisons Standard.</w:t>
      </w:r>
    </w:p>
    <w:p w:rsidR="00814520" w:rsidRDefault="00814520" w:rsidP="00BD2FC6">
      <w:r>
        <w:t>The applicant’s reasons for the proposal are:</w:t>
      </w:r>
    </w:p>
    <w:p w:rsidR="00814520" w:rsidRDefault="00814520" w:rsidP="00BD2FC6">
      <w:pPr>
        <w:pStyle w:val="ListBullet"/>
      </w:pPr>
      <w:r w:rsidRPr="00420CE1">
        <w:t>A 100% sodium salicylate oral powder product has been proposed to the APVMA for the internal treatment</w:t>
      </w:r>
      <w:r>
        <w:t xml:space="preserve"> </w:t>
      </w:r>
      <w:r w:rsidRPr="00420CE1">
        <w:t xml:space="preserve">of animals. Sodium salicylate is an </w:t>
      </w:r>
      <w:r>
        <w:t xml:space="preserve">APVMA </w:t>
      </w:r>
      <w:r w:rsidRPr="00420CE1">
        <w:t>approved active constituent.</w:t>
      </w:r>
    </w:p>
    <w:p w:rsidR="00814520" w:rsidRPr="00D45336" w:rsidRDefault="00814520" w:rsidP="00BD2FC6">
      <w:pPr>
        <w:pStyle w:val="ListBullet"/>
      </w:pPr>
      <w:r w:rsidRPr="00D45336">
        <w:t xml:space="preserve">The available toxicological data for sodium salicylate </w:t>
      </w:r>
      <w:r>
        <w:t>are</w:t>
      </w:r>
      <w:r w:rsidRPr="00D45336">
        <w:t xml:space="preserve"> considered to be </w:t>
      </w:r>
      <w:r w:rsidRPr="00BD2FC6">
        <w:t>sufficient</w:t>
      </w:r>
      <w:r w:rsidRPr="00D45336">
        <w:t xml:space="preserve"> for the purposes of recommending a scheduling decision.</w:t>
      </w:r>
    </w:p>
    <w:p w:rsidR="00814520" w:rsidRPr="00D45336" w:rsidRDefault="00814520" w:rsidP="00BD2FC6">
      <w:pPr>
        <w:pStyle w:val="ListBullet"/>
      </w:pPr>
      <w:r w:rsidRPr="00190ED2">
        <w:t xml:space="preserve">From the available international data and an international assessment report, sodium salicylate has </w:t>
      </w:r>
      <w:r>
        <w:t xml:space="preserve">a low to </w:t>
      </w:r>
      <w:r w:rsidRPr="00190ED2">
        <w:t xml:space="preserve">moderate acute oral </w:t>
      </w:r>
      <w:r>
        <w:t xml:space="preserve">toxicity, </w:t>
      </w:r>
      <w:r w:rsidRPr="00190ED2">
        <w:t xml:space="preserve">and low acute dermal toxicity. It is not likely to be an inhalation hazard given its </w:t>
      </w:r>
      <w:r>
        <w:t>very</w:t>
      </w:r>
      <w:r w:rsidRPr="00190ED2">
        <w:t xml:space="preserve"> low vapour pressure. It is a moderate eye irritant but not a skin irritant or sensitiser.</w:t>
      </w:r>
      <w:r w:rsidRPr="00D45336">
        <w:t xml:space="preserve"> </w:t>
      </w:r>
      <w:r>
        <w:t xml:space="preserve">Moderate to severe salicylate intoxication leads to adverse effects on the central nervous system, </w:t>
      </w:r>
      <w:r w:rsidRPr="004C172B">
        <w:t xml:space="preserve">the primary effect of acute </w:t>
      </w:r>
      <w:r w:rsidRPr="00BD2FC6">
        <w:t>salicylate</w:t>
      </w:r>
      <w:r w:rsidRPr="004C172B">
        <w:t xml:space="preserve"> intoxication and the major concern in relation to accidental poisoning</w:t>
      </w:r>
      <w:r>
        <w:t>. H</w:t>
      </w:r>
      <w:r w:rsidRPr="004C172B">
        <w:t>igh doses in rats and dogs results in liver and kidney damage</w:t>
      </w:r>
      <w:r>
        <w:t>. Salicylates</w:t>
      </w:r>
      <w:r w:rsidRPr="00D45336">
        <w:t xml:space="preserve"> </w:t>
      </w:r>
      <w:r>
        <w:t>are</w:t>
      </w:r>
      <w:r w:rsidRPr="00D45336">
        <w:t xml:space="preserve"> not </w:t>
      </w:r>
      <w:r w:rsidRPr="00BC5D20">
        <w:t xml:space="preserve">considered </w:t>
      </w:r>
      <w:r>
        <w:t>genotoxic or</w:t>
      </w:r>
      <w:r w:rsidRPr="00BC5D20">
        <w:t xml:space="preserve"> carcinogenic</w:t>
      </w:r>
      <w:r>
        <w:t>.</w:t>
      </w:r>
      <w:r w:rsidRPr="00BC5D20">
        <w:t xml:space="preserve"> </w:t>
      </w:r>
      <w:r>
        <w:t>High systemic exposures to salicylates are associated with reproductive, developmental and teratogenic effects.</w:t>
      </w:r>
    </w:p>
    <w:p w:rsidR="00814520" w:rsidRDefault="00814520" w:rsidP="00BD2FC6">
      <w:pPr>
        <w:pStyle w:val="ListBullet"/>
      </w:pPr>
      <w:r w:rsidRPr="00590B68">
        <w:t xml:space="preserve">The appropriate use of sodium </w:t>
      </w:r>
      <w:r w:rsidRPr="00BD2FC6">
        <w:t>salicylate</w:t>
      </w:r>
      <w:r w:rsidRPr="00590B68">
        <w:t xml:space="preserve"> in animal treatment would require veterinary diagnosis and oversight. This supports consideration for listing in Schedule 4</w:t>
      </w:r>
      <w:r>
        <w:t>.</w:t>
      </w:r>
    </w:p>
    <w:p w:rsidR="00814520" w:rsidRDefault="00814520" w:rsidP="00BD2FC6">
      <w:pPr>
        <w:pStyle w:val="Heading5"/>
      </w:pPr>
      <w:r>
        <w:lastRenderedPageBreak/>
        <w:t xml:space="preserve">Current scheduling </w:t>
      </w:r>
      <w:r w:rsidRPr="00BD2FC6">
        <w:t>status</w:t>
      </w:r>
    </w:p>
    <w:p w:rsidR="00814520" w:rsidRPr="00CF6C46" w:rsidRDefault="00814520" w:rsidP="00BD2FC6">
      <w:r>
        <w:t>Sodium salicylate</w:t>
      </w:r>
      <w:r w:rsidRPr="00FD2903">
        <w:t xml:space="preserve"> is</w:t>
      </w:r>
      <w:r>
        <w:t xml:space="preserve"> currently listed in Schedule 4 of</w:t>
      </w:r>
      <w:r w:rsidRPr="00FD2903">
        <w:t xml:space="preserve"> the </w:t>
      </w:r>
      <w:r w:rsidRPr="00CF6C46">
        <w:t>Poison Standard</w:t>
      </w:r>
      <w:r w:rsidRPr="00CF6C46">
        <w:rPr>
          <w:rStyle w:val="Hyperlink"/>
          <w:rFonts w:asciiTheme="minorHAnsi" w:hAnsiTheme="minorHAnsi"/>
          <w:u w:val="none"/>
        </w:rPr>
        <w:t xml:space="preserve"> </w:t>
      </w:r>
      <w:r w:rsidRPr="00CF6C46">
        <w:t>as</w:t>
      </w:r>
      <w:r>
        <w:t xml:space="preserve"> follows:</w:t>
      </w:r>
    </w:p>
    <w:p w:rsidR="00814520" w:rsidRPr="00106901" w:rsidRDefault="00814520" w:rsidP="00814520">
      <w:pPr>
        <w:ind w:firstLine="426"/>
        <w:rPr>
          <w:b/>
        </w:rPr>
      </w:pPr>
      <w:r w:rsidRPr="00106901">
        <w:rPr>
          <w:b/>
        </w:rPr>
        <w:t>Schedule 4</w:t>
      </w:r>
    </w:p>
    <w:p w:rsidR="00814520" w:rsidRDefault="00814520" w:rsidP="00814520">
      <w:pPr>
        <w:ind w:firstLine="426"/>
      </w:pPr>
      <w:r>
        <w:t>SODIUM SALICYLATE in preparations for injection for the treatment of animals.</w:t>
      </w:r>
    </w:p>
    <w:p w:rsidR="00814520" w:rsidRPr="00674DAF" w:rsidRDefault="00814520" w:rsidP="00BD2FC6">
      <w:pPr>
        <w:ind w:left="426"/>
        <w:rPr>
          <w:rFonts w:asciiTheme="minorHAnsi" w:hAnsiTheme="minorHAnsi"/>
          <w:b/>
        </w:rPr>
      </w:pPr>
      <w:r w:rsidRPr="00674DAF">
        <w:rPr>
          <w:rFonts w:asciiTheme="minorHAnsi" w:hAnsiTheme="minorHAnsi"/>
          <w:b/>
        </w:rPr>
        <w:t>Inde</w:t>
      </w:r>
      <w:r w:rsidR="00BD2FC6">
        <w:rPr>
          <w:rFonts w:asciiTheme="minorHAnsi" w:hAnsiTheme="minorHAnsi"/>
          <w:b/>
        </w:rPr>
        <w:t>x</w:t>
      </w:r>
    </w:p>
    <w:p w:rsidR="00814520" w:rsidRPr="001E2829" w:rsidRDefault="00814520" w:rsidP="00BD2FC6">
      <w:pPr>
        <w:ind w:left="426"/>
        <w:rPr>
          <w:b/>
        </w:rPr>
      </w:pPr>
      <w:r w:rsidRPr="001E2829">
        <w:rPr>
          <w:b/>
        </w:rPr>
        <w:t>SODIUM SALICYLATE</w:t>
      </w:r>
    </w:p>
    <w:p w:rsidR="00445E77" w:rsidRDefault="00814520" w:rsidP="00BD2FC6">
      <w:pPr>
        <w:ind w:left="426"/>
      </w:pPr>
      <w:r w:rsidRPr="001E2829">
        <w:t>Schedule 4</w:t>
      </w:r>
    </w:p>
    <w:p w:rsidR="00814520" w:rsidRDefault="00814520" w:rsidP="00BC4DBD">
      <w:pPr>
        <w:pStyle w:val="Heading5"/>
      </w:pPr>
      <w:r w:rsidRPr="00BC4DBD">
        <w:t>Scheduling</w:t>
      </w:r>
      <w:r>
        <w:t xml:space="preserve"> history</w:t>
      </w:r>
    </w:p>
    <w:p w:rsidR="00814520" w:rsidRPr="004B4662" w:rsidRDefault="00814520" w:rsidP="00814520">
      <w:pPr>
        <w:rPr>
          <w:b/>
        </w:rPr>
      </w:pPr>
      <w:r w:rsidRPr="004B4662">
        <w:rPr>
          <w:rFonts w:asciiTheme="minorHAnsi" w:hAnsiTheme="minorHAnsi"/>
          <w:b/>
        </w:rPr>
        <w:t>Sodium sa</w:t>
      </w:r>
      <w:r w:rsidRPr="00BC4DBD">
        <w:rPr>
          <w:rStyle w:val="Heading6Char"/>
          <w:rFonts w:eastAsia="Cambria"/>
        </w:rPr>
        <w:t>l</w:t>
      </w:r>
      <w:r w:rsidRPr="004B4662">
        <w:rPr>
          <w:rFonts w:asciiTheme="minorHAnsi" w:hAnsiTheme="minorHAnsi"/>
          <w:b/>
        </w:rPr>
        <w:t>icylate</w:t>
      </w:r>
    </w:p>
    <w:p w:rsidR="00814520" w:rsidRDefault="00814520" w:rsidP="00BC4DBD">
      <w:r w:rsidRPr="0072071B">
        <w:t>In November of 1998</w:t>
      </w:r>
      <w:r>
        <w:t xml:space="preserve">, the </w:t>
      </w:r>
      <w:r w:rsidRPr="001D495A">
        <w:t xml:space="preserve">National Drugs and Poisons Schedule Committee </w:t>
      </w:r>
      <w:r>
        <w:t>(NDPSC) decided to include s</w:t>
      </w:r>
      <w:r w:rsidRPr="0072071B">
        <w:t>odium salicylate in Schedule 4 in preparations for injection for the treatment of animals, as sodium salicylate would be expected to have a similar toxicity profile to that of aspirin (Schedule 4 for injection) and that veterinary supervision was needed to ensure appropriate use of the injectable form.</w:t>
      </w:r>
    </w:p>
    <w:p w:rsidR="00814520" w:rsidRPr="00BC4DBD" w:rsidRDefault="00BC4DBD" w:rsidP="00BC4DBD">
      <w:pPr>
        <w:pStyle w:val="Heading5"/>
      </w:pPr>
      <w:r>
        <w:t>Australian regulations</w:t>
      </w:r>
    </w:p>
    <w:p w:rsidR="00814520" w:rsidRPr="00331764" w:rsidRDefault="00814520" w:rsidP="00BC4DBD">
      <w:pPr>
        <w:pStyle w:val="Heading6"/>
      </w:pPr>
      <w:r>
        <w:t xml:space="preserve">Sodium </w:t>
      </w:r>
      <w:r w:rsidRPr="00BC4DBD">
        <w:t>salicylate</w:t>
      </w:r>
    </w:p>
    <w:p w:rsidR="00814520" w:rsidRPr="008A07C0" w:rsidRDefault="00814520" w:rsidP="00BC4DBD">
      <w:pPr>
        <w:pStyle w:val="ListBullet"/>
      </w:pPr>
      <w:r>
        <w:t>Sodium salicylate</w:t>
      </w:r>
      <w:r w:rsidRPr="00DC143D">
        <w:t xml:space="preserve"> is an APVMA approved </w:t>
      </w:r>
      <w:r w:rsidR="00BC4DBD">
        <w:t>active constituent</w:t>
      </w:r>
    </w:p>
    <w:p w:rsidR="00814520" w:rsidRDefault="00814520" w:rsidP="00BC4DBD">
      <w:pPr>
        <w:pStyle w:val="ListBullet"/>
      </w:pPr>
      <w:r w:rsidRPr="00CF6C46">
        <w:rPr>
          <w:rFonts w:asciiTheme="minorHAnsi" w:hAnsiTheme="minorHAnsi"/>
          <w:highlight w:val="black"/>
        </w:rPr>
        <w:t>XXXXXXXXX</w:t>
      </w:r>
      <w:r>
        <w:t xml:space="preserve"> (150 g/kg sodium salicylate; powder), </w:t>
      </w:r>
      <w:r w:rsidRPr="00BC4DBD">
        <w:t>indicated</w:t>
      </w:r>
      <w:r>
        <w:t xml:space="preserve"> for the relief of arthritic pain in horses and dogs, is the only</w:t>
      </w:r>
      <w:r w:rsidRPr="00DC143D">
        <w:t xml:space="preserve"> APVMA approved </w:t>
      </w:r>
      <w:r>
        <w:t xml:space="preserve">oral veterinary </w:t>
      </w:r>
      <w:r w:rsidRPr="00DC143D">
        <w:t>product</w:t>
      </w:r>
      <w:r>
        <w:t xml:space="preserve"> containing </w:t>
      </w:r>
      <w:r w:rsidRPr="007669CA">
        <w:t>sodium salicylate</w:t>
      </w:r>
      <w:r>
        <w:t xml:space="preserve">. Registered </w:t>
      </w:r>
      <w:r w:rsidR="00BC4DBD">
        <w:t>pack sizes are 0.5 kg to 10 kg.</w:t>
      </w:r>
    </w:p>
    <w:p w:rsidR="00814520" w:rsidRPr="00BC4DBD" w:rsidRDefault="00814520" w:rsidP="00BC4DBD">
      <w:pPr>
        <w:pStyle w:val="ListBullet"/>
      </w:pPr>
      <w:r>
        <w:t xml:space="preserve">There are four APVMA </w:t>
      </w:r>
      <w:r w:rsidRPr="00BC4DBD">
        <w:t>registered sodium salicylate injectable veterinary medicines (50 to 250 mg/mL sodium salicylate).</w:t>
      </w:r>
    </w:p>
    <w:p w:rsidR="00814520" w:rsidRDefault="00814520" w:rsidP="00BC4DBD">
      <w:pPr>
        <w:pStyle w:val="ListBullet"/>
      </w:pPr>
      <w:r w:rsidRPr="00BC4DBD">
        <w:t>There is one APVMA approved</w:t>
      </w:r>
      <w:r>
        <w:t xml:space="preserve"> </w:t>
      </w:r>
      <w:proofErr w:type="spellStart"/>
      <w:r w:rsidRPr="00BA0556">
        <w:t>keralytic</w:t>
      </w:r>
      <w:proofErr w:type="spellEnd"/>
      <w:r w:rsidRPr="00BA0556">
        <w:t xml:space="preserve">, </w:t>
      </w:r>
      <w:proofErr w:type="spellStart"/>
      <w:proofErr w:type="gramStart"/>
      <w:r w:rsidRPr="00BA0556">
        <w:t>keratoplastic</w:t>
      </w:r>
      <w:proofErr w:type="spellEnd"/>
      <w:r w:rsidRPr="00BA0556">
        <w:t>,</w:t>
      </w:r>
      <w:proofErr w:type="gramEnd"/>
      <w:r w:rsidRPr="00BA0556">
        <w:t xml:space="preserve"> antibacterial, antifungal and antipruritic wash for dogs and cats</w:t>
      </w:r>
      <w:r>
        <w:t xml:space="preserve"> containing sodium salicylate (35 mg/mL).</w:t>
      </w:r>
    </w:p>
    <w:p w:rsidR="00814520" w:rsidRPr="00DC143D" w:rsidRDefault="00814520" w:rsidP="00BC4DBD">
      <w:pPr>
        <w:pStyle w:val="ListBullet"/>
      </w:pPr>
      <w:r>
        <w:t xml:space="preserve">Sodium salicylate is available for use as an active ingredient in: Biologicals, Export Only, Over the Counter, Prescription </w:t>
      </w:r>
      <w:r w:rsidRPr="00BC4DBD">
        <w:t>Medicines</w:t>
      </w:r>
      <w:r>
        <w:t>.</w:t>
      </w:r>
    </w:p>
    <w:p w:rsidR="00814520" w:rsidRPr="00DC143D" w:rsidRDefault="00814520" w:rsidP="00BC4DBD">
      <w:pPr>
        <w:pStyle w:val="ListBullet"/>
      </w:pPr>
      <w:r>
        <w:t xml:space="preserve">Sodium salicylate is not listed on the </w:t>
      </w:r>
      <w:r w:rsidRPr="00BC4DBD">
        <w:t>current</w:t>
      </w:r>
      <w:r>
        <w:t xml:space="preserve"> </w:t>
      </w:r>
      <w:hyperlink r:id="rId41" w:history="1">
        <w:r w:rsidRPr="00395F5F">
          <w:rPr>
            <w:rStyle w:val="Hyperlink"/>
          </w:rPr>
          <w:t>Therapeutic Goods (Permissible I</w:t>
        </w:r>
        <w:r>
          <w:rPr>
            <w:rStyle w:val="Hyperlink"/>
          </w:rPr>
          <w:t xml:space="preserve">ngredients) Determination No. 4 </w:t>
        </w:r>
        <w:r w:rsidRPr="00395F5F">
          <w:rPr>
            <w:rStyle w:val="Hyperlink"/>
          </w:rPr>
          <w:t>of 2018</w:t>
        </w:r>
        <w:r w:rsidRPr="00BC4DBD">
          <w:rPr>
            <w:rStyle w:val="Hyperlink"/>
            <w:color w:val="auto"/>
            <w:u w:val="none"/>
          </w:rPr>
          <w:t>.</w:t>
        </w:r>
      </w:hyperlink>
    </w:p>
    <w:p w:rsidR="00814520" w:rsidRDefault="00814520" w:rsidP="00BC4DBD">
      <w:pPr>
        <w:pStyle w:val="ListBullet"/>
      </w:pPr>
      <w:r>
        <w:t>There are two products</w:t>
      </w:r>
      <w:r w:rsidRPr="00DC143D">
        <w:t xml:space="preserve"> on the </w:t>
      </w:r>
      <w:hyperlink r:id="rId42" w:history="1">
        <w:r w:rsidRPr="00DC143D">
          <w:rPr>
            <w:rStyle w:val="Hyperlink"/>
          </w:rPr>
          <w:t>ARTG</w:t>
        </w:r>
      </w:hyperlink>
      <w:r>
        <w:t xml:space="preserve"> containing sodium salicylate. One is a topical (mucosal) gel product, intended for local pain relief. It </w:t>
      </w:r>
      <w:r w:rsidRPr="009408C0">
        <w:t xml:space="preserve">contains </w:t>
      </w:r>
      <w:r w:rsidRPr="00FE6B74">
        <w:t>ethanol,</w:t>
      </w:r>
      <w:r>
        <w:t xml:space="preserve"> </w:t>
      </w:r>
      <w:r w:rsidRPr="00FE6B74">
        <w:t>glycerol,</w:t>
      </w:r>
      <w:r>
        <w:t xml:space="preserve"> </w:t>
      </w:r>
      <w:r w:rsidRPr="00BC4DBD">
        <w:t>lidocaine</w:t>
      </w:r>
      <w:r w:rsidRPr="00FE6B74">
        <w:t xml:space="preserve"> (lignocaine),</w:t>
      </w:r>
      <w:r>
        <w:t xml:space="preserve"> </w:t>
      </w:r>
      <w:r w:rsidRPr="00FE6B74">
        <w:t>menthol,</w:t>
      </w:r>
      <w:r>
        <w:t xml:space="preserve"> </w:t>
      </w:r>
      <w:r w:rsidRPr="00FE6B74">
        <w:t>salicylic acid,</w:t>
      </w:r>
      <w:r>
        <w:t xml:space="preserve"> s</w:t>
      </w:r>
      <w:r w:rsidRPr="00FE6B74">
        <w:t>odium salicylate,</w:t>
      </w:r>
      <w:r>
        <w:t xml:space="preserve"> </w:t>
      </w:r>
      <w:r w:rsidRPr="00FE6B74">
        <w:t>tannic acid,</w:t>
      </w:r>
      <w:r>
        <w:t xml:space="preserve"> </w:t>
      </w:r>
      <w:proofErr w:type="spellStart"/>
      <w:r w:rsidRPr="00FE6B74">
        <w:t>thymol</w:t>
      </w:r>
      <w:r w:rsidRPr="009408C0">
        <w:t>as</w:t>
      </w:r>
      <w:proofErr w:type="spellEnd"/>
      <w:r w:rsidRPr="009408C0">
        <w:t xml:space="preserve"> active ingredient</w:t>
      </w:r>
      <w:r>
        <w:t>s</w:t>
      </w:r>
      <w:r w:rsidRPr="009408C0">
        <w:t>.</w:t>
      </w:r>
      <w:r>
        <w:t xml:space="preserve"> This product is captured under Schedule 2. A second grandfathered product is a tonic and cough/cold remedy.</w:t>
      </w:r>
    </w:p>
    <w:p w:rsidR="00814520" w:rsidRDefault="00814520" w:rsidP="00BC4DBD">
      <w:pPr>
        <w:pStyle w:val="ListBullet"/>
      </w:pPr>
      <w:r>
        <w:t xml:space="preserve">Reported cosmetics uses in relation to sodium </w:t>
      </w:r>
      <w:r w:rsidRPr="00BC4DBD">
        <w:t>salicylate</w:t>
      </w:r>
      <w:r>
        <w:t xml:space="preserve">: </w:t>
      </w:r>
      <w:r w:rsidRPr="00545285">
        <w:t>preservative, denaturant</w:t>
      </w:r>
      <w:r w:rsidRPr="00AC68E2">
        <w:rPr>
          <w:rStyle w:val="FootnoteReference"/>
        </w:rPr>
        <w:footnoteReference w:id="14"/>
      </w:r>
      <w:r w:rsidR="00BC4DBD">
        <w:t>.</w:t>
      </w:r>
    </w:p>
    <w:p w:rsidR="00814520" w:rsidRPr="00445E77" w:rsidRDefault="00814520" w:rsidP="00BC4DBD">
      <w:pPr>
        <w:pStyle w:val="Heading5"/>
      </w:pPr>
      <w:r w:rsidRPr="00445E77">
        <w:lastRenderedPageBreak/>
        <w:t xml:space="preserve">International </w:t>
      </w:r>
      <w:r w:rsidRPr="00BC4DBD">
        <w:t>regulations</w:t>
      </w:r>
    </w:p>
    <w:p w:rsidR="00814520" w:rsidRDefault="00814520" w:rsidP="00BC4DBD">
      <w:r w:rsidRPr="00625189">
        <w:t>Sodium salicylate as a</w:t>
      </w:r>
      <w:r>
        <w:t>n oral</w:t>
      </w:r>
      <w:r w:rsidRPr="00625189">
        <w:t xml:space="preserve"> veterinary medicine for internal animal treatment (symptomatic treatment of fever and inflammation) is approved for use in Europe as a prescription medicine. Similar products in the US</w:t>
      </w:r>
      <w:r>
        <w:t>A</w:t>
      </w:r>
      <w:r w:rsidRPr="00625189">
        <w:t xml:space="preserve"> are OTC Animal Drugs.</w:t>
      </w:r>
    </w:p>
    <w:p w:rsidR="00814520" w:rsidRDefault="00814520" w:rsidP="00BC4DBD">
      <w:r>
        <w:t>B</w:t>
      </w:r>
      <w:r w:rsidRPr="00BA0556">
        <w:t>ased on data received from the United States (US) Food and Drug Administration (FDA) and the cosmetics industry</w:t>
      </w:r>
      <w:r>
        <w:t>, salicylic a</w:t>
      </w:r>
      <w:r w:rsidRPr="00BA0556">
        <w:t>cid is being used at concentrations up to 30% in rinse-off products (peels); this is the highest maximum ingredient use concentration that is being reported for rinse-off products.</w:t>
      </w:r>
    </w:p>
    <w:p w:rsidR="00814520" w:rsidRPr="00445E77" w:rsidRDefault="00814520" w:rsidP="00BC4DBD">
      <w:pPr>
        <w:pStyle w:val="Heading5"/>
      </w:pPr>
      <w:r w:rsidRPr="00445E77">
        <w:t xml:space="preserve">Substance </w:t>
      </w:r>
      <w:r w:rsidRPr="00BC4DBD">
        <w:t>summary</w:t>
      </w:r>
    </w:p>
    <w:p w:rsidR="00814520" w:rsidRPr="00301CD8" w:rsidRDefault="00814520" w:rsidP="00BC4DBD">
      <w:pPr>
        <w:pStyle w:val="TableTitle0"/>
      </w:pPr>
      <w:r w:rsidRPr="00301CD8">
        <w:t>Table 1: Chemical information for sodium salicylate</w:t>
      </w:r>
    </w:p>
    <w:tbl>
      <w:tblPr>
        <w:tblStyle w:val="TableTGAblue"/>
        <w:tblW w:w="9781" w:type="dxa"/>
        <w:tblInd w:w="108" w:type="dxa"/>
        <w:tblLook w:val="04A0" w:firstRow="1" w:lastRow="0" w:firstColumn="1" w:lastColumn="0" w:noHBand="0" w:noVBand="1"/>
      </w:tblPr>
      <w:tblGrid>
        <w:gridCol w:w="3402"/>
        <w:gridCol w:w="6379"/>
      </w:tblGrid>
      <w:tr w:rsidR="00814520" w:rsidRPr="001253A8" w:rsidTr="00814520">
        <w:trPr>
          <w:cnfStyle w:val="100000000000" w:firstRow="1" w:lastRow="0" w:firstColumn="0" w:lastColumn="0" w:oddVBand="0" w:evenVBand="0" w:oddHBand="0" w:evenHBand="0" w:firstRowFirstColumn="0" w:firstRowLastColumn="0" w:lastRowFirstColumn="0" w:lastRowLastColumn="0"/>
        </w:trPr>
        <w:tc>
          <w:tcPr>
            <w:tcW w:w="3402" w:type="dxa"/>
            <w:vAlign w:val="center"/>
          </w:tcPr>
          <w:p w:rsidR="00814520" w:rsidRPr="001253A8" w:rsidRDefault="00814520" w:rsidP="00814520">
            <w:pPr>
              <w:keepLines/>
              <w:rPr>
                <w:sz w:val="20"/>
                <w:szCs w:val="20"/>
              </w:rPr>
            </w:pPr>
            <w:r w:rsidRPr="001253A8">
              <w:rPr>
                <w:sz w:val="20"/>
                <w:szCs w:val="20"/>
              </w:rPr>
              <w:t>Property</w:t>
            </w:r>
          </w:p>
        </w:tc>
        <w:tc>
          <w:tcPr>
            <w:tcW w:w="6379" w:type="dxa"/>
            <w:vAlign w:val="center"/>
          </w:tcPr>
          <w:p w:rsidR="00814520" w:rsidRPr="001253A8" w:rsidRDefault="00814520" w:rsidP="00814520">
            <w:pPr>
              <w:keepLines/>
              <w:rPr>
                <w:sz w:val="20"/>
                <w:szCs w:val="20"/>
                <w:lang w:eastAsia="en-US"/>
              </w:rPr>
            </w:pPr>
            <w:r>
              <w:rPr>
                <w:sz w:val="20"/>
                <w:szCs w:val="20"/>
              </w:rPr>
              <w:t>Sodium salicylate</w:t>
            </w:r>
          </w:p>
        </w:tc>
      </w:tr>
      <w:tr w:rsidR="00814520" w:rsidRPr="001253A8" w:rsidTr="00814520">
        <w:tc>
          <w:tcPr>
            <w:tcW w:w="3402" w:type="dxa"/>
          </w:tcPr>
          <w:p w:rsidR="00814520" w:rsidRPr="001253A8" w:rsidRDefault="00814520" w:rsidP="00814520">
            <w:pPr>
              <w:spacing w:before="120" w:after="120"/>
              <w:rPr>
                <w:sz w:val="20"/>
                <w:szCs w:val="20"/>
              </w:rPr>
            </w:pPr>
            <w:r w:rsidRPr="001253A8">
              <w:rPr>
                <w:sz w:val="20"/>
                <w:szCs w:val="20"/>
              </w:rPr>
              <w:t>Chemical structure</w:t>
            </w:r>
          </w:p>
        </w:tc>
        <w:tc>
          <w:tcPr>
            <w:tcW w:w="6379" w:type="dxa"/>
          </w:tcPr>
          <w:p w:rsidR="00814520" w:rsidRPr="001253A8" w:rsidRDefault="00814520" w:rsidP="00814520">
            <w:pPr>
              <w:rPr>
                <w:i/>
                <w:iCs/>
                <w:sz w:val="20"/>
                <w:szCs w:val="20"/>
              </w:rPr>
            </w:pPr>
            <w:r>
              <w:rPr>
                <w:noProof/>
              </w:rPr>
              <w:drawing>
                <wp:inline distT="0" distB="0" distL="0" distR="0" wp14:anchorId="0ED5CD44" wp14:editId="3B3064F9">
                  <wp:extent cx="972355" cy="862654"/>
                  <wp:effectExtent l="0" t="0" r="0" b="0"/>
                  <wp:docPr id="8" name="Picture 8" descr="Chemical structure of sodium salicy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008000" cy="894278"/>
                          </a:xfrm>
                          <a:prstGeom prst="rect">
                            <a:avLst/>
                          </a:prstGeom>
                        </pic:spPr>
                      </pic:pic>
                    </a:graphicData>
                  </a:graphic>
                </wp:inline>
              </w:drawing>
            </w:r>
          </w:p>
        </w:tc>
      </w:tr>
      <w:tr w:rsidR="00814520" w:rsidRPr="001253A8" w:rsidTr="00814520">
        <w:tc>
          <w:tcPr>
            <w:tcW w:w="3402" w:type="dxa"/>
          </w:tcPr>
          <w:p w:rsidR="00814520" w:rsidRPr="001253A8" w:rsidRDefault="00814520" w:rsidP="00814520">
            <w:pPr>
              <w:spacing w:before="120" w:after="120"/>
              <w:rPr>
                <w:sz w:val="20"/>
                <w:szCs w:val="20"/>
              </w:rPr>
            </w:pPr>
            <w:r w:rsidRPr="001253A8">
              <w:rPr>
                <w:sz w:val="20"/>
                <w:szCs w:val="20"/>
              </w:rPr>
              <w:t>Molecular formula</w:t>
            </w:r>
          </w:p>
        </w:tc>
        <w:tc>
          <w:tcPr>
            <w:tcW w:w="6379" w:type="dxa"/>
          </w:tcPr>
          <w:p w:rsidR="00814520" w:rsidRPr="001253A8" w:rsidRDefault="00814520" w:rsidP="00814520">
            <w:pPr>
              <w:rPr>
                <w:noProof/>
                <w:sz w:val="20"/>
                <w:szCs w:val="20"/>
              </w:rPr>
            </w:pPr>
            <w:r w:rsidRPr="003A1521">
              <w:rPr>
                <w:noProof/>
                <w:sz w:val="20"/>
                <w:szCs w:val="20"/>
              </w:rPr>
              <w:t>C</w:t>
            </w:r>
            <w:r w:rsidRPr="0057165E">
              <w:rPr>
                <w:noProof/>
                <w:sz w:val="20"/>
                <w:szCs w:val="20"/>
                <w:vertAlign w:val="subscript"/>
              </w:rPr>
              <w:t>7</w:t>
            </w:r>
            <w:r w:rsidRPr="003A1521">
              <w:rPr>
                <w:noProof/>
                <w:sz w:val="20"/>
                <w:szCs w:val="20"/>
              </w:rPr>
              <w:t>H</w:t>
            </w:r>
            <w:r w:rsidRPr="0057165E">
              <w:rPr>
                <w:noProof/>
                <w:sz w:val="20"/>
                <w:szCs w:val="20"/>
                <w:vertAlign w:val="subscript"/>
              </w:rPr>
              <w:t>5</w:t>
            </w:r>
            <w:r w:rsidRPr="003A1521">
              <w:rPr>
                <w:noProof/>
                <w:sz w:val="20"/>
                <w:szCs w:val="20"/>
              </w:rPr>
              <w:t>NaO</w:t>
            </w:r>
            <w:r w:rsidRPr="0057165E">
              <w:rPr>
                <w:noProof/>
                <w:sz w:val="20"/>
                <w:szCs w:val="20"/>
                <w:vertAlign w:val="subscript"/>
              </w:rPr>
              <w:t>3</w:t>
            </w:r>
          </w:p>
        </w:tc>
      </w:tr>
      <w:tr w:rsidR="00814520" w:rsidRPr="001253A8" w:rsidTr="00814520">
        <w:tc>
          <w:tcPr>
            <w:tcW w:w="3402" w:type="dxa"/>
          </w:tcPr>
          <w:p w:rsidR="00814520" w:rsidRPr="001253A8" w:rsidRDefault="00814520" w:rsidP="00814520">
            <w:pPr>
              <w:spacing w:before="120" w:after="120"/>
              <w:rPr>
                <w:sz w:val="20"/>
                <w:szCs w:val="20"/>
              </w:rPr>
            </w:pPr>
            <w:r>
              <w:rPr>
                <w:sz w:val="20"/>
                <w:szCs w:val="20"/>
              </w:rPr>
              <w:t>CAS name</w:t>
            </w:r>
          </w:p>
        </w:tc>
        <w:tc>
          <w:tcPr>
            <w:tcW w:w="6379" w:type="dxa"/>
          </w:tcPr>
          <w:p w:rsidR="00814520" w:rsidRPr="001253A8" w:rsidRDefault="00BC4DBD" w:rsidP="00814520">
            <w:pPr>
              <w:rPr>
                <w:sz w:val="20"/>
                <w:szCs w:val="20"/>
                <w:lang w:eastAsia="en-US"/>
              </w:rPr>
            </w:pPr>
            <w:r>
              <w:rPr>
                <w:sz w:val="20"/>
                <w:szCs w:val="20"/>
                <w:lang w:eastAsia="en-US"/>
              </w:rPr>
              <w:t>Sodium salicylate</w:t>
            </w:r>
          </w:p>
        </w:tc>
      </w:tr>
      <w:tr w:rsidR="00814520" w:rsidRPr="001253A8" w:rsidTr="00814520">
        <w:tc>
          <w:tcPr>
            <w:tcW w:w="3402" w:type="dxa"/>
          </w:tcPr>
          <w:p w:rsidR="00814520" w:rsidRPr="001253A8" w:rsidRDefault="00814520" w:rsidP="00814520">
            <w:pPr>
              <w:spacing w:before="120" w:after="120"/>
              <w:rPr>
                <w:sz w:val="20"/>
                <w:szCs w:val="20"/>
              </w:rPr>
            </w:pPr>
            <w:r w:rsidRPr="001253A8">
              <w:rPr>
                <w:sz w:val="20"/>
                <w:szCs w:val="20"/>
              </w:rPr>
              <w:t xml:space="preserve">CAS </w:t>
            </w:r>
            <w:r>
              <w:rPr>
                <w:sz w:val="20"/>
                <w:szCs w:val="20"/>
              </w:rPr>
              <w:t>number</w:t>
            </w:r>
          </w:p>
        </w:tc>
        <w:tc>
          <w:tcPr>
            <w:tcW w:w="6379" w:type="dxa"/>
          </w:tcPr>
          <w:p w:rsidR="00814520" w:rsidRPr="001253A8" w:rsidRDefault="00814520" w:rsidP="00814520">
            <w:pPr>
              <w:spacing w:after="0" w:line="240" w:lineRule="auto"/>
              <w:rPr>
                <w:sz w:val="20"/>
                <w:szCs w:val="20"/>
              </w:rPr>
            </w:pPr>
            <w:r>
              <w:rPr>
                <w:rFonts w:asciiTheme="minorHAnsi" w:hAnsiTheme="minorHAnsi"/>
                <w:sz w:val="20"/>
                <w:szCs w:val="20"/>
              </w:rPr>
              <w:t>54-21-7</w:t>
            </w:r>
          </w:p>
        </w:tc>
      </w:tr>
      <w:tr w:rsidR="00814520" w:rsidRPr="001253A8" w:rsidTr="00814520">
        <w:tc>
          <w:tcPr>
            <w:tcW w:w="3402" w:type="dxa"/>
          </w:tcPr>
          <w:p w:rsidR="00814520" w:rsidRPr="001253A8" w:rsidRDefault="00814520" w:rsidP="00814520">
            <w:pPr>
              <w:spacing w:before="120" w:after="120"/>
              <w:rPr>
                <w:sz w:val="20"/>
                <w:szCs w:val="20"/>
              </w:rPr>
            </w:pPr>
            <w:r w:rsidRPr="001253A8">
              <w:rPr>
                <w:sz w:val="20"/>
                <w:szCs w:val="20"/>
              </w:rPr>
              <w:t xml:space="preserve">IUPAC </w:t>
            </w:r>
            <w:r>
              <w:rPr>
                <w:sz w:val="20"/>
                <w:szCs w:val="20"/>
              </w:rPr>
              <w:t>name</w:t>
            </w:r>
          </w:p>
        </w:tc>
        <w:tc>
          <w:tcPr>
            <w:tcW w:w="6379" w:type="dxa"/>
          </w:tcPr>
          <w:p w:rsidR="00814520" w:rsidRPr="001253A8" w:rsidRDefault="00814520" w:rsidP="00814520">
            <w:pPr>
              <w:spacing w:after="0" w:line="240" w:lineRule="auto"/>
              <w:rPr>
                <w:sz w:val="20"/>
                <w:szCs w:val="20"/>
              </w:rPr>
            </w:pPr>
            <w:r w:rsidRPr="003A1521">
              <w:rPr>
                <w:sz w:val="20"/>
                <w:szCs w:val="20"/>
                <w:lang w:eastAsia="en-US"/>
              </w:rPr>
              <w:t xml:space="preserve">Sodium;2-hydroxybenzoate </w:t>
            </w:r>
          </w:p>
        </w:tc>
      </w:tr>
    </w:tbl>
    <w:p w:rsidR="00814520" w:rsidRDefault="00814520" w:rsidP="00BC4DBD">
      <w:pPr>
        <w:pStyle w:val="TableTitle0"/>
      </w:pPr>
      <w:r>
        <w:t>Table 2: Acute toxicity end-points for SODIUM SALICYLATE</w:t>
      </w:r>
    </w:p>
    <w:tbl>
      <w:tblPr>
        <w:tblStyle w:val="TableTGAblue"/>
        <w:tblW w:w="4945" w:type="pct"/>
        <w:tblInd w:w="108" w:type="dxa"/>
        <w:tblLook w:val="04A0" w:firstRow="1" w:lastRow="0" w:firstColumn="1" w:lastColumn="0" w:noHBand="0" w:noVBand="1"/>
      </w:tblPr>
      <w:tblGrid>
        <w:gridCol w:w="4056"/>
        <w:gridCol w:w="1640"/>
        <w:gridCol w:w="1887"/>
        <w:gridCol w:w="1601"/>
      </w:tblGrid>
      <w:tr w:rsidR="00814520" w:rsidRPr="0093114F" w:rsidTr="00814520">
        <w:trPr>
          <w:cnfStyle w:val="100000000000" w:firstRow="1" w:lastRow="0" w:firstColumn="0" w:lastColumn="0" w:oddVBand="0" w:evenVBand="0" w:oddHBand="0" w:evenHBand="0" w:firstRowFirstColumn="0" w:firstRowLastColumn="0" w:lastRowFirstColumn="0" w:lastRowLastColumn="0"/>
        </w:trPr>
        <w:tc>
          <w:tcPr>
            <w:tcW w:w="2238" w:type="pct"/>
          </w:tcPr>
          <w:p w:rsidR="00814520" w:rsidRPr="0093114F" w:rsidRDefault="00814520" w:rsidP="00814520">
            <w:pPr>
              <w:pStyle w:val="TableHeading"/>
              <w:keepLines/>
              <w:spacing w:before="120" w:after="120"/>
              <w:rPr>
                <w:rFonts w:cstheme="majorHAnsi"/>
                <w:b/>
                <w:sz w:val="20"/>
                <w:szCs w:val="20"/>
              </w:rPr>
            </w:pPr>
            <w:r w:rsidRPr="0093114F">
              <w:rPr>
                <w:rFonts w:cstheme="majorHAnsi"/>
                <w:b/>
                <w:sz w:val="20"/>
                <w:szCs w:val="20"/>
              </w:rPr>
              <w:t>Toxicity</w:t>
            </w:r>
          </w:p>
        </w:tc>
        <w:tc>
          <w:tcPr>
            <w:tcW w:w="923" w:type="pct"/>
          </w:tcPr>
          <w:p w:rsidR="00814520" w:rsidRPr="0093114F" w:rsidRDefault="00814520" w:rsidP="00814520">
            <w:pPr>
              <w:pStyle w:val="TableHeading"/>
              <w:keepLines/>
              <w:spacing w:before="120" w:after="120"/>
              <w:rPr>
                <w:rFonts w:cstheme="majorHAnsi"/>
                <w:b/>
                <w:sz w:val="20"/>
                <w:szCs w:val="20"/>
              </w:rPr>
            </w:pPr>
            <w:r w:rsidRPr="0093114F">
              <w:rPr>
                <w:rFonts w:cstheme="majorHAnsi"/>
                <w:b/>
                <w:sz w:val="20"/>
                <w:szCs w:val="20"/>
              </w:rPr>
              <w:t>Species</w:t>
            </w:r>
          </w:p>
        </w:tc>
        <w:tc>
          <w:tcPr>
            <w:tcW w:w="1057" w:type="pct"/>
          </w:tcPr>
          <w:p w:rsidR="00814520" w:rsidRPr="0093114F" w:rsidRDefault="00814520" w:rsidP="00814520">
            <w:pPr>
              <w:pStyle w:val="TableHeading"/>
              <w:keepLines/>
              <w:spacing w:before="120" w:after="120"/>
              <w:rPr>
                <w:rFonts w:cstheme="majorHAnsi"/>
                <w:b/>
                <w:sz w:val="20"/>
                <w:szCs w:val="20"/>
              </w:rPr>
            </w:pPr>
            <w:r>
              <w:rPr>
                <w:rFonts w:cstheme="majorHAnsi"/>
                <w:b/>
                <w:sz w:val="20"/>
                <w:szCs w:val="20"/>
              </w:rPr>
              <w:t>Sodium salicylate</w:t>
            </w:r>
          </w:p>
        </w:tc>
        <w:tc>
          <w:tcPr>
            <w:tcW w:w="781" w:type="pct"/>
          </w:tcPr>
          <w:p w:rsidR="00814520" w:rsidRPr="0093114F" w:rsidRDefault="00814520" w:rsidP="00814520">
            <w:pPr>
              <w:pStyle w:val="TableHeading"/>
              <w:keepLines/>
              <w:spacing w:before="120" w:after="120"/>
              <w:rPr>
                <w:rFonts w:cstheme="majorHAnsi"/>
                <w:b/>
                <w:sz w:val="20"/>
                <w:szCs w:val="20"/>
              </w:rPr>
            </w:pPr>
            <w:r w:rsidRPr="00193EA7">
              <w:rPr>
                <w:rFonts w:cstheme="majorHAnsi"/>
                <w:b/>
                <w:sz w:val="20"/>
                <w:szCs w:val="20"/>
              </w:rPr>
              <w:t>SPF (</w:t>
            </w:r>
            <w:r>
              <w:rPr>
                <w:rFonts w:cstheme="majorHAnsi"/>
                <w:b/>
                <w:sz w:val="20"/>
                <w:szCs w:val="20"/>
              </w:rPr>
              <w:t>2018</w:t>
            </w:r>
            <w:r w:rsidRPr="00193EA7">
              <w:rPr>
                <w:rFonts w:cstheme="majorHAnsi"/>
                <w:b/>
                <w:sz w:val="20"/>
                <w:szCs w:val="20"/>
              </w:rPr>
              <w:t>)</w:t>
            </w:r>
            <w:r w:rsidRPr="00D45336">
              <w:rPr>
                <w:rFonts w:cstheme="majorHAnsi"/>
                <w:b/>
                <w:sz w:val="20"/>
                <w:szCs w:val="20"/>
              </w:rPr>
              <w:t xml:space="preserve"> Classification</w:t>
            </w:r>
            <w:r w:rsidRPr="00AC68E2">
              <w:rPr>
                <w:rStyle w:val="FootnoteReference"/>
              </w:rPr>
              <w:footnoteReference w:id="15"/>
            </w:r>
          </w:p>
        </w:tc>
      </w:tr>
      <w:tr w:rsidR="00814520" w:rsidRPr="0093114F" w:rsidTr="00814520">
        <w:tc>
          <w:tcPr>
            <w:tcW w:w="2238" w:type="pct"/>
          </w:tcPr>
          <w:p w:rsidR="00814520" w:rsidRPr="0093114F" w:rsidRDefault="00814520" w:rsidP="00814520">
            <w:pPr>
              <w:spacing w:before="120" w:after="120"/>
              <w:rPr>
                <w:sz w:val="20"/>
                <w:szCs w:val="20"/>
              </w:rPr>
            </w:pPr>
            <w:r w:rsidRPr="0093114F">
              <w:rPr>
                <w:sz w:val="20"/>
                <w:szCs w:val="20"/>
              </w:rPr>
              <w:t>Acute oral toxicity LD</w:t>
            </w:r>
            <w:r w:rsidRPr="0093114F">
              <w:rPr>
                <w:sz w:val="20"/>
                <w:szCs w:val="20"/>
                <w:vertAlign w:val="subscript"/>
              </w:rPr>
              <w:t>50</w:t>
            </w:r>
            <w:r w:rsidRPr="0093114F">
              <w:rPr>
                <w:sz w:val="20"/>
                <w:szCs w:val="20"/>
              </w:rPr>
              <w:t xml:space="preserve"> (mg/kg </w:t>
            </w:r>
            <w:proofErr w:type="spellStart"/>
            <w:r w:rsidRPr="0093114F">
              <w:rPr>
                <w:sz w:val="20"/>
                <w:szCs w:val="20"/>
              </w:rPr>
              <w:t>bw</w:t>
            </w:r>
            <w:proofErr w:type="spellEnd"/>
            <w:r w:rsidRPr="0093114F">
              <w:rPr>
                <w:sz w:val="20"/>
                <w:szCs w:val="20"/>
              </w:rPr>
              <w:t>)</w:t>
            </w:r>
          </w:p>
        </w:tc>
        <w:tc>
          <w:tcPr>
            <w:tcW w:w="923" w:type="pct"/>
          </w:tcPr>
          <w:p w:rsidR="00814520" w:rsidRPr="0093114F" w:rsidRDefault="00BC4DBD" w:rsidP="00814520">
            <w:pPr>
              <w:spacing w:before="120" w:after="120"/>
              <w:rPr>
                <w:sz w:val="20"/>
                <w:szCs w:val="20"/>
                <w:lang w:eastAsia="en-US"/>
              </w:rPr>
            </w:pPr>
            <w:r>
              <w:rPr>
                <w:sz w:val="20"/>
                <w:szCs w:val="20"/>
                <w:lang w:eastAsia="en-US"/>
              </w:rPr>
              <w:t>Rat</w:t>
            </w:r>
          </w:p>
        </w:tc>
        <w:tc>
          <w:tcPr>
            <w:tcW w:w="1057" w:type="pct"/>
          </w:tcPr>
          <w:p w:rsidR="00814520" w:rsidRPr="0093114F" w:rsidRDefault="00814520" w:rsidP="00814520">
            <w:pPr>
              <w:spacing w:before="120" w:after="120"/>
              <w:rPr>
                <w:sz w:val="20"/>
                <w:szCs w:val="20"/>
              </w:rPr>
            </w:pPr>
            <w:r>
              <w:rPr>
                <w:sz w:val="20"/>
                <w:szCs w:val="20"/>
              </w:rPr>
              <w:t xml:space="preserve">300 to 2000 </w:t>
            </w:r>
          </w:p>
        </w:tc>
        <w:tc>
          <w:tcPr>
            <w:tcW w:w="781" w:type="pct"/>
          </w:tcPr>
          <w:p w:rsidR="00814520" w:rsidRPr="0093114F" w:rsidRDefault="00814520" w:rsidP="00814520">
            <w:pPr>
              <w:spacing w:before="120" w:after="120"/>
              <w:rPr>
                <w:sz w:val="20"/>
                <w:szCs w:val="20"/>
              </w:rPr>
            </w:pPr>
            <w:r>
              <w:rPr>
                <w:sz w:val="20"/>
                <w:szCs w:val="20"/>
              </w:rPr>
              <w:t>6</w:t>
            </w:r>
          </w:p>
        </w:tc>
      </w:tr>
      <w:tr w:rsidR="00814520" w:rsidRPr="0093114F" w:rsidTr="00814520">
        <w:tc>
          <w:tcPr>
            <w:tcW w:w="2238" w:type="pct"/>
          </w:tcPr>
          <w:p w:rsidR="00814520" w:rsidRPr="00760930" w:rsidRDefault="00814520" w:rsidP="00814520">
            <w:pPr>
              <w:spacing w:before="120" w:after="120"/>
              <w:rPr>
                <w:sz w:val="20"/>
                <w:szCs w:val="20"/>
              </w:rPr>
            </w:pPr>
            <w:r w:rsidRPr="00760930">
              <w:rPr>
                <w:sz w:val="20"/>
                <w:szCs w:val="20"/>
              </w:rPr>
              <w:t>Acute dermal toxicity LD</w:t>
            </w:r>
            <w:r w:rsidRPr="00760930">
              <w:rPr>
                <w:sz w:val="20"/>
                <w:szCs w:val="20"/>
                <w:vertAlign w:val="subscript"/>
              </w:rPr>
              <w:t>50</w:t>
            </w:r>
            <w:r w:rsidRPr="00760930">
              <w:rPr>
                <w:sz w:val="20"/>
                <w:szCs w:val="20"/>
              </w:rPr>
              <w:t xml:space="preserve"> (mg/kg </w:t>
            </w:r>
            <w:proofErr w:type="spellStart"/>
            <w:r w:rsidRPr="00760930">
              <w:rPr>
                <w:sz w:val="20"/>
                <w:szCs w:val="20"/>
              </w:rPr>
              <w:t>bw</w:t>
            </w:r>
            <w:proofErr w:type="spellEnd"/>
            <w:r w:rsidRPr="00760930">
              <w:rPr>
                <w:sz w:val="20"/>
                <w:szCs w:val="20"/>
              </w:rPr>
              <w:t>)</w:t>
            </w:r>
          </w:p>
        </w:tc>
        <w:tc>
          <w:tcPr>
            <w:tcW w:w="923" w:type="pct"/>
          </w:tcPr>
          <w:p w:rsidR="00814520" w:rsidRPr="00760930" w:rsidRDefault="00814520" w:rsidP="00814520">
            <w:pPr>
              <w:spacing w:before="120" w:after="120"/>
              <w:rPr>
                <w:sz w:val="20"/>
                <w:szCs w:val="20"/>
              </w:rPr>
            </w:pPr>
            <w:r w:rsidRPr="00760930">
              <w:rPr>
                <w:sz w:val="20"/>
                <w:szCs w:val="20"/>
              </w:rPr>
              <w:t>Rat</w:t>
            </w:r>
          </w:p>
        </w:tc>
        <w:tc>
          <w:tcPr>
            <w:tcW w:w="1057" w:type="pct"/>
          </w:tcPr>
          <w:p w:rsidR="00814520" w:rsidRPr="0057165E" w:rsidRDefault="00814520" w:rsidP="00814520">
            <w:pPr>
              <w:spacing w:before="120" w:after="120"/>
              <w:rPr>
                <w:sz w:val="20"/>
              </w:rPr>
            </w:pPr>
            <w:r w:rsidRPr="0057165E">
              <w:rPr>
                <w:sz w:val="20"/>
              </w:rPr>
              <w:t>&gt;2000</w:t>
            </w:r>
          </w:p>
        </w:tc>
        <w:tc>
          <w:tcPr>
            <w:tcW w:w="781" w:type="pct"/>
          </w:tcPr>
          <w:p w:rsidR="00814520" w:rsidRPr="0093114F" w:rsidRDefault="00814520" w:rsidP="00814520">
            <w:pPr>
              <w:spacing w:before="120" w:after="120"/>
              <w:rPr>
                <w:sz w:val="20"/>
                <w:szCs w:val="20"/>
              </w:rPr>
            </w:pPr>
            <w:r>
              <w:rPr>
                <w:sz w:val="20"/>
                <w:szCs w:val="20"/>
              </w:rPr>
              <w:t>5</w:t>
            </w:r>
          </w:p>
        </w:tc>
      </w:tr>
      <w:tr w:rsidR="00814520" w:rsidRPr="0093114F" w:rsidTr="00814520">
        <w:tc>
          <w:tcPr>
            <w:tcW w:w="2238" w:type="pct"/>
          </w:tcPr>
          <w:p w:rsidR="00814520" w:rsidRPr="0072709D" w:rsidRDefault="00814520" w:rsidP="00814520">
            <w:pPr>
              <w:spacing w:before="120" w:after="120"/>
              <w:rPr>
                <w:sz w:val="20"/>
                <w:szCs w:val="20"/>
              </w:rPr>
            </w:pPr>
            <w:r w:rsidRPr="0072709D">
              <w:rPr>
                <w:sz w:val="20"/>
                <w:szCs w:val="20"/>
              </w:rPr>
              <w:t>Acute inhalational toxicity LC</w:t>
            </w:r>
            <w:r w:rsidRPr="0072709D">
              <w:rPr>
                <w:sz w:val="20"/>
                <w:szCs w:val="20"/>
                <w:vertAlign w:val="subscript"/>
              </w:rPr>
              <w:t>50</w:t>
            </w:r>
            <w:r w:rsidRPr="0072709D">
              <w:rPr>
                <w:sz w:val="20"/>
                <w:szCs w:val="20"/>
              </w:rPr>
              <w:t xml:space="preserve"> (mg/m</w:t>
            </w:r>
            <w:r w:rsidRPr="0072709D">
              <w:rPr>
                <w:sz w:val="20"/>
                <w:szCs w:val="20"/>
                <w:vertAlign w:val="superscript"/>
              </w:rPr>
              <w:t>3</w:t>
            </w:r>
            <w:r w:rsidRPr="0072709D">
              <w:rPr>
                <w:sz w:val="20"/>
                <w:szCs w:val="20"/>
              </w:rPr>
              <w:t>/4h)</w:t>
            </w:r>
          </w:p>
        </w:tc>
        <w:tc>
          <w:tcPr>
            <w:tcW w:w="923" w:type="pct"/>
          </w:tcPr>
          <w:p w:rsidR="00814520" w:rsidRPr="0072709D" w:rsidRDefault="00814520" w:rsidP="00814520">
            <w:pPr>
              <w:spacing w:before="120" w:after="120"/>
              <w:rPr>
                <w:sz w:val="20"/>
                <w:szCs w:val="20"/>
              </w:rPr>
            </w:pPr>
            <w:r>
              <w:rPr>
                <w:sz w:val="20"/>
                <w:szCs w:val="20"/>
              </w:rPr>
              <w:t>ND</w:t>
            </w:r>
          </w:p>
        </w:tc>
        <w:tc>
          <w:tcPr>
            <w:tcW w:w="1057" w:type="pct"/>
          </w:tcPr>
          <w:p w:rsidR="00814520" w:rsidRPr="0093114F" w:rsidRDefault="00814520" w:rsidP="00814520">
            <w:pPr>
              <w:spacing w:before="120" w:after="120"/>
              <w:rPr>
                <w:sz w:val="20"/>
                <w:szCs w:val="20"/>
              </w:rPr>
            </w:pPr>
            <w:r>
              <w:rPr>
                <w:sz w:val="20"/>
                <w:szCs w:val="20"/>
              </w:rPr>
              <w:t>ND</w:t>
            </w:r>
          </w:p>
        </w:tc>
        <w:tc>
          <w:tcPr>
            <w:tcW w:w="781" w:type="pct"/>
          </w:tcPr>
          <w:p w:rsidR="00814520" w:rsidRPr="0093114F" w:rsidRDefault="00814520" w:rsidP="00814520">
            <w:pPr>
              <w:spacing w:before="120" w:after="120"/>
              <w:rPr>
                <w:sz w:val="20"/>
                <w:szCs w:val="20"/>
              </w:rPr>
            </w:pPr>
            <w:r>
              <w:rPr>
                <w:sz w:val="20"/>
                <w:szCs w:val="20"/>
              </w:rPr>
              <w:t>-</w:t>
            </w:r>
          </w:p>
        </w:tc>
      </w:tr>
      <w:tr w:rsidR="00814520" w:rsidRPr="0093114F" w:rsidTr="00814520">
        <w:tc>
          <w:tcPr>
            <w:tcW w:w="2238" w:type="pct"/>
          </w:tcPr>
          <w:p w:rsidR="00814520" w:rsidRPr="009B60FE" w:rsidRDefault="00814520" w:rsidP="00814520">
            <w:pPr>
              <w:spacing w:before="120" w:after="120"/>
              <w:rPr>
                <w:sz w:val="20"/>
                <w:szCs w:val="20"/>
              </w:rPr>
            </w:pPr>
            <w:r w:rsidRPr="009B60FE">
              <w:rPr>
                <w:sz w:val="20"/>
                <w:szCs w:val="20"/>
              </w:rPr>
              <w:t>Skin irritation</w:t>
            </w:r>
          </w:p>
        </w:tc>
        <w:tc>
          <w:tcPr>
            <w:tcW w:w="923" w:type="pct"/>
          </w:tcPr>
          <w:p w:rsidR="00814520" w:rsidRPr="009B60FE" w:rsidRDefault="00814520" w:rsidP="00814520">
            <w:pPr>
              <w:spacing w:before="120" w:after="120"/>
              <w:rPr>
                <w:sz w:val="20"/>
                <w:szCs w:val="20"/>
              </w:rPr>
            </w:pPr>
            <w:r w:rsidRPr="009B60FE">
              <w:rPr>
                <w:sz w:val="20"/>
                <w:szCs w:val="20"/>
              </w:rPr>
              <w:t>Rabbit</w:t>
            </w:r>
          </w:p>
        </w:tc>
        <w:tc>
          <w:tcPr>
            <w:tcW w:w="1057" w:type="pct"/>
          </w:tcPr>
          <w:p w:rsidR="00814520" w:rsidRPr="009B60FE" w:rsidRDefault="00814520" w:rsidP="00814520">
            <w:pPr>
              <w:spacing w:before="120" w:after="120"/>
              <w:rPr>
                <w:sz w:val="20"/>
                <w:szCs w:val="20"/>
              </w:rPr>
            </w:pPr>
            <w:r>
              <w:rPr>
                <w:sz w:val="20"/>
                <w:szCs w:val="20"/>
              </w:rPr>
              <w:t>Non-irritant</w:t>
            </w:r>
          </w:p>
        </w:tc>
        <w:tc>
          <w:tcPr>
            <w:tcW w:w="781" w:type="pct"/>
          </w:tcPr>
          <w:p w:rsidR="00814520" w:rsidRPr="0093114F" w:rsidRDefault="00814520" w:rsidP="00814520">
            <w:pPr>
              <w:spacing w:before="120" w:after="120"/>
              <w:rPr>
                <w:sz w:val="20"/>
                <w:szCs w:val="20"/>
              </w:rPr>
            </w:pPr>
            <w:r>
              <w:rPr>
                <w:sz w:val="20"/>
                <w:szCs w:val="20"/>
              </w:rPr>
              <w:t>-</w:t>
            </w:r>
          </w:p>
        </w:tc>
      </w:tr>
      <w:tr w:rsidR="00814520" w:rsidRPr="0093114F" w:rsidTr="00814520">
        <w:tc>
          <w:tcPr>
            <w:tcW w:w="2238" w:type="pct"/>
          </w:tcPr>
          <w:p w:rsidR="00814520" w:rsidRPr="009B60FE" w:rsidRDefault="00BC4DBD" w:rsidP="00814520">
            <w:pPr>
              <w:spacing w:before="120" w:after="120"/>
              <w:rPr>
                <w:sz w:val="20"/>
                <w:szCs w:val="20"/>
              </w:rPr>
            </w:pPr>
            <w:r>
              <w:rPr>
                <w:sz w:val="20"/>
                <w:szCs w:val="20"/>
              </w:rPr>
              <w:t>Eye irritation</w:t>
            </w:r>
          </w:p>
        </w:tc>
        <w:tc>
          <w:tcPr>
            <w:tcW w:w="923" w:type="pct"/>
          </w:tcPr>
          <w:p w:rsidR="00814520" w:rsidRPr="009B60FE" w:rsidRDefault="00814520" w:rsidP="00814520">
            <w:pPr>
              <w:spacing w:before="120" w:after="120"/>
              <w:rPr>
                <w:sz w:val="20"/>
                <w:szCs w:val="20"/>
              </w:rPr>
            </w:pPr>
            <w:r w:rsidRPr="009B60FE">
              <w:rPr>
                <w:sz w:val="20"/>
                <w:szCs w:val="20"/>
              </w:rPr>
              <w:t>Rabbit</w:t>
            </w:r>
          </w:p>
        </w:tc>
        <w:tc>
          <w:tcPr>
            <w:tcW w:w="1057" w:type="pct"/>
          </w:tcPr>
          <w:p w:rsidR="00814520" w:rsidRPr="0093114F" w:rsidRDefault="00814520" w:rsidP="00814520">
            <w:pPr>
              <w:spacing w:before="120" w:after="120"/>
              <w:rPr>
                <w:sz w:val="20"/>
                <w:szCs w:val="20"/>
              </w:rPr>
            </w:pPr>
            <w:r>
              <w:rPr>
                <w:sz w:val="20"/>
                <w:szCs w:val="20"/>
              </w:rPr>
              <w:t>Moderate irritant</w:t>
            </w:r>
          </w:p>
        </w:tc>
        <w:tc>
          <w:tcPr>
            <w:tcW w:w="781" w:type="pct"/>
          </w:tcPr>
          <w:p w:rsidR="00814520" w:rsidRPr="0093114F" w:rsidRDefault="00814520" w:rsidP="00814520">
            <w:pPr>
              <w:spacing w:before="120" w:after="120"/>
              <w:rPr>
                <w:sz w:val="20"/>
                <w:szCs w:val="20"/>
              </w:rPr>
            </w:pPr>
            <w:r>
              <w:rPr>
                <w:sz w:val="20"/>
                <w:szCs w:val="20"/>
              </w:rPr>
              <w:t>5</w:t>
            </w:r>
          </w:p>
        </w:tc>
      </w:tr>
      <w:tr w:rsidR="00814520" w:rsidRPr="0093114F" w:rsidTr="00814520">
        <w:tc>
          <w:tcPr>
            <w:tcW w:w="2238" w:type="pct"/>
          </w:tcPr>
          <w:p w:rsidR="00814520" w:rsidRPr="0093114F" w:rsidRDefault="00814520" w:rsidP="00814520">
            <w:pPr>
              <w:spacing w:before="120" w:after="120"/>
              <w:rPr>
                <w:sz w:val="20"/>
                <w:szCs w:val="20"/>
              </w:rPr>
            </w:pPr>
            <w:r w:rsidRPr="0093114F">
              <w:rPr>
                <w:sz w:val="20"/>
                <w:szCs w:val="20"/>
              </w:rPr>
              <w:t>Skin sensitisation (</w:t>
            </w:r>
            <w:r w:rsidRPr="00644231">
              <w:rPr>
                <w:i/>
                <w:sz w:val="20"/>
              </w:rPr>
              <w:t>in vivo</w:t>
            </w:r>
            <w:r w:rsidRPr="0093114F">
              <w:rPr>
                <w:sz w:val="20"/>
                <w:szCs w:val="20"/>
              </w:rPr>
              <w:t>)</w:t>
            </w:r>
          </w:p>
        </w:tc>
        <w:tc>
          <w:tcPr>
            <w:tcW w:w="923" w:type="pct"/>
          </w:tcPr>
          <w:p w:rsidR="00814520" w:rsidRPr="0093114F" w:rsidRDefault="00814520" w:rsidP="00814520">
            <w:pPr>
              <w:spacing w:before="120" w:after="120"/>
              <w:rPr>
                <w:sz w:val="20"/>
                <w:szCs w:val="20"/>
              </w:rPr>
            </w:pPr>
            <w:r>
              <w:rPr>
                <w:sz w:val="20"/>
                <w:szCs w:val="20"/>
              </w:rPr>
              <w:t>Human</w:t>
            </w:r>
          </w:p>
        </w:tc>
        <w:tc>
          <w:tcPr>
            <w:tcW w:w="1057" w:type="pct"/>
          </w:tcPr>
          <w:p w:rsidR="00814520" w:rsidRPr="0093114F" w:rsidRDefault="00814520" w:rsidP="00814520">
            <w:pPr>
              <w:spacing w:before="120" w:after="120"/>
              <w:rPr>
                <w:sz w:val="20"/>
                <w:szCs w:val="20"/>
              </w:rPr>
            </w:pPr>
            <w:r>
              <w:rPr>
                <w:sz w:val="20"/>
                <w:szCs w:val="20"/>
              </w:rPr>
              <w:t>Non-sensitising</w:t>
            </w:r>
          </w:p>
        </w:tc>
        <w:tc>
          <w:tcPr>
            <w:tcW w:w="781" w:type="pct"/>
          </w:tcPr>
          <w:p w:rsidR="00814520" w:rsidRPr="0093114F" w:rsidRDefault="00814520" w:rsidP="00814520">
            <w:pPr>
              <w:spacing w:before="120" w:after="120"/>
              <w:rPr>
                <w:sz w:val="20"/>
                <w:szCs w:val="20"/>
              </w:rPr>
            </w:pPr>
            <w:r>
              <w:rPr>
                <w:sz w:val="20"/>
                <w:szCs w:val="20"/>
              </w:rPr>
              <w:t>-</w:t>
            </w:r>
          </w:p>
        </w:tc>
      </w:tr>
    </w:tbl>
    <w:p w:rsidR="00814520" w:rsidRPr="00BC4DBD" w:rsidRDefault="00BC4DBD" w:rsidP="00BC4DBD">
      <w:pPr>
        <w:pStyle w:val="Heading6"/>
        <w:rPr>
          <w:rFonts w:eastAsiaTheme="majorEastAsia"/>
        </w:rPr>
      </w:pPr>
      <w:r>
        <w:rPr>
          <w:rFonts w:eastAsiaTheme="majorEastAsia"/>
        </w:rPr>
        <w:lastRenderedPageBreak/>
        <w:t>Acute toxicity</w:t>
      </w:r>
    </w:p>
    <w:p w:rsidR="00814520" w:rsidRDefault="00814520" w:rsidP="00BC4DBD">
      <w:pPr>
        <w:rPr>
          <w:rFonts w:eastAsiaTheme="majorEastAsia"/>
        </w:rPr>
      </w:pPr>
      <w:r w:rsidRPr="00E10E18">
        <w:t>Studies in rats done according to</w:t>
      </w:r>
      <w:r>
        <w:t xml:space="preserve"> </w:t>
      </w:r>
      <w:r w:rsidRPr="00971988">
        <w:t>Organisation for Economic Co-operation and Development</w:t>
      </w:r>
      <w:r w:rsidRPr="00E10E18">
        <w:t xml:space="preserve"> </w:t>
      </w:r>
      <w:r>
        <w:t>(</w:t>
      </w:r>
      <w:r w:rsidRPr="00E10E18">
        <w:t>OECD</w:t>
      </w:r>
      <w:r>
        <w:t>)</w:t>
      </w:r>
      <w:r w:rsidRPr="00E10E18">
        <w:t xml:space="preserve"> guidelines show that </w:t>
      </w:r>
      <w:r>
        <w:t>sodium salicylate</w:t>
      </w:r>
      <w:r w:rsidRPr="00E10E18">
        <w:t xml:space="preserve"> h</w:t>
      </w:r>
      <w:r>
        <w:t>as low to moderate acute oral toxicity and low acute dermal toxicity.</w:t>
      </w:r>
      <w:r w:rsidRPr="00E10E18">
        <w:t xml:space="preserve"> </w:t>
      </w:r>
      <w:r>
        <w:t xml:space="preserve">Sodium salicylate has a low vapour pressure (4.9 </w:t>
      </w:r>
      <w:r w:rsidRPr="00BE139A">
        <w:t>x</w:t>
      </w:r>
      <w:r>
        <w:t xml:space="preserve"> 10</w:t>
      </w:r>
      <w:r w:rsidRPr="00BE139A">
        <w:rPr>
          <w:vertAlign w:val="superscript"/>
        </w:rPr>
        <w:t>–</w:t>
      </w:r>
      <w:r>
        <w:rPr>
          <w:vertAlign w:val="superscript"/>
        </w:rPr>
        <w:t>9</w:t>
      </w:r>
      <w:r>
        <w:t> </w:t>
      </w:r>
      <w:r w:rsidRPr="00361F4A">
        <w:t>Pa at 2</w:t>
      </w:r>
      <w:r>
        <w:t>5</w:t>
      </w:r>
      <w:r w:rsidRPr="00361F4A">
        <w:t>°C) and therefore is not predicted to give rise to inhalation toxicity.</w:t>
      </w:r>
      <w:r>
        <w:t xml:space="preserve"> In humans, </w:t>
      </w:r>
      <w:r w:rsidRPr="00D21A84">
        <w:t xml:space="preserve">it is known that </w:t>
      </w:r>
      <w:r>
        <w:t>salicylate poisoning</w:t>
      </w:r>
      <w:r w:rsidRPr="00D21A84">
        <w:t xml:space="preserve"> in adults </w:t>
      </w:r>
      <w:r>
        <w:t xml:space="preserve">can occur at doses of approximately </w:t>
      </w:r>
      <w:r w:rsidRPr="00D21A84">
        <w:t>200 to 300 mg/kg</w:t>
      </w:r>
      <w:r>
        <w:t xml:space="preserve"> </w:t>
      </w:r>
      <w:proofErr w:type="spellStart"/>
      <w:proofErr w:type="gramStart"/>
      <w:r>
        <w:t>bw</w:t>
      </w:r>
      <w:proofErr w:type="spellEnd"/>
      <w:proofErr w:type="gramEnd"/>
      <w:r>
        <w:t>, and ingestion of 500 mg/kg </w:t>
      </w:r>
      <w:proofErr w:type="spellStart"/>
      <w:r>
        <w:t>bw</w:t>
      </w:r>
      <w:proofErr w:type="spellEnd"/>
      <w:r>
        <w:t xml:space="preserve"> is potentially lethal</w:t>
      </w:r>
      <w:r w:rsidRPr="00D21A84">
        <w:t>. Much lo</w:t>
      </w:r>
      <w:r>
        <w:t>wer levels can affect children.</w:t>
      </w:r>
    </w:p>
    <w:p w:rsidR="00814520" w:rsidRDefault="00814520" w:rsidP="00814520">
      <w:pPr>
        <w:pStyle w:val="Heading6"/>
        <w:rPr>
          <w:rFonts w:eastAsiaTheme="majorEastAsia"/>
        </w:rPr>
      </w:pPr>
      <w:r>
        <w:rPr>
          <w:rFonts w:eastAsiaTheme="majorEastAsia"/>
        </w:rPr>
        <w:t>Skin and eye irritation</w:t>
      </w:r>
    </w:p>
    <w:p w:rsidR="00814520" w:rsidRPr="00506806" w:rsidRDefault="00814520" w:rsidP="00BC4DBD">
      <w:pPr>
        <w:rPr>
          <w:rFonts w:eastAsiaTheme="majorEastAsia"/>
        </w:rPr>
      </w:pPr>
      <w:r w:rsidRPr="00506806">
        <w:t xml:space="preserve">OECD guideline-compliant studies in rabbits show that </w:t>
      </w:r>
      <w:r>
        <w:t>sodium salicylate</w:t>
      </w:r>
      <w:r w:rsidRPr="00506806">
        <w:t xml:space="preserve"> is not a skin irritant but is a moderate eye irritant.</w:t>
      </w:r>
    </w:p>
    <w:p w:rsidR="00814520" w:rsidRDefault="00814520" w:rsidP="00BC4DBD">
      <w:pPr>
        <w:pStyle w:val="Heading6"/>
        <w:rPr>
          <w:rFonts w:eastAsiaTheme="majorEastAsia"/>
        </w:rPr>
      </w:pPr>
      <w:r w:rsidRPr="00BC4DBD">
        <w:rPr>
          <w:rFonts w:eastAsiaTheme="majorEastAsia"/>
        </w:rPr>
        <w:t>Sensitisation</w:t>
      </w:r>
    </w:p>
    <w:p w:rsidR="00814520" w:rsidRPr="00506806" w:rsidRDefault="00814520" w:rsidP="00BC4DBD">
      <w:r>
        <w:t>Sodium salicylate is not considered sensitising to the skin based on a series of studies with up to 31 patients with a history of aspirin intolerance, as well as the lack of any human sensitisation reactions reported in literature concerning dermal exposure to sodium salicylate.</w:t>
      </w:r>
    </w:p>
    <w:p w:rsidR="00814520" w:rsidRDefault="00814520" w:rsidP="00BC4DBD">
      <w:pPr>
        <w:pStyle w:val="Heading6"/>
        <w:rPr>
          <w:rFonts w:eastAsiaTheme="majorEastAsia"/>
        </w:rPr>
      </w:pPr>
      <w:r>
        <w:rPr>
          <w:rFonts w:eastAsiaTheme="majorEastAsia"/>
        </w:rPr>
        <w:t xml:space="preserve">Repeat-dose </w:t>
      </w:r>
      <w:r w:rsidRPr="00BC4DBD">
        <w:rPr>
          <w:rFonts w:eastAsiaTheme="majorEastAsia"/>
        </w:rPr>
        <w:t>toxicity</w:t>
      </w:r>
      <w:r>
        <w:rPr>
          <w:rFonts w:eastAsiaTheme="majorEastAsia"/>
        </w:rPr>
        <w:t xml:space="preserve">, mutagenicity, genotoxicity, carcinogenicity, </w:t>
      </w:r>
      <w:proofErr w:type="spellStart"/>
      <w:r>
        <w:rPr>
          <w:rFonts w:eastAsiaTheme="majorEastAsia"/>
        </w:rPr>
        <w:t>immunotoxicity</w:t>
      </w:r>
      <w:proofErr w:type="spellEnd"/>
      <w:r>
        <w:rPr>
          <w:rFonts w:eastAsiaTheme="majorEastAsia"/>
        </w:rPr>
        <w:t>, reproduction and developmental toxicity</w:t>
      </w:r>
    </w:p>
    <w:p w:rsidR="00814520" w:rsidRDefault="00814520" w:rsidP="00BC4DBD">
      <w:r w:rsidRPr="009669DC">
        <w:t xml:space="preserve">Once absorbed, sodium salicylate like other salicylates such as </w:t>
      </w:r>
      <w:proofErr w:type="gramStart"/>
      <w:r w:rsidRPr="009669DC">
        <w:t>aspirin,</w:t>
      </w:r>
      <w:proofErr w:type="gramEnd"/>
      <w:r w:rsidRPr="009669DC">
        <w:t xml:space="preserve"> is metabolised primarily to </w:t>
      </w:r>
      <w:r w:rsidRPr="000120F8">
        <w:t>salicylic acid. Therefore, the toxicological databases applying to salicylates, in particular the larger databases for aspirin</w:t>
      </w:r>
      <w:r>
        <w:t xml:space="preserve"> and salicylic </w:t>
      </w:r>
      <w:proofErr w:type="gramStart"/>
      <w:r>
        <w:t>acid,</w:t>
      </w:r>
      <w:proofErr w:type="gramEnd"/>
      <w:r w:rsidRPr="009669DC">
        <w:t xml:space="preserve"> </w:t>
      </w:r>
      <w:r>
        <w:t>are</w:t>
      </w:r>
      <w:r w:rsidRPr="009669DC">
        <w:t xml:space="preserve"> relevant to sodium salicylate. </w:t>
      </w:r>
      <w:r>
        <w:t>The toxicity of these compounds has previously been</w:t>
      </w:r>
      <w:r w:rsidR="00BC4DBD">
        <w:t xml:space="preserve"> considered through scheduling.</w:t>
      </w:r>
    </w:p>
    <w:p w:rsidR="00814520" w:rsidRPr="002372FD" w:rsidRDefault="0092508C" w:rsidP="00814520">
      <w:pPr>
        <w:pStyle w:val="Heading4"/>
      </w:pPr>
      <w:bookmarkStart w:id="29" w:name="_Toc6403902"/>
      <w:bookmarkStart w:id="30" w:name="_Toc8656092"/>
      <w:r>
        <w:lastRenderedPageBreak/>
        <w:t>1</w:t>
      </w:r>
      <w:r w:rsidR="00814520" w:rsidRPr="002372FD">
        <w:t xml:space="preserve">.7. </w:t>
      </w:r>
      <w:bookmarkStart w:id="31" w:name="_Toc530474499"/>
      <w:bookmarkStart w:id="32" w:name="_Toc6302161"/>
      <w:proofErr w:type="spellStart"/>
      <w:r w:rsidR="00814520" w:rsidRPr="002372FD">
        <w:t>Tiafenacil</w:t>
      </w:r>
      <w:bookmarkEnd w:id="29"/>
      <w:bookmarkEnd w:id="30"/>
      <w:bookmarkEnd w:id="31"/>
      <w:bookmarkEnd w:id="32"/>
      <w:proofErr w:type="spellEnd"/>
    </w:p>
    <w:p w:rsidR="00814520" w:rsidRPr="0019029E" w:rsidRDefault="00814520" w:rsidP="0092508C">
      <w:pPr>
        <w:pStyle w:val="Heading5"/>
      </w:pPr>
      <w:r>
        <w:t xml:space="preserve">Delegate’s </w:t>
      </w:r>
      <w:r w:rsidRPr="0092508C">
        <w:t>final</w:t>
      </w:r>
      <w:r>
        <w:t xml:space="preserve"> decision</w:t>
      </w:r>
    </w:p>
    <w:tbl>
      <w:tblPr>
        <w:tblStyle w:val="TableGrid"/>
        <w:tblW w:w="0" w:type="auto"/>
        <w:tblBorders>
          <w:top w:val="single" w:sz="12" w:space="0" w:color="002C47" w:themeColor="text1"/>
          <w:left w:val="single" w:sz="12" w:space="0" w:color="002C47" w:themeColor="text1"/>
          <w:bottom w:val="single" w:sz="12" w:space="0" w:color="002C47" w:themeColor="text1"/>
          <w:right w:val="single" w:sz="12" w:space="0" w:color="002C47" w:themeColor="text1"/>
          <w:insideH w:val="single" w:sz="12" w:space="0" w:color="002C47" w:themeColor="text1"/>
          <w:insideV w:val="single" w:sz="12" w:space="0" w:color="002C47" w:themeColor="text1"/>
        </w:tblBorders>
        <w:tblLook w:val="04A0" w:firstRow="1" w:lastRow="0" w:firstColumn="1" w:lastColumn="0" w:noHBand="0" w:noVBand="1"/>
      </w:tblPr>
      <w:tblGrid>
        <w:gridCol w:w="9286"/>
      </w:tblGrid>
      <w:tr w:rsidR="00814520" w:rsidTr="00814520">
        <w:tc>
          <w:tcPr>
            <w:tcW w:w="9286" w:type="dxa"/>
            <w:shd w:val="clear" w:color="auto" w:fill="D2EDFF" w:themeFill="text2" w:themeFillTint="1A"/>
          </w:tcPr>
          <w:p w:rsidR="00814520" w:rsidRPr="00A6563B" w:rsidRDefault="00814520" w:rsidP="00814520">
            <w:pPr>
              <w:pStyle w:val="Heading6"/>
            </w:pPr>
            <w:r>
              <w:t>Final decision</w:t>
            </w:r>
          </w:p>
          <w:p w:rsidR="00814520" w:rsidRDefault="00814520" w:rsidP="0092508C">
            <w:r w:rsidRPr="00C33CB0">
              <w:t>The delegate's final decision under regulation 42ZCZU</w:t>
            </w:r>
            <w:r w:rsidRPr="00C33CB0">
              <w:rPr>
                <w:bCs/>
                <w:lang w:val="en-US"/>
              </w:rPr>
              <w:t xml:space="preserve"> </w:t>
            </w:r>
            <w:r w:rsidRPr="00C33CB0">
              <w:t>of the</w:t>
            </w:r>
            <w:r w:rsidR="0092508C">
              <w:t xml:space="preserve"> </w:t>
            </w:r>
            <w:r w:rsidRPr="00C33CB0">
              <w:rPr>
                <w:i/>
                <w:iCs/>
              </w:rPr>
              <w:t xml:space="preserve">Therapeutic Goods Regulations 1990 </w:t>
            </w:r>
            <w:r w:rsidRPr="00C33CB0">
              <w:t xml:space="preserve">(the Regulations) is </w:t>
            </w:r>
            <w:r>
              <w:t xml:space="preserve">not to schedule </w:t>
            </w:r>
            <w:proofErr w:type="spellStart"/>
            <w:r>
              <w:t>t</w:t>
            </w:r>
            <w:r w:rsidRPr="008E27F1">
              <w:t>iafenacil</w:t>
            </w:r>
            <w:proofErr w:type="spellEnd"/>
            <w:r>
              <w:t xml:space="preserve"> and to create an Appendix B entry as follows:</w:t>
            </w:r>
          </w:p>
          <w:p w:rsidR="00814520" w:rsidRPr="00674DAF" w:rsidRDefault="00814520" w:rsidP="0092508C">
            <w:pPr>
              <w:ind w:left="426"/>
              <w:rPr>
                <w:b/>
              </w:rPr>
            </w:pPr>
            <w:r>
              <w:rPr>
                <w:b/>
              </w:rPr>
              <w:t>Appendix B, Part 3</w:t>
            </w:r>
            <w:r w:rsidRPr="00CD40FB">
              <w:rPr>
                <w:b/>
              </w:rPr>
              <w:t xml:space="preserve">– </w:t>
            </w:r>
            <w:r w:rsidRPr="000347A1">
              <w:rPr>
                <w:b/>
              </w:rPr>
              <w:t>New</w:t>
            </w:r>
            <w:r w:rsidRPr="00CD40FB">
              <w:rPr>
                <w:b/>
              </w:rPr>
              <w:t xml:space="preserve"> Entry</w:t>
            </w:r>
          </w:p>
          <w:tbl>
            <w:tblPr>
              <w:tblStyle w:val="TableTGAblue"/>
              <w:tblW w:w="0" w:type="auto"/>
              <w:tblInd w:w="284" w:type="dxa"/>
              <w:tblLook w:val="04A0" w:firstRow="1" w:lastRow="0" w:firstColumn="1" w:lastColumn="0" w:noHBand="0" w:noVBand="1"/>
            </w:tblPr>
            <w:tblGrid>
              <w:gridCol w:w="2192"/>
              <w:gridCol w:w="2192"/>
              <w:gridCol w:w="2410"/>
              <w:gridCol w:w="1972"/>
            </w:tblGrid>
            <w:tr w:rsidR="00814520" w:rsidRPr="003D2930" w:rsidTr="00907B2D">
              <w:trPr>
                <w:cnfStyle w:val="100000000000" w:firstRow="1" w:lastRow="0" w:firstColumn="0" w:lastColumn="0" w:oddVBand="0" w:evenVBand="0" w:oddHBand="0" w:evenHBand="0" w:firstRowFirstColumn="0" w:firstRowLastColumn="0" w:lastRowFirstColumn="0" w:lastRowLastColumn="0"/>
              </w:trPr>
              <w:tc>
                <w:tcPr>
                  <w:tcW w:w="2192" w:type="dxa"/>
                </w:tcPr>
                <w:p w:rsidR="00814520" w:rsidRPr="003D2930" w:rsidRDefault="00907B2D" w:rsidP="00814520">
                  <w:pPr>
                    <w:jc w:val="center"/>
                  </w:pPr>
                  <w:r>
                    <w:rPr>
                      <w:color w:val="F8F8F8"/>
                    </w:rPr>
                    <w:t>S</w:t>
                  </w:r>
                  <w:r w:rsidR="00814520" w:rsidRPr="003D2930">
                    <w:rPr>
                      <w:color w:val="F8F8F8"/>
                    </w:rPr>
                    <w:t>UBSTANCE</w:t>
                  </w:r>
                </w:p>
              </w:tc>
              <w:tc>
                <w:tcPr>
                  <w:tcW w:w="2192" w:type="dxa"/>
                </w:tcPr>
                <w:p w:rsidR="00814520" w:rsidRPr="003D2930" w:rsidRDefault="00814520" w:rsidP="00814520">
                  <w:pPr>
                    <w:jc w:val="center"/>
                  </w:pPr>
                  <w:r w:rsidRPr="003D2930">
                    <w:rPr>
                      <w:color w:val="F8F8F8"/>
                    </w:rPr>
                    <w:t>DATE OF ENTRY</w:t>
                  </w:r>
                </w:p>
              </w:tc>
              <w:tc>
                <w:tcPr>
                  <w:tcW w:w="2410" w:type="dxa"/>
                </w:tcPr>
                <w:p w:rsidR="00814520" w:rsidRPr="003D2930" w:rsidRDefault="00814520" w:rsidP="00814520">
                  <w:pPr>
                    <w:jc w:val="center"/>
                  </w:pPr>
                  <w:r w:rsidRPr="003D2930">
                    <w:rPr>
                      <w:color w:val="F8F8F8"/>
                    </w:rPr>
                    <w:t>REASON FOR LISTING</w:t>
                  </w:r>
                </w:p>
              </w:tc>
              <w:tc>
                <w:tcPr>
                  <w:tcW w:w="1972" w:type="dxa"/>
                </w:tcPr>
                <w:p w:rsidR="00814520" w:rsidRPr="003D2930" w:rsidRDefault="00814520" w:rsidP="00814520">
                  <w:pPr>
                    <w:jc w:val="center"/>
                  </w:pPr>
                  <w:r w:rsidRPr="003D2930">
                    <w:rPr>
                      <w:color w:val="F8F8F8"/>
                    </w:rPr>
                    <w:t>AREA OF USE</w:t>
                  </w:r>
                </w:p>
              </w:tc>
            </w:tr>
            <w:tr w:rsidR="00814520" w:rsidRPr="003D2930" w:rsidTr="00907B2D">
              <w:tc>
                <w:tcPr>
                  <w:tcW w:w="2192" w:type="dxa"/>
                </w:tcPr>
                <w:p w:rsidR="00814520" w:rsidRPr="003D2930" w:rsidRDefault="00814520" w:rsidP="00814520">
                  <w:pPr>
                    <w:jc w:val="center"/>
                    <w:rPr>
                      <w:color w:val="FF0000"/>
                    </w:rPr>
                  </w:pPr>
                  <w:r>
                    <w:rPr>
                      <w:color w:val="FF0000"/>
                    </w:rPr>
                    <w:t>TIAFENACIL</w:t>
                  </w:r>
                </w:p>
              </w:tc>
              <w:tc>
                <w:tcPr>
                  <w:tcW w:w="2192" w:type="dxa"/>
                </w:tcPr>
                <w:p w:rsidR="00814520" w:rsidRPr="003D2930" w:rsidRDefault="00814520" w:rsidP="00814520">
                  <w:pPr>
                    <w:jc w:val="center"/>
                  </w:pPr>
                  <w:r>
                    <w:t>June 2019</w:t>
                  </w:r>
                </w:p>
              </w:tc>
              <w:tc>
                <w:tcPr>
                  <w:tcW w:w="2410" w:type="dxa"/>
                </w:tcPr>
                <w:p w:rsidR="00814520" w:rsidRPr="003D2930" w:rsidRDefault="00814520" w:rsidP="00814520">
                  <w:pPr>
                    <w:jc w:val="center"/>
                  </w:pPr>
                  <w:r w:rsidRPr="003D2930">
                    <w:t>a</w:t>
                  </w:r>
                </w:p>
              </w:tc>
              <w:tc>
                <w:tcPr>
                  <w:tcW w:w="1972" w:type="dxa"/>
                </w:tcPr>
                <w:p w:rsidR="00814520" w:rsidRPr="003D2930" w:rsidRDefault="00814520" w:rsidP="00814520">
                  <w:pPr>
                    <w:jc w:val="center"/>
                  </w:pPr>
                  <w:r w:rsidRPr="003D2930">
                    <w:t>1</w:t>
                  </w:r>
                </w:p>
              </w:tc>
            </w:tr>
          </w:tbl>
          <w:p w:rsidR="00814520" w:rsidRDefault="00814520" w:rsidP="00962673">
            <w:pPr>
              <w:pStyle w:val="Heading6"/>
              <w:ind w:left="426"/>
              <w:rPr>
                <w:i w:val="0"/>
              </w:rPr>
            </w:pPr>
            <w:r>
              <w:rPr>
                <w:i w:val="0"/>
              </w:rPr>
              <w:t>Index – New Entry</w:t>
            </w:r>
          </w:p>
          <w:p w:rsidR="00814520" w:rsidRDefault="00814520" w:rsidP="00962673">
            <w:pPr>
              <w:ind w:left="426"/>
              <w:rPr>
                <w:b/>
                <w:color w:val="FF0000"/>
              </w:rPr>
            </w:pPr>
            <w:r w:rsidRPr="00CC16F2">
              <w:rPr>
                <w:b/>
                <w:color w:val="FF0000"/>
              </w:rPr>
              <w:t>TIAFENACIL</w:t>
            </w:r>
          </w:p>
          <w:p w:rsidR="00814520" w:rsidRPr="00CC16F2" w:rsidRDefault="00814520" w:rsidP="00962673">
            <w:pPr>
              <w:ind w:left="426"/>
              <w:rPr>
                <w:color w:val="FF0000"/>
              </w:rPr>
            </w:pPr>
            <w:r w:rsidRPr="00CC16F2">
              <w:rPr>
                <w:color w:val="FF0000"/>
              </w:rPr>
              <w:t>Appendix B, Part 3</w:t>
            </w:r>
          </w:p>
          <w:p w:rsidR="00814520" w:rsidRDefault="00814520" w:rsidP="00814520">
            <w:pPr>
              <w:pStyle w:val="Heading6"/>
            </w:pPr>
            <w:r>
              <w:t xml:space="preserve">Proposed implementation date: </w:t>
            </w:r>
            <w:r w:rsidRPr="000520DA">
              <w:rPr>
                <w:b w:val="0"/>
                <w:i w:val="0"/>
              </w:rPr>
              <w:t xml:space="preserve">1 June 2019 </w:t>
            </w:r>
          </w:p>
          <w:p w:rsidR="00814520" w:rsidRPr="004B2F35" w:rsidRDefault="00814520" w:rsidP="00962673">
            <w:pPr>
              <w:pStyle w:val="Heading6"/>
            </w:pPr>
            <w:r w:rsidRPr="004B2F35">
              <w:t>Delegate’s considerations</w:t>
            </w:r>
          </w:p>
          <w:p w:rsidR="00814520" w:rsidRPr="00070C87" w:rsidRDefault="00814520" w:rsidP="00962673">
            <w:pPr>
              <w:pStyle w:val="ListBullet"/>
            </w:pPr>
            <w:r>
              <w:t xml:space="preserve">The </w:t>
            </w:r>
            <w:hyperlink w:anchor="_Applicant’s_scheduling_proposal_6" w:history="1">
              <w:r w:rsidRPr="005D002B">
                <w:rPr>
                  <w:rStyle w:val="Hyperlink"/>
                </w:rPr>
                <w:t>application</w:t>
              </w:r>
            </w:hyperlink>
            <w:r w:rsidRPr="005D002B">
              <w:t xml:space="preserve"> to amend the current </w:t>
            </w:r>
            <w:r w:rsidRPr="00962673">
              <w:t>Poisons</w:t>
            </w:r>
            <w:r w:rsidRPr="005D002B">
              <w:t xml:space="preserve"> Standard with respect to </w:t>
            </w:r>
            <w:proofErr w:type="spellStart"/>
            <w:r w:rsidRPr="000520DA">
              <w:t>tiafenacil</w:t>
            </w:r>
            <w:proofErr w:type="spellEnd"/>
            <w:r w:rsidRPr="000520DA">
              <w:rPr>
                <w:rStyle w:val="Hyperlink"/>
                <w:color w:val="auto"/>
                <w:u w:val="none"/>
              </w:rPr>
              <w:t>;</w:t>
            </w:r>
          </w:p>
          <w:p w:rsidR="00814520" w:rsidRPr="0017557B" w:rsidRDefault="00814520" w:rsidP="00962673">
            <w:pPr>
              <w:pStyle w:val="ListBullet"/>
            </w:pPr>
            <w:r w:rsidRPr="00E152D7">
              <w:t xml:space="preserve">The </w:t>
            </w:r>
            <w:r w:rsidRPr="0017557B">
              <w:t xml:space="preserve">Australian Health Ministers’ Advisory </w:t>
            </w:r>
            <w:r w:rsidRPr="00962673">
              <w:t>Council’s</w:t>
            </w:r>
            <w:r w:rsidRPr="0017557B">
              <w:t xml:space="preserve"> </w:t>
            </w:r>
            <w:hyperlink r:id="rId44" w:history="1">
              <w:r w:rsidRPr="0017557B">
                <w:rPr>
                  <w:rStyle w:val="Hyperlink"/>
                  <w:rFonts w:asciiTheme="minorHAnsi" w:hAnsiTheme="minorHAnsi"/>
                </w:rPr>
                <w:t>Scheduling Policy Framework</w:t>
              </w:r>
            </w:hyperlink>
            <w:r w:rsidR="00962673">
              <w:t xml:space="preserve"> (SPF </w:t>
            </w:r>
            <w:r w:rsidRPr="0017557B">
              <w:t>2018); and</w:t>
            </w:r>
          </w:p>
          <w:p w:rsidR="00814520" w:rsidRPr="00043015" w:rsidRDefault="00814520" w:rsidP="00962673">
            <w:pPr>
              <w:pStyle w:val="ListBullet"/>
            </w:pPr>
            <w:r w:rsidRPr="0017557B">
              <w:t xml:space="preserve">Section 52E (1) of the </w:t>
            </w:r>
            <w:r w:rsidRPr="0017557B">
              <w:rPr>
                <w:i/>
              </w:rPr>
              <w:t>Therapeutic Goods Act 1989</w:t>
            </w:r>
            <w:r>
              <w:rPr>
                <w:i/>
              </w:rPr>
              <w:t>,</w:t>
            </w:r>
            <w:r w:rsidRPr="0017557B">
              <w:t xml:space="preserve"> in particular: (a) the risks and benefits of the use of a substance; (b) the purposes for which a substance is to be used and the extent of use of a substance; (c) the toxicity of a substance</w:t>
            </w:r>
            <w:r>
              <w:t xml:space="preserve">; (e) </w:t>
            </w:r>
            <w:r w:rsidRPr="00AD235C">
              <w:t>the potential for abuse of a substance</w:t>
            </w:r>
            <w:r>
              <w:t xml:space="preserve">; and (f) </w:t>
            </w:r>
            <w:r w:rsidRPr="00AD235C">
              <w:t>any other matters that the Secretary considers necessary to protect public health</w:t>
            </w:r>
            <w:r>
              <w:t>.</w:t>
            </w:r>
          </w:p>
          <w:p w:rsidR="00814520" w:rsidRDefault="00814520" w:rsidP="00962673">
            <w:pPr>
              <w:pStyle w:val="Heading6"/>
            </w:pPr>
            <w:r w:rsidRPr="00962673">
              <w:t>Reasons</w:t>
            </w:r>
          </w:p>
          <w:p w:rsidR="00814520" w:rsidRDefault="00814520" w:rsidP="00962673">
            <w:r w:rsidRPr="00B93717">
              <w:t>The matters under subsection 52E (1) of the </w:t>
            </w:r>
            <w:r w:rsidRPr="00B93717">
              <w:rPr>
                <w:i/>
                <w:iCs/>
              </w:rPr>
              <w:t>Therapeutic Goods Act 1989</w:t>
            </w:r>
            <w:r w:rsidRPr="00B93717">
              <w:t> considered relevant by the delegate for the decision include:</w:t>
            </w:r>
          </w:p>
          <w:p w:rsidR="00814520" w:rsidRDefault="00814520" w:rsidP="00962673">
            <w:pPr>
              <w:pStyle w:val="Numberbullet2-52E1reasons"/>
              <w:numPr>
                <w:ilvl w:val="0"/>
                <w:numId w:val="30"/>
              </w:numPr>
            </w:pPr>
            <w:r w:rsidRPr="003B0767">
              <w:t xml:space="preserve">the risks and benefits of the use of a </w:t>
            </w:r>
            <w:r w:rsidRPr="00962673">
              <w:t>substance</w:t>
            </w:r>
            <w:r w:rsidRPr="003B0767">
              <w:t>:</w:t>
            </w:r>
          </w:p>
          <w:p w:rsidR="00814520" w:rsidRDefault="00814520" w:rsidP="00962673">
            <w:proofErr w:type="spellStart"/>
            <w:r w:rsidRPr="00A02FB6">
              <w:t>Tiafenacil</w:t>
            </w:r>
            <w:proofErr w:type="spellEnd"/>
            <w:r w:rsidRPr="00A02FB6">
              <w:t xml:space="preserve"> has a similar mode of action to the approved active constituents, </w:t>
            </w:r>
            <w:proofErr w:type="spellStart"/>
            <w:r w:rsidRPr="00A02FB6">
              <w:t>oxyfluorfen</w:t>
            </w:r>
            <w:proofErr w:type="spellEnd"/>
            <w:r w:rsidRPr="00A02FB6">
              <w:t xml:space="preserve">, </w:t>
            </w:r>
            <w:proofErr w:type="spellStart"/>
            <w:proofErr w:type="gramStart"/>
            <w:r w:rsidRPr="00A02FB6">
              <w:t>butafenacil</w:t>
            </w:r>
            <w:proofErr w:type="spellEnd"/>
            <w:proofErr w:type="gramEnd"/>
            <w:r w:rsidRPr="00A02FB6">
              <w:t xml:space="preserve">, i.e. inhibition of </w:t>
            </w:r>
            <w:proofErr w:type="spellStart"/>
            <w:r w:rsidRPr="00A02FB6">
              <w:t>protoporphyrinogen</w:t>
            </w:r>
            <w:proofErr w:type="spellEnd"/>
            <w:r w:rsidRPr="00A02FB6">
              <w:t>-oxidase (PPO) in plant chloroplasts and interference of ha</w:t>
            </w:r>
            <w:r w:rsidR="00962673">
              <w:t>emoglobin synthesis in mammals.</w:t>
            </w:r>
          </w:p>
          <w:p w:rsidR="00814520" w:rsidRPr="003B0767" w:rsidRDefault="00814520" w:rsidP="00962673">
            <w:r>
              <w:t>It</w:t>
            </w:r>
            <w:r w:rsidRPr="00A02FB6">
              <w:t xml:space="preserve"> has a similar acute toxicity to </w:t>
            </w:r>
            <w:proofErr w:type="spellStart"/>
            <w:r w:rsidRPr="00A02FB6">
              <w:t>butfenacil</w:t>
            </w:r>
            <w:proofErr w:type="spellEnd"/>
            <w:r w:rsidRPr="00A02FB6">
              <w:t xml:space="preserve"> and </w:t>
            </w:r>
            <w:proofErr w:type="spellStart"/>
            <w:r w:rsidRPr="00A02FB6">
              <w:t>oxyfluorofen</w:t>
            </w:r>
            <w:proofErr w:type="spellEnd"/>
            <w:r w:rsidRPr="00A02FB6">
              <w:t xml:space="preserve">, and similarly is neither a developmental nor reproductive toxicant. In addition, </w:t>
            </w:r>
            <w:proofErr w:type="spellStart"/>
            <w:r w:rsidRPr="00A02FB6">
              <w:t>tiafenacil</w:t>
            </w:r>
            <w:proofErr w:type="spellEnd"/>
            <w:r w:rsidRPr="00A02FB6">
              <w:t xml:space="preserve"> shows no evidence of neurotoxicity, </w:t>
            </w:r>
            <w:proofErr w:type="spellStart"/>
            <w:r w:rsidRPr="00A02FB6">
              <w:t>immunotoxicity</w:t>
            </w:r>
            <w:proofErr w:type="spellEnd"/>
            <w:r w:rsidRPr="00A02FB6">
              <w:t>, genotoxicity or carcinogenicit</w:t>
            </w:r>
            <w:r>
              <w:t>y.</w:t>
            </w:r>
          </w:p>
          <w:p w:rsidR="00814520" w:rsidRPr="000520DA" w:rsidRDefault="00814520" w:rsidP="00814520">
            <w:pPr>
              <w:pStyle w:val="Numberbullet2-52E1reasons"/>
            </w:pPr>
            <w:r>
              <w:t xml:space="preserve">the </w:t>
            </w:r>
            <w:r w:rsidRPr="000046FA">
              <w:t>purposes</w:t>
            </w:r>
            <w:r>
              <w:t xml:space="preserve"> for which a substance is to be used and the extent of use of a substance:</w:t>
            </w:r>
          </w:p>
          <w:p w:rsidR="00814520" w:rsidRPr="000520DA" w:rsidRDefault="00814520" w:rsidP="00962673">
            <w:proofErr w:type="spellStart"/>
            <w:r w:rsidRPr="00817B35">
              <w:t>Tiafenacil</w:t>
            </w:r>
            <w:proofErr w:type="spellEnd"/>
            <w:r w:rsidRPr="00817B35">
              <w:t xml:space="preserve"> is a new</w:t>
            </w:r>
            <w:r>
              <w:t xml:space="preserve"> agricultural </w:t>
            </w:r>
            <w:r w:rsidRPr="00817B35">
              <w:t xml:space="preserve">herbicide of the </w:t>
            </w:r>
            <w:proofErr w:type="spellStart"/>
            <w:r w:rsidR="00962673">
              <w:t>pyrimidinedione</w:t>
            </w:r>
            <w:proofErr w:type="spellEnd"/>
            <w:r w:rsidR="00962673">
              <w:t xml:space="preserve"> chemical class.</w:t>
            </w:r>
          </w:p>
          <w:p w:rsidR="00814520" w:rsidRDefault="00814520" w:rsidP="00814520">
            <w:pPr>
              <w:pStyle w:val="Numberbullet2-52E1reasons"/>
            </w:pPr>
            <w:r w:rsidRPr="00704EDD">
              <w:t>the toxicity of a substance:</w:t>
            </w:r>
          </w:p>
          <w:p w:rsidR="00814520" w:rsidRDefault="00814520" w:rsidP="00962673">
            <w:r>
              <w:t xml:space="preserve">Based on available data, </w:t>
            </w:r>
            <w:proofErr w:type="spellStart"/>
            <w:r>
              <w:t>t</w:t>
            </w:r>
            <w:r w:rsidRPr="002B6A06">
              <w:t>iafenacil</w:t>
            </w:r>
            <w:proofErr w:type="spellEnd"/>
            <w:r w:rsidRPr="002B6A06">
              <w:t xml:space="preserve"> has low acute toxicity by oral, dermal and inhalational </w:t>
            </w:r>
            <w:r>
              <w:t xml:space="preserve">routes </w:t>
            </w:r>
            <w:r>
              <w:lastRenderedPageBreak/>
              <w:t xml:space="preserve">in rats. </w:t>
            </w:r>
            <w:r>
              <w:rPr>
                <w:rFonts w:eastAsiaTheme="majorEastAsia"/>
              </w:rPr>
              <w:t>There were no deaths, clinical signs or macroscopic findings in any of the studies.</w:t>
            </w:r>
          </w:p>
          <w:p w:rsidR="00814520" w:rsidRDefault="00814520" w:rsidP="00814520">
            <w:r>
              <w:t xml:space="preserve">While it is a slight eye irritant, </w:t>
            </w:r>
            <w:proofErr w:type="spellStart"/>
            <w:r>
              <w:t>tiafenacil</w:t>
            </w:r>
            <w:proofErr w:type="spellEnd"/>
            <w:r>
              <w:t xml:space="preserve"> is not a skin irritant </w:t>
            </w:r>
            <w:r w:rsidRPr="002B6A06">
              <w:t xml:space="preserve">did not show sensitisation in the maximisation test in guinea </w:t>
            </w:r>
            <w:r w:rsidR="00962673">
              <w:t>pigs or local lymph node assay.</w:t>
            </w:r>
          </w:p>
          <w:p w:rsidR="00814520" w:rsidRPr="00A007DC" w:rsidRDefault="00814520" w:rsidP="00962673">
            <w:proofErr w:type="spellStart"/>
            <w:r>
              <w:t>Tiafenacil</w:t>
            </w:r>
            <w:proofErr w:type="spellEnd"/>
            <w:r w:rsidRPr="002B6A06">
              <w:t xml:space="preserve"> was not genotoxic in a battery of </w:t>
            </w:r>
            <w:r w:rsidRPr="006F3E76">
              <w:rPr>
                <w:i/>
              </w:rPr>
              <w:t>in vitro</w:t>
            </w:r>
            <w:r w:rsidRPr="002B6A06">
              <w:t xml:space="preserve"> and </w:t>
            </w:r>
            <w:r w:rsidRPr="006F3E76">
              <w:rPr>
                <w:i/>
              </w:rPr>
              <w:t>in vivo</w:t>
            </w:r>
            <w:r w:rsidRPr="002B6A06">
              <w:t xml:space="preserve"> assays and was not carcinogenic in life time studies in mice and rats. </w:t>
            </w:r>
            <w:r>
              <w:t>It</w:t>
            </w:r>
            <w:r w:rsidRPr="002B6A06">
              <w:t xml:space="preserve"> is not a reproductive toxin</w:t>
            </w:r>
            <w:r>
              <w:t xml:space="preserve"> and</w:t>
            </w:r>
            <w:r w:rsidRPr="002B6A06">
              <w:t xml:space="preserve"> is not teratogenic</w:t>
            </w:r>
            <w:r>
              <w:t xml:space="preserve"> though it </w:t>
            </w:r>
            <w:r w:rsidRPr="002B6A06">
              <w:t>did show embryo</w:t>
            </w:r>
            <w:r>
              <w:t>-fo</w:t>
            </w:r>
            <w:r w:rsidRPr="002B6A06">
              <w:t>etal t</w:t>
            </w:r>
            <w:r w:rsidR="00962673">
              <w:t>oxicity in rats at high doses.</w:t>
            </w:r>
          </w:p>
          <w:p w:rsidR="00814520" w:rsidRDefault="00814520" w:rsidP="00814520">
            <w:pPr>
              <w:pStyle w:val="Numberbullet2-52E1reasons"/>
            </w:pPr>
            <w:r w:rsidRPr="00704EDD">
              <w:t>the dosage, formulation, labelling, packaging and presentation of a substance:</w:t>
            </w:r>
          </w:p>
          <w:p w:rsidR="00814520" w:rsidRDefault="00814520" w:rsidP="00814520">
            <w:r>
              <w:t>Nil.</w:t>
            </w:r>
          </w:p>
          <w:p w:rsidR="00814520" w:rsidRDefault="00814520" w:rsidP="00814520">
            <w:pPr>
              <w:pStyle w:val="Numberbullet2-52E1reasons"/>
            </w:pPr>
            <w:r w:rsidRPr="000046FA">
              <w:t>the potential for abuse of a substance</w:t>
            </w:r>
            <w:r>
              <w:t>:</w:t>
            </w:r>
          </w:p>
          <w:p w:rsidR="00814520" w:rsidRPr="000520DA" w:rsidRDefault="00814520" w:rsidP="00962673">
            <w:proofErr w:type="spellStart"/>
            <w:r>
              <w:t>Tiafenacil</w:t>
            </w:r>
            <w:proofErr w:type="spellEnd"/>
            <w:r>
              <w:t xml:space="preserve"> has been approved by the APVMA as an active constituent for use as </w:t>
            </w:r>
            <w:proofErr w:type="gramStart"/>
            <w:r>
              <w:t>a</w:t>
            </w:r>
            <w:proofErr w:type="gramEnd"/>
            <w:r>
              <w:t xml:space="preserve"> herbicide. However, there are no agricultural chemical products containing </w:t>
            </w:r>
            <w:proofErr w:type="spellStart"/>
            <w:r>
              <w:t>tiafenacil</w:t>
            </w:r>
            <w:proofErr w:type="spellEnd"/>
            <w:r>
              <w:t xml:space="preserve"> currently registered.</w:t>
            </w:r>
          </w:p>
          <w:p w:rsidR="00814520" w:rsidRDefault="00814520" w:rsidP="00814520">
            <w:pPr>
              <w:pStyle w:val="Numberbullet2-52E1reasons"/>
            </w:pPr>
            <w:r w:rsidRPr="000046FA">
              <w:t>any other matters that the Secretary considers necessary to protect public health</w:t>
            </w:r>
            <w:r>
              <w:t>:</w:t>
            </w:r>
          </w:p>
          <w:p w:rsidR="00814520" w:rsidRDefault="00814520" w:rsidP="00962673">
            <w:proofErr w:type="spellStart"/>
            <w:r>
              <w:t>Tiafenacil</w:t>
            </w:r>
            <w:proofErr w:type="spellEnd"/>
            <w:r w:rsidRPr="00A02FB6">
              <w:t xml:space="preserve"> has a similar </w:t>
            </w:r>
            <w:r>
              <w:t>toxicity profile</w:t>
            </w:r>
            <w:r w:rsidRPr="00A02FB6">
              <w:t xml:space="preserve"> to </w:t>
            </w:r>
            <w:proofErr w:type="spellStart"/>
            <w:r w:rsidRPr="00A02FB6">
              <w:t>butfenacil</w:t>
            </w:r>
            <w:proofErr w:type="spellEnd"/>
            <w:r w:rsidRPr="00A02FB6">
              <w:t xml:space="preserve"> and </w:t>
            </w:r>
            <w:proofErr w:type="spellStart"/>
            <w:r w:rsidRPr="00A02FB6">
              <w:t>oxyfluorofen</w:t>
            </w:r>
            <w:proofErr w:type="spellEnd"/>
            <w:r w:rsidRPr="00A02FB6">
              <w:t>, and similarly is neither a developmental nor reproductive toxicant</w:t>
            </w:r>
            <w:r>
              <w:t xml:space="preserve"> and that both </w:t>
            </w:r>
            <w:proofErr w:type="spellStart"/>
            <w:r>
              <w:t>b</w:t>
            </w:r>
            <w:r w:rsidRPr="00A02FB6">
              <w:t>utafenacil</w:t>
            </w:r>
            <w:proofErr w:type="spellEnd"/>
            <w:r w:rsidRPr="00A02FB6">
              <w:t xml:space="preserve"> and </w:t>
            </w:r>
            <w:proofErr w:type="spellStart"/>
            <w:r w:rsidRPr="00A02FB6">
              <w:t>oxyfluorf</w:t>
            </w:r>
            <w:r>
              <w:t>en</w:t>
            </w:r>
            <w:proofErr w:type="spellEnd"/>
            <w:r>
              <w:t xml:space="preserve"> </w:t>
            </w:r>
            <w:r w:rsidRPr="00A02FB6">
              <w:t>are both in Appendix B, Part 3 of the SUSMP for agricultural use</w:t>
            </w:r>
            <w:r>
              <w:t>, due to their low toxicity.</w:t>
            </w:r>
          </w:p>
          <w:p w:rsidR="00814520" w:rsidRDefault="00814520" w:rsidP="00962673">
            <w:pPr>
              <w:pStyle w:val="Heading6"/>
            </w:pPr>
            <w:r w:rsidRPr="00D4369D">
              <w:t>Overall conclusions</w:t>
            </w:r>
          </w:p>
          <w:p w:rsidR="00814520" w:rsidRDefault="00814520" w:rsidP="00962673">
            <w:r>
              <w:rPr>
                <w:rFonts w:asciiTheme="minorHAnsi" w:hAnsiTheme="minorHAnsi"/>
              </w:rPr>
              <w:t xml:space="preserve">Having considered all the relevant information, </w:t>
            </w:r>
            <w:r>
              <w:t>b</w:t>
            </w:r>
            <w:r w:rsidRPr="002B6A06">
              <w:t>ased on its</w:t>
            </w:r>
            <w:r>
              <w:t xml:space="preserve"> low toxicity and use as an agricultural chemical product,</w:t>
            </w:r>
            <w:r w:rsidRPr="002B6A06">
              <w:t xml:space="preserve"> </w:t>
            </w:r>
            <w:r>
              <w:t>the delegate is satisfied that</w:t>
            </w:r>
            <w:r w:rsidRPr="002B6A06">
              <w:t xml:space="preserve"> </w:t>
            </w:r>
            <w:proofErr w:type="spellStart"/>
            <w:r w:rsidRPr="002B6A06">
              <w:t>tiafenacil</w:t>
            </w:r>
            <w:proofErr w:type="spellEnd"/>
            <w:r w:rsidRPr="002B6A06">
              <w:t xml:space="preserve"> does not require control by Scheduling under the </w:t>
            </w:r>
            <w:r>
              <w:t>Poisons Standard</w:t>
            </w:r>
            <w:r w:rsidRPr="002B6A06">
              <w:t>, and should instead be listed in Appendix B</w:t>
            </w:r>
            <w:r>
              <w:t>, Part 3</w:t>
            </w:r>
            <w:r w:rsidRPr="002B6A06">
              <w:t>.</w:t>
            </w:r>
          </w:p>
          <w:p w:rsidR="00814520" w:rsidRPr="008127C6" w:rsidRDefault="00814520" w:rsidP="00962673">
            <w:pPr>
              <w:rPr>
                <w:rFonts w:asciiTheme="minorHAnsi" w:hAnsiTheme="minorHAnsi"/>
              </w:rPr>
            </w:pPr>
            <w:r w:rsidRPr="00BF7F95">
              <w:t xml:space="preserve">On the basis that the proposed changes to the existing entry do not involve down-scheduling or up-scheduling, </w:t>
            </w:r>
            <w:r>
              <w:t>the delegate is</w:t>
            </w:r>
            <w:r w:rsidRPr="00BF7F95">
              <w:t xml:space="preserve"> satisfied that the application is not captured as a ‘rescheduling’ consideration as described in the </w:t>
            </w:r>
            <w:r>
              <w:rPr>
                <w:i/>
              </w:rPr>
              <w:t>Scheduling H</w:t>
            </w:r>
            <w:r w:rsidRPr="00BF7F95">
              <w:rPr>
                <w:i/>
              </w:rPr>
              <w:t>andbook</w:t>
            </w:r>
            <w:r>
              <w:rPr>
                <w:i/>
              </w:rPr>
              <w:t>,</w:t>
            </w:r>
            <w:r w:rsidRPr="00BF7F95">
              <w:rPr>
                <w:i/>
              </w:rPr>
              <w:t xml:space="preserve"> Guidance for ame</w:t>
            </w:r>
            <w:r>
              <w:rPr>
                <w:i/>
              </w:rPr>
              <w:t>nding the Poisons Standard, 2018</w:t>
            </w:r>
            <w:r w:rsidRPr="00BF7F95">
              <w:t>.</w:t>
            </w:r>
          </w:p>
        </w:tc>
      </w:tr>
    </w:tbl>
    <w:p w:rsidR="00814520" w:rsidRDefault="00814520" w:rsidP="00962673">
      <w:pPr>
        <w:pStyle w:val="Heading5"/>
      </w:pPr>
      <w:bookmarkStart w:id="33" w:name="_Applicant’s_scheduling_proposal_6"/>
      <w:bookmarkEnd w:id="33"/>
      <w:r w:rsidRPr="00962673">
        <w:lastRenderedPageBreak/>
        <w:t>Applicant’s</w:t>
      </w:r>
      <w:r>
        <w:t xml:space="preserve"> scheduling proposal and reasons for proposal</w:t>
      </w:r>
    </w:p>
    <w:p w:rsidR="00814520" w:rsidRPr="00AA2FE3" w:rsidRDefault="00814520" w:rsidP="00962673">
      <w:r w:rsidRPr="00AA2FE3">
        <w:t xml:space="preserve">An application was submitted by the Australian Pesticides and Veterinary Medicines Authority (APVMA) to </w:t>
      </w:r>
      <w:r>
        <w:t xml:space="preserve">amend the </w:t>
      </w:r>
      <w:r w:rsidRPr="00AA2FE3">
        <w:t>Poisons Standard</w:t>
      </w:r>
      <w:r>
        <w:t xml:space="preserve"> with respect to </w:t>
      </w:r>
      <w:proofErr w:type="spellStart"/>
      <w:r>
        <w:t>tiafenacil</w:t>
      </w:r>
      <w:proofErr w:type="spellEnd"/>
      <w:r w:rsidR="00962673">
        <w:t>.</w:t>
      </w:r>
    </w:p>
    <w:p w:rsidR="00814520" w:rsidRDefault="00814520" w:rsidP="00962673">
      <w:r>
        <w:t>The applicant’s reasons for the proposal are:</w:t>
      </w:r>
    </w:p>
    <w:p w:rsidR="00814520" w:rsidRDefault="00814520" w:rsidP="00962673">
      <w:pPr>
        <w:pStyle w:val="ListBullet"/>
      </w:pPr>
      <w:proofErr w:type="spellStart"/>
      <w:r w:rsidRPr="008F0240">
        <w:t>Tiafenacil</w:t>
      </w:r>
      <w:proofErr w:type="spellEnd"/>
      <w:r w:rsidRPr="008F0240">
        <w:t xml:space="preserve"> has a similar mode of </w:t>
      </w:r>
      <w:r>
        <w:t xml:space="preserve">action to the approved active constituents, </w:t>
      </w:r>
      <w:proofErr w:type="spellStart"/>
      <w:r>
        <w:t>oxyfluorfen</w:t>
      </w:r>
      <w:proofErr w:type="spellEnd"/>
      <w:r>
        <w:t xml:space="preserve">, </w:t>
      </w:r>
      <w:proofErr w:type="spellStart"/>
      <w:r>
        <w:t>butafena</w:t>
      </w:r>
      <w:r w:rsidRPr="008F0240">
        <w:t>cil</w:t>
      </w:r>
      <w:proofErr w:type="spellEnd"/>
      <w:r w:rsidRPr="00AC68E2">
        <w:rPr>
          <w:rStyle w:val="FootnoteReference"/>
        </w:rPr>
        <w:footnoteReference w:id="16"/>
      </w:r>
      <w:r w:rsidRPr="008F0240">
        <w:t xml:space="preserve"> </w:t>
      </w:r>
      <w:r>
        <w:t xml:space="preserve">and </w:t>
      </w:r>
      <w:proofErr w:type="spellStart"/>
      <w:r>
        <w:t>saflufenacil</w:t>
      </w:r>
      <w:proofErr w:type="spellEnd"/>
      <w:r w:rsidRPr="00AC68E2">
        <w:rPr>
          <w:rStyle w:val="FootnoteReference"/>
        </w:rPr>
        <w:footnoteReference w:id="17"/>
      </w:r>
      <w:r>
        <w:t xml:space="preserve"> </w:t>
      </w:r>
      <w:r w:rsidRPr="008F0240">
        <w:t>i</w:t>
      </w:r>
      <w:r>
        <w:t>.</w:t>
      </w:r>
      <w:r w:rsidRPr="008F0240">
        <w:t>e</w:t>
      </w:r>
      <w:r>
        <w:t>.</w:t>
      </w:r>
      <w:r w:rsidRPr="008F0240">
        <w:t xml:space="preserve"> </w:t>
      </w:r>
      <w:r>
        <w:t>inhibition of</w:t>
      </w:r>
      <w:r w:rsidRPr="008F0240">
        <w:t xml:space="preserve"> </w:t>
      </w:r>
      <w:proofErr w:type="spellStart"/>
      <w:r w:rsidRPr="008F0240">
        <w:t>protoporphyrinogen</w:t>
      </w:r>
      <w:proofErr w:type="spellEnd"/>
      <w:r w:rsidRPr="008F0240">
        <w:t>-oxidase (PPO) in plant chloroplasts</w:t>
      </w:r>
      <w:r>
        <w:t xml:space="preserve"> and interference</w:t>
      </w:r>
      <w:r w:rsidRPr="004A1EBD">
        <w:t xml:space="preserve"> </w:t>
      </w:r>
      <w:r>
        <w:t>of haemoglobin synthesis in mammals;</w:t>
      </w:r>
    </w:p>
    <w:p w:rsidR="00814520" w:rsidRDefault="00814520" w:rsidP="00962673">
      <w:pPr>
        <w:pStyle w:val="ListBullet"/>
      </w:pPr>
      <w:proofErr w:type="spellStart"/>
      <w:r w:rsidRPr="004A1EBD">
        <w:t>Saflufenacil</w:t>
      </w:r>
      <w:proofErr w:type="spellEnd"/>
      <w:r w:rsidRPr="004A1EBD">
        <w:t xml:space="preserve"> is in Schedule 5 and 7, based on developmental toxicity seen</w:t>
      </w:r>
      <w:r>
        <w:t xml:space="preserve"> </w:t>
      </w:r>
      <w:r w:rsidRPr="004A1EBD">
        <w:t xml:space="preserve">in rats (but not </w:t>
      </w:r>
      <w:r>
        <w:t xml:space="preserve">in </w:t>
      </w:r>
      <w:r w:rsidRPr="004A1EBD">
        <w:t>rabbits).</w:t>
      </w:r>
      <w:r>
        <w:t xml:space="preserve"> The</w:t>
      </w:r>
      <w:r w:rsidRPr="004A1EBD">
        <w:t xml:space="preserve"> only other hazards observed for </w:t>
      </w:r>
      <w:proofErr w:type="spellStart"/>
      <w:r>
        <w:t>saflufenacil</w:t>
      </w:r>
      <w:proofErr w:type="spellEnd"/>
      <w:r w:rsidRPr="004A1EBD">
        <w:t xml:space="preserve"> were slight skin and mi</w:t>
      </w:r>
      <w:r>
        <w:t>nimal eye irritation in rabbits;</w:t>
      </w:r>
    </w:p>
    <w:p w:rsidR="00814520" w:rsidRDefault="00814520" w:rsidP="00962673">
      <w:pPr>
        <w:pStyle w:val="ListBullet"/>
      </w:pPr>
      <w:proofErr w:type="spellStart"/>
      <w:r w:rsidRPr="004A1EBD">
        <w:t>Butafenacil</w:t>
      </w:r>
      <w:proofErr w:type="spellEnd"/>
      <w:r w:rsidRPr="004A1EBD">
        <w:t xml:space="preserve"> </w:t>
      </w:r>
      <w:r>
        <w:t xml:space="preserve">and </w:t>
      </w:r>
      <w:proofErr w:type="spellStart"/>
      <w:r>
        <w:t>oxyfluorfen</w:t>
      </w:r>
      <w:proofErr w:type="spellEnd"/>
      <w:r>
        <w:t xml:space="preserve"> have similar acute toxicity profiles to </w:t>
      </w:r>
      <w:proofErr w:type="spellStart"/>
      <w:r>
        <w:t>saflufenacil</w:t>
      </w:r>
      <w:proofErr w:type="spellEnd"/>
      <w:r>
        <w:t>, but are not developmental toxicants. They are both</w:t>
      </w:r>
      <w:r w:rsidRPr="004A1EBD">
        <w:t xml:space="preserve"> in Appendix B, Part 3 of the SUSMP </w:t>
      </w:r>
      <w:r>
        <w:t xml:space="preserve">for agricultural </w:t>
      </w:r>
      <w:r w:rsidRPr="004A1EBD">
        <w:t>use</w:t>
      </w:r>
      <w:r>
        <w:t>, due to their low toxicity;</w:t>
      </w:r>
    </w:p>
    <w:p w:rsidR="00814520" w:rsidRDefault="00814520" w:rsidP="00962673">
      <w:pPr>
        <w:pStyle w:val="ListBullet"/>
      </w:pPr>
      <w:proofErr w:type="spellStart"/>
      <w:r w:rsidRPr="004A1EBD">
        <w:lastRenderedPageBreak/>
        <w:t>Tiafenacil</w:t>
      </w:r>
      <w:proofErr w:type="spellEnd"/>
      <w:r w:rsidRPr="004A1EBD">
        <w:t xml:space="preserve"> </w:t>
      </w:r>
      <w:r>
        <w:t xml:space="preserve">has a similar acute toxicity to </w:t>
      </w:r>
      <w:proofErr w:type="spellStart"/>
      <w:r>
        <w:t>butfenacil</w:t>
      </w:r>
      <w:proofErr w:type="spellEnd"/>
      <w:r>
        <w:t xml:space="preserve"> and </w:t>
      </w:r>
      <w:proofErr w:type="spellStart"/>
      <w:r>
        <w:t>oxyfluorofen</w:t>
      </w:r>
      <w:proofErr w:type="spellEnd"/>
      <w:r>
        <w:t xml:space="preserve">, and similarly </w:t>
      </w:r>
      <w:r w:rsidRPr="004A1EBD">
        <w:t xml:space="preserve">is </w:t>
      </w:r>
      <w:r>
        <w:t>neither a developmental nor reproductive toxicant.</w:t>
      </w:r>
      <w:r w:rsidRPr="003943C1">
        <w:t xml:space="preserve"> </w:t>
      </w:r>
      <w:r>
        <w:t xml:space="preserve">In addition, </w:t>
      </w:r>
      <w:proofErr w:type="spellStart"/>
      <w:r>
        <w:t>t</w:t>
      </w:r>
      <w:r w:rsidRPr="004A1EBD">
        <w:t>iafena</w:t>
      </w:r>
      <w:r>
        <w:t>c</w:t>
      </w:r>
      <w:r w:rsidRPr="004A1EBD">
        <w:t>il</w:t>
      </w:r>
      <w:proofErr w:type="spellEnd"/>
      <w:r w:rsidRPr="004A1EBD">
        <w:t xml:space="preserve"> shows no evidence of </w:t>
      </w:r>
      <w:r>
        <w:t xml:space="preserve">neurotoxicity, </w:t>
      </w:r>
      <w:proofErr w:type="spellStart"/>
      <w:r w:rsidRPr="004A1EBD">
        <w:t>immunotoxicity</w:t>
      </w:r>
      <w:proofErr w:type="spellEnd"/>
      <w:r>
        <w:t>, genotoxicity or carcinogenicity;</w:t>
      </w:r>
    </w:p>
    <w:p w:rsidR="00814520" w:rsidRPr="00DF6002" w:rsidRDefault="00814520" w:rsidP="00962673">
      <w:pPr>
        <w:pStyle w:val="ListBullet"/>
      </w:pPr>
      <w:proofErr w:type="spellStart"/>
      <w:r w:rsidRPr="00DF6002">
        <w:t>Tiafenacil</w:t>
      </w:r>
      <w:proofErr w:type="spellEnd"/>
      <w:r w:rsidRPr="00DF6002">
        <w:t xml:space="preserve"> elicited no effects </w:t>
      </w:r>
      <w:r>
        <w:t>i</w:t>
      </w:r>
      <w:r w:rsidRPr="00DF6002">
        <w:t xml:space="preserve">n a 28-day dermal rat </w:t>
      </w:r>
      <w:r>
        <w:t xml:space="preserve">study up to the limit dose (1000 mg/kg </w:t>
      </w:r>
      <w:proofErr w:type="spellStart"/>
      <w:r>
        <w:t>bw</w:t>
      </w:r>
      <w:proofErr w:type="spellEnd"/>
      <w:r>
        <w:t>/d). T</w:t>
      </w:r>
      <w:r w:rsidRPr="00DF6002">
        <w:t xml:space="preserve">here </w:t>
      </w:r>
      <w:r>
        <w:t xml:space="preserve">were no </w:t>
      </w:r>
      <w:r w:rsidRPr="00DF6002">
        <w:t>macroscopic findin</w:t>
      </w:r>
      <w:r>
        <w:t xml:space="preserve">gs of note nor perturbations </w:t>
      </w:r>
      <w:r w:rsidRPr="00DF6002">
        <w:t xml:space="preserve">in clinical chemistry or </w:t>
      </w:r>
      <w:proofErr w:type="spellStart"/>
      <w:r>
        <w:t>erythron</w:t>
      </w:r>
      <w:proofErr w:type="spellEnd"/>
      <w:r>
        <w:t xml:space="preserve"> (</w:t>
      </w:r>
      <w:r w:rsidRPr="00DF6002">
        <w:t>haematology/co</w:t>
      </w:r>
      <w:r>
        <w:t>agulation) parameters;</w:t>
      </w:r>
    </w:p>
    <w:p w:rsidR="00814520" w:rsidRPr="003943C1" w:rsidRDefault="00814520" w:rsidP="00962673">
      <w:pPr>
        <w:pStyle w:val="ListBullet"/>
      </w:pPr>
      <w:r w:rsidRPr="0013157E">
        <w:t xml:space="preserve">An </w:t>
      </w:r>
      <w:proofErr w:type="spellStart"/>
      <w:r w:rsidRPr="0013157E">
        <w:t>ARfD</w:t>
      </w:r>
      <w:proofErr w:type="spellEnd"/>
      <w:r w:rsidRPr="0013157E">
        <w:t xml:space="preserve"> </w:t>
      </w:r>
      <w:r>
        <w:t xml:space="preserve">for </w:t>
      </w:r>
      <w:proofErr w:type="spellStart"/>
      <w:r>
        <w:t>tiafenacil</w:t>
      </w:r>
      <w:proofErr w:type="spellEnd"/>
      <w:r>
        <w:t xml:space="preserve"> </w:t>
      </w:r>
      <w:r w:rsidRPr="0013157E">
        <w:t xml:space="preserve">was considered unnecessary for the general population (including women of child bearing age), due to </w:t>
      </w:r>
      <w:proofErr w:type="spellStart"/>
      <w:r w:rsidRPr="0013157E">
        <w:t>tiafenacil’s</w:t>
      </w:r>
      <w:proofErr w:type="spellEnd"/>
      <w:r w:rsidRPr="0013157E">
        <w:t xml:space="preserve"> low acute toxicity, lack of neurotoxi</w:t>
      </w:r>
      <w:r>
        <w:t>city (acute and repeat-dose) and developmental toxicity;</w:t>
      </w:r>
    </w:p>
    <w:p w:rsidR="00814520" w:rsidRPr="001A2426" w:rsidRDefault="00814520" w:rsidP="00962673">
      <w:pPr>
        <w:pStyle w:val="ListBullet"/>
      </w:pPr>
      <w:r w:rsidRPr="008F0240">
        <w:t>Based on an ass</w:t>
      </w:r>
      <w:r>
        <w:t xml:space="preserve">essment of the toxicology of </w:t>
      </w:r>
      <w:proofErr w:type="spellStart"/>
      <w:r>
        <w:t>tiafenacil</w:t>
      </w:r>
      <w:proofErr w:type="spellEnd"/>
      <w:r>
        <w:t>, in particular:</w:t>
      </w:r>
    </w:p>
    <w:p w:rsidR="00814520" w:rsidRPr="005F6997" w:rsidRDefault="00814520" w:rsidP="00962673">
      <w:pPr>
        <w:pStyle w:val="ListBullet2"/>
      </w:pPr>
      <w:r w:rsidRPr="005F6997">
        <w:t>Clear NOELS</w:t>
      </w:r>
      <w:r w:rsidRPr="00AC68E2">
        <w:rPr>
          <w:rStyle w:val="FootnoteReference"/>
        </w:rPr>
        <w:footnoteReference w:id="18"/>
      </w:r>
      <w:r w:rsidRPr="005F6997">
        <w:t xml:space="preserve"> determined in long-term oral studies (in different</w:t>
      </w:r>
      <w:r w:rsidR="00962673">
        <w:t xml:space="preserve"> species) for erythroid effects</w:t>
      </w:r>
    </w:p>
    <w:p w:rsidR="00814520" w:rsidRPr="005F6997" w:rsidRDefault="00814520" w:rsidP="00962673">
      <w:pPr>
        <w:pStyle w:val="ListBullet2"/>
      </w:pPr>
      <w:r w:rsidRPr="005F6997">
        <w:t>Clear NOAEL</w:t>
      </w:r>
      <w:r w:rsidR="00962673">
        <w:t>S</w:t>
      </w:r>
      <w:r w:rsidRPr="00AC68E2">
        <w:rPr>
          <w:rStyle w:val="FootnoteReference"/>
        </w:rPr>
        <w:footnoteReference w:id="19"/>
      </w:r>
      <w:r w:rsidRPr="005F6997">
        <w:t xml:space="preserve"> determined in repeat-dose studies in rats for increased liver porphyrin levels (most se</w:t>
      </w:r>
      <w:r w:rsidR="00962673">
        <w:t>nsitive marker of toxicity)</w:t>
      </w:r>
    </w:p>
    <w:p w:rsidR="00814520" w:rsidRPr="005F6997" w:rsidRDefault="00814520" w:rsidP="00962673">
      <w:pPr>
        <w:pStyle w:val="ListBullet2"/>
      </w:pPr>
      <w:r w:rsidRPr="005F6997">
        <w:t xml:space="preserve">No effects (including erythroid effects) seen at the limit dose of 1000 mg/kg </w:t>
      </w:r>
      <w:proofErr w:type="spellStart"/>
      <w:r w:rsidRPr="005F6997">
        <w:t>bw</w:t>
      </w:r>
      <w:proofErr w:type="spellEnd"/>
      <w:r w:rsidRPr="005F6997">
        <w:t>/d i</w:t>
      </w:r>
      <w:r w:rsidR="00962673">
        <w:t>n rats in a 28-day dermal study</w:t>
      </w:r>
    </w:p>
    <w:p w:rsidR="00814520" w:rsidRPr="00B26589" w:rsidRDefault="00814520" w:rsidP="00962673">
      <w:pPr>
        <w:pStyle w:val="ListBullet2"/>
      </w:pPr>
      <w:r w:rsidRPr="005F6997">
        <w:rPr>
          <w:i/>
        </w:rPr>
        <w:t>In vitro</w:t>
      </w:r>
      <w:r w:rsidRPr="005F6997">
        <w:t xml:space="preserve"> data (</w:t>
      </w:r>
      <w:r w:rsidRPr="005F6997">
        <w:rPr>
          <w:rFonts w:eastAsia="Times New Roman"/>
          <w:lang w:eastAsia="en-AU"/>
        </w:rPr>
        <w:t xml:space="preserve">in liver mitochondrial fractions) </w:t>
      </w:r>
      <w:r w:rsidRPr="005F6997">
        <w:t>indicating that rodents are significantly more sensitive to PPO inhibition than humans</w:t>
      </w:r>
      <w:r w:rsidRPr="00AC68E2">
        <w:rPr>
          <w:rStyle w:val="FootnoteReference"/>
        </w:rPr>
        <w:footnoteReference w:id="20"/>
      </w:r>
    </w:p>
    <w:p w:rsidR="00814520" w:rsidRDefault="00814520" w:rsidP="00962673">
      <w:pPr>
        <w:pStyle w:val="Heading5"/>
      </w:pPr>
      <w:r w:rsidRPr="001E0F75">
        <w:t>Current scheduling status and history</w:t>
      </w:r>
    </w:p>
    <w:p w:rsidR="00814520" w:rsidRDefault="00814520" w:rsidP="00962673">
      <w:proofErr w:type="spellStart"/>
      <w:r>
        <w:t>Tiafenacil</w:t>
      </w:r>
      <w:proofErr w:type="spellEnd"/>
      <w:r>
        <w:t xml:space="preserve"> is not currently scheduled, and has not previously been considered for scheduling.</w:t>
      </w:r>
    </w:p>
    <w:p w:rsidR="00814520" w:rsidRDefault="00814520" w:rsidP="00962673">
      <w:r>
        <w:t xml:space="preserve">The related substance, </w:t>
      </w:r>
      <w:proofErr w:type="spellStart"/>
      <w:r>
        <w:t>b</w:t>
      </w:r>
      <w:r w:rsidRPr="004A1EBD">
        <w:t>utafenacil</w:t>
      </w:r>
      <w:proofErr w:type="spellEnd"/>
      <w:r>
        <w:t xml:space="preserve"> was placed in Appendix B, Part 3 of the Poisons Standard in May 2000 for the purposes of agricultural use, due to its low toxicity:</w:t>
      </w:r>
    </w:p>
    <w:p w:rsidR="00814520" w:rsidRDefault="00814520" w:rsidP="00962673">
      <w:pPr>
        <w:pStyle w:val="TableTitle0"/>
        <w:rPr>
          <w:rFonts w:asciiTheme="minorHAnsi" w:hAnsiTheme="minorHAnsi"/>
        </w:rPr>
      </w:pPr>
      <w:r w:rsidRPr="00531888">
        <w:rPr>
          <w:rFonts w:asciiTheme="minorHAnsi" w:hAnsiTheme="minorHAnsi"/>
        </w:rPr>
        <w:t>APPENDIX B,</w:t>
      </w:r>
      <w:r>
        <w:rPr>
          <w:rFonts w:asciiTheme="minorHAnsi" w:hAnsiTheme="minorHAnsi"/>
        </w:rPr>
        <w:t xml:space="preserve"> </w:t>
      </w:r>
      <w:r>
        <w:t>PART 3 – Substances considered not to require control by scheduling</w:t>
      </w:r>
    </w:p>
    <w:tbl>
      <w:tblPr>
        <w:tblStyle w:val="TableGrid1"/>
        <w:tblW w:w="0" w:type="auto"/>
        <w:tblLook w:val="04A0" w:firstRow="1" w:lastRow="0" w:firstColumn="1" w:lastColumn="0" w:noHBand="0" w:noVBand="1"/>
      </w:tblPr>
      <w:tblGrid>
        <w:gridCol w:w="2375"/>
        <w:gridCol w:w="2303"/>
        <w:gridCol w:w="2318"/>
        <w:gridCol w:w="2290"/>
      </w:tblGrid>
      <w:tr w:rsidR="00814520" w:rsidTr="00814520">
        <w:tc>
          <w:tcPr>
            <w:tcW w:w="2463" w:type="dxa"/>
            <w:shd w:val="clear" w:color="auto" w:fill="0070B5" w:themeFill="text1" w:themeFillTint="BF"/>
          </w:tcPr>
          <w:p w:rsidR="00814520" w:rsidRPr="00531888" w:rsidRDefault="00814520" w:rsidP="00814520">
            <w:pPr>
              <w:keepNext/>
              <w:keepLines/>
              <w:jc w:val="center"/>
              <w:rPr>
                <w:b/>
                <w:color w:val="F8F8F8"/>
              </w:rPr>
            </w:pPr>
            <w:r w:rsidRPr="00531888">
              <w:rPr>
                <w:b/>
                <w:color w:val="F8F8F8"/>
              </w:rPr>
              <w:t>SUBSTANCE</w:t>
            </w:r>
          </w:p>
        </w:tc>
        <w:tc>
          <w:tcPr>
            <w:tcW w:w="2463" w:type="dxa"/>
            <w:shd w:val="clear" w:color="auto" w:fill="0070B5" w:themeFill="text1" w:themeFillTint="BF"/>
          </w:tcPr>
          <w:p w:rsidR="00814520" w:rsidRPr="00531888" w:rsidRDefault="00814520" w:rsidP="00814520">
            <w:pPr>
              <w:keepNext/>
              <w:keepLines/>
              <w:jc w:val="center"/>
              <w:rPr>
                <w:b/>
                <w:color w:val="F8F8F8"/>
              </w:rPr>
            </w:pPr>
            <w:r w:rsidRPr="00531888">
              <w:rPr>
                <w:b/>
                <w:color w:val="F8F8F8"/>
              </w:rPr>
              <w:t>DATE OF ENTRY</w:t>
            </w:r>
          </w:p>
        </w:tc>
        <w:tc>
          <w:tcPr>
            <w:tcW w:w="2464" w:type="dxa"/>
            <w:shd w:val="clear" w:color="auto" w:fill="0070B5" w:themeFill="text1" w:themeFillTint="BF"/>
          </w:tcPr>
          <w:p w:rsidR="00814520" w:rsidRPr="00531888" w:rsidRDefault="00814520" w:rsidP="00814520">
            <w:pPr>
              <w:keepNext/>
              <w:keepLines/>
              <w:jc w:val="center"/>
              <w:rPr>
                <w:b/>
                <w:color w:val="F8F8F8"/>
              </w:rPr>
            </w:pPr>
            <w:r w:rsidRPr="00531888">
              <w:rPr>
                <w:b/>
                <w:color w:val="F8F8F8"/>
              </w:rPr>
              <w:t>REASON FOR LISTING</w:t>
            </w:r>
          </w:p>
        </w:tc>
        <w:tc>
          <w:tcPr>
            <w:tcW w:w="2464" w:type="dxa"/>
            <w:shd w:val="clear" w:color="auto" w:fill="0070B5" w:themeFill="text1" w:themeFillTint="BF"/>
          </w:tcPr>
          <w:p w:rsidR="00814520" w:rsidRPr="00531888" w:rsidRDefault="00814520" w:rsidP="00814520">
            <w:pPr>
              <w:keepNext/>
              <w:keepLines/>
              <w:jc w:val="center"/>
              <w:rPr>
                <w:b/>
                <w:color w:val="F8F8F8"/>
              </w:rPr>
            </w:pPr>
            <w:r w:rsidRPr="00531888">
              <w:rPr>
                <w:b/>
                <w:color w:val="F8F8F8"/>
              </w:rPr>
              <w:t>AREA OF USE</w:t>
            </w:r>
          </w:p>
        </w:tc>
      </w:tr>
      <w:tr w:rsidR="00814520" w:rsidTr="00814520">
        <w:tc>
          <w:tcPr>
            <w:tcW w:w="2463" w:type="dxa"/>
          </w:tcPr>
          <w:p w:rsidR="00814520" w:rsidRDefault="00814520" w:rsidP="00814520">
            <w:pPr>
              <w:keepNext/>
              <w:keepLines/>
              <w:jc w:val="center"/>
            </w:pPr>
            <w:r>
              <w:t>BUTAFENACIL</w:t>
            </w:r>
          </w:p>
        </w:tc>
        <w:tc>
          <w:tcPr>
            <w:tcW w:w="2463" w:type="dxa"/>
          </w:tcPr>
          <w:p w:rsidR="00814520" w:rsidRDefault="00814520" w:rsidP="00814520">
            <w:pPr>
              <w:keepNext/>
              <w:keepLines/>
              <w:jc w:val="center"/>
            </w:pPr>
            <w:r>
              <w:t>May 2000</w:t>
            </w:r>
          </w:p>
        </w:tc>
        <w:tc>
          <w:tcPr>
            <w:tcW w:w="2464" w:type="dxa"/>
          </w:tcPr>
          <w:p w:rsidR="00814520" w:rsidRDefault="00814520" w:rsidP="00814520">
            <w:pPr>
              <w:keepNext/>
              <w:keepLines/>
              <w:jc w:val="center"/>
            </w:pPr>
            <w:r>
              <w:t>a</w:t>
            </w:r>
          </w:p>
        </w:tc>
        <w:tc>
          <w:tcPr>
            <w:tcW w:w="2464" w:type="dxa"/>
          </w:tcPr>
          <w:p w:rsidR="00814520" w:rsidRDefault="00814520" w:rsidP="00814520">
            <w:pPr>
              <w:keepNext/>
              <w:keepLines/>
              <w:jc w:val="center"/>
            </w:pPr>
            <w:r>
              <w:t>1</w:t>
            </w:r>
          </w:p>
        </w:tc>
      </w:tr>
    </w:tbl>
    <w:p w:rsidR="00814520" w:rsidRDefault="00814520" w:rsidP="00962673">
      <w:r>
        <w:t xml:space="preserve">In </w:t>
      </w:r>
      <w:r w:rsidRPr="00676465">
        <w:t>June 2009</w:t>
      </w:r>
      <w:r>
        <w:t xml:space="preserve">, the NDPSC decided to include the related substance </w:t>
      </w:r>
      <w:proofErr w:type="spellStart"/>
      <w:r>
        <w:t>saflufenacil</w:t>
      </w:r>
      <w:proofErr w:type="spellEnd"/>
      <w:r>
        <w:t xml:space="preserve"> in Schedule 7 due to concerns about developmental toxicity. The NDPSC particularly noted reports that </w:t>
      </w:r>
      <w:proofErr w:type="spellStart"/>
      <w:r>
        <w:t>saflufenacil</w:t>
      </w:r>
      <w:proofErr w:type="spellEnd"/>
      <w:r>
        <w:t xml:space="preserve"> increased skeletal malformations </w:t>
      </w:r>
      <w:r w:rsidRPr="00440083">
        <w:t>(bent scapula)</w:t>
      </w:r>
      <w:r>
        <w:t xml:space="preserve"> at a relatively low dose in the absence of any signific</w:t>
      </w:r>
      <w:r w:rsidR="00962673">
        <w:t>ant signs of maternal toxicity.</w:t>
      </w:r>
      <w:r>
        <w:t xml:space="preserve"> The NDPSC was concerned with the </w:t>
      </w:r>
      <w:r w:rsidRPr="00440083">
        <w:t>bent scapula</w:t>
      </w:r>
      <w:r>
        <w:t xml:space="preserve"> effect, noting that this was an irreversible effect that was a highly unusual developmental toxicity marker. </w:t>
      </w:r>
      <w:r w:rsidRPr="00EA45AF">
        <w:t>In October 2009</w:t>
      </w:r>
      <w:r>
        <w:t xml:space="preserve"> and again in February 2010, following consideration of additional reproductive toxicity data, the NDPSC </w:t>
      </w:r>
      <w:r w:rsidRPr="00EA45AF">
        <w:t xml:space="preserve">confirmed the </w:t>
      </w:r>
      <w:r w:rsidR="00962673">
        <w:t xml:space="preserve">June 2009 Schedule 7 decision. </w:t>
      </w:r>
      <w:r>
        <w:t xml:space="preserve">In September 2011, the </w:t>
      </w:r>
      <w:hyperlink r:id="rId45" w:history="1">
        <w:r w:rsidRPr="00EA45AF">
          <w:rPr>
            <w:rStyle w:val="Hyperlink"/>
          </w:rPr>
          <w:t>delegate decided</w:t>
        </w:r>
      </w:hyperlink>
      <w:r>
        <w:t xml:space="preserve"> to create an exception </w:t>
      </w:r>
      <w:r w:rsidRPr="00A512AE">
        <w:t xml:space="preserve">from the Schedule 7 </w:t>
      </w:r>
      <w:proofErr w:type="spellStart"/>
      <w:r w:rsidRPr="00A512AE">
        <w:t>saflufenacil</w:t>
      </w:r>
      <w:proofErr w:type="spellEnd"/>
      <w:r w:rsidRPr="00A512AE">
        <w:t xml:space="preserve"> parent entry to Schedule 5 for water dispersible granule preparations</w:t>
      </w:r>
      <w:r w:rsidR="00962673">
        <w:t xml:space="preserve"> as follows:</w:t>
      </w:r>
    </w:p>
    <w:p w:rsidR="00814520" w:rsidRDefault="00814520" w:rsidP="00962673">
      <w:pPr>
        <w:spacing w:before="240"/>
        <w:ind w:left="426"/>
        <w:rPr>
          <w:b/>
        </w:rPr>
      </w:pPr>
      <w:r>
        <w:rPr>
          <w:b/>
        </w:rPr>
        <w:lastRenderedPageBreak/>
        <w:t>Schedule 5 – New entry</w:t>
      </w:r>
    </w:p>
    <w:p w:rsidR="00814520" w:rsidRPr="00EA45AF" w:rsidRDefault="00814520" w:rsidP="00962673">
      <w:pPr>
        <w:ind w:left="426"/>
      </w:pPr>
      <w:proofErr w:type="gramStart"/>
      <w:r w:rsidRPr="00EA45AF">
        <w:t>SAFLUFENACIL in water dispersible granule preparations.</w:t>
      </w:r>
      <w:proofErr w:type="gramEnd"/>
    </w:p>
    <w:p w:rsidR="00814520" w:rsidRPr="00EA45AF" w:rsidRDefault="00814520" w:rsidP="00962673">
      <w:pPr>
        <w:ind w:left="426"/>
        <w:rPr>
          <w:rFonts w:asciiTheme="minorHAnsi" w:hAnsiTheme="minorHAnsi"/>
          <w:b/>
        </w:rPr>
      </w:pPr>
      <w:r w:rsidRPr="00EA45AF">
        <w:rPr>
          <w:rFonts w:asciiTheme="minorHAnsi" w:hAnsiTheme="minorHAnsi"/>
          <w:b/>
        </w:rPr>
        <w:t>Schedule 7 – Amendment</w:t>
      </w:r>
    </w:p>
    <w:p w:rsidR="00814520" w:rsidRPr="00EA45AF" w:rsidRDefault="00814520" w:rsidP="00962673">
      <w:pPr>
        <w:ind w:left="426"/>
        <w:rPr>
          <w:rFonts w:asciiTheme="minorHAnsi" w:hAnsiTheme="minorHAnsi"/>
        </w:rPr>
      </w:pPr>
      <w:r w:rsidRPr="00EA45AF">
        <w:rPr>
          <w:rFonts w:asciiTheme="minorHAnsi" w:hAnsiTheme="minorHAnsi"/>
        </w:rPr>
        <w:t>SAFLUFENACIL – Amend entry to read:</w:t>
      </w:r>
    </w:p>
    <w:p w:rsidR="00814520" w:rsidRPr="001A2426" w:rsidRDefault="00814520" w:rsidP="00962673">
      <w:pPr>
        <w:ind w:left="426"/>
      </w:pPr>
      <w:r w:rsidRPr="00EA45AF">
        <w:t xml:space="preserve">SAFLUFENACIL </w:t>
      </w:r>
      <w:r w:rsidRPr="00EA45AF">
        <w:rPr>
          <w:b/>
        </w:rPr>
        <w:t>except</w:t>
      </w:r>
      <w:r>
        <w:t xml:space="preserve"> when included in Schedule 5.</w:t>
      </w:r>
    </w:p>
    <w:p w:rsidR="00814520" w:rsidRPr="00962673" w:rsidRDefault="00962673" w:rsidP="00962673">
      <w:pPr>
        <w:pStyle w:val="Heading5"/>
      </w:pPr>
      <w:r>
        <w:t>Australian regulations</w:t>
      </w:r>
    </w:p>
    <w:p w:rsidR="00814520" w:rsidRDefault="00814520" w:rsidP="00962673">
      <w:proofErr w:type="spellStart"/>
      <w:r>
        <w:t>Tiafenacil</w:t>
      </w:r>
      <w:proofErr w:type="spellEnd"/>
      <w:r w:rsidRPr="00881DFE">
        <w:t xml:space="preserve"> </w:t>
      </w:r>
      <w:r w:rsidRPr="005620FA">
        <w:t xml:space="preserve">is not listed on the APVMA Public Chemical </w:t>
      </w:r>
      <w:r>
        <w:t>Registration Information System (</w:t>
      </w:r>
      <w:proofErr w:type="spellStart"/>
      <w:r w:rsidR="006704D0">
        <w:fldChar w:fldCharType="begin"/>
      </w:r>
      <w:r w:rsidR="006704D0">
        <w:instrText xml:space="preserve"> HYPERLINK "https://portal.apvma.gov.au/pubcris" </w:instrText>
      </w:r>
      <w:r w:rsidR="006704D0">
        <w:fldChar w:fldCharType="separate"/>
      </w:r>
      <w:r w:rsidRPr="001E5765">
        <w:rPr>
          <w:rStyle w:val="Hyperlink"/>
        </w:rPr>
        <w:t>PubCris</w:t>
      </w:r>
      <w:proofErr w:type="spellEnd"/>
      <w:r w:rsidR="006704D0">
        <w:rPr>
          <w:rStyle w:val="Hyperlink"/>
        </w:rPr>
        <w:fldChar w:fldCharType="end"/>
      </w:r>
      <w:r>
        <w:rPr>
          <w:rStyle w:val="Hyperlink"/>
        </w:rPr>
        <w:t>)</w:t>
      </w:r>
      <w:r w:rsidRPr="00962673">
        <w:rPr>
          <w:rStyle w:val="Hyperlink"/>
          <w:u w:val="none"/>
        </w:rPr>
        <w:t>.</w:t>
      </w:r>
    </w:p>
    <w:p w:rsidR="00814520" w:rsidRPr="007C22E8" w:rsidRDefault="00814520" w:rsidP="00962673">
      <w:proofErr w:type="spellStart"/>
      <w:r w:rsidRPr="007C22E8">
        <w:t>Tiafenacil</w:t>
      </w:r>
      <w:proofErr w:type="spellEnd"/>
      <w:r w:rsidRPr="007C22E8">
        <w:t xml:space="preserve"> not listed on </w:t>
      </w:r>
      <w:r>
        <w:t xml:space="preserve">the current </w:t>
      </w:r>
      <w:hyperlink r:id="rId46" w:history="1">
        <w:r w:rsidRPr="00395F5F">
          <w:rPr>
            <w:rStyle w:val="Hyperlink"/>
          </w:rPr>
          <w:t>Therapeutic Goods (Permissible I</w:t>
        </w:r>
        <w:r>
          <w:rPr>
            <w:rStyle w:val="Hyperlink"/>
          </w:rPr>
          <w:t xml:space="preserve">ngredients) Determination No. 4 </w:t>
        </w:r>
        <w:r w:rsidRPr="00395F5F">
          <w:rPr>
            <w:rStyle w:val="Hyperlink"/>
          </w:rPr>
          <w:t>of 2018</w:t>
        </w:r>
        <w:r w:rsidRPr="00962673">
          <w:rPr>
            <w:rStyle w:val="Hyperlink"/>
            <w:u w:val="none"/>
          </w:rPr>
          <w:t>.</w:t>
        </w:r>
      </w:hyperlink>
    </w:p>
    <w:p w:rsidR="00814520" w:rsidRDefault="00814520" w:rsidP="00962673">
      <w:proofErr w:type="spellStart"/>
      <w:r w:rsidRPr="007C22E8">
        <w:t>Tiafenacil</w:t>
      </w:r>
      <w:proofErr w:type="spellEnd"/>
      <w:r w:rsidRPr="007C22E8">
        <w:t xml:space="preserve"> is neither an excipient nor active in any medicines on the </w:t>
      </w:r>
      <w:hyperlink r:id="rId47" w:history="1">
        <w:r w:rsidRPr="007C22E8">
          <w:rPr>
            <w:rStyle w:val="Hyperlink"/>
          </w:rPr>
          <w:t>ARTG</w:t>
        </w:r>
      </w:hyperlink>
      <w:r w:rsidRPr="007C22E8">
        <w:t>.</w:t>
      </w:r>
    </w:p>
    <w:p w:rsidR="00814520" w:rsidRDefault="00814520" w:rsidP="00962673">
      <w:pPr>
        <w:pStyle w:val="Heading5"/>
      </w:pPr>
      <w:r>
        <w:t xml:space="preserve">International </w:t>
      </w:r>
      <w:r w:rsidRPr="00962673">
        <w:t>regulations</w:t>
      </w:r>
    </w:p>
    <w:p w:rsidR="00814520" w:rsidRDefault="00814520" w:rsidP="00962673">
      <w:r w:rsidRPr="005E2B73">
        <w:t xml:space="preserve">There are no products containing </w:t>
      </w:r>
      <w:proofErr w:type="spellStart"/>
      <w:r w:rsidRPr="005E2B73">
        <w:t>tiafenacil</w:t>
      </w:r>
      <w:proofErr w:type="spellEnd"/>
      <w:r w:rsidRPr="005E2B73">
        <w:t xml:space="preserve"> </w:t>
      </w:r>
      <w:r>
        <w:t xml:space="preserve">approved and/or </w:t>
      </w:r>
      <w:r w:rsidRPr="005E2B73">
        <w:t>registered in USA, Canada, EU or New Zealand.</w:t>
      </w:r>
    </w:p>
    <w:p w:rsidR="00814520" w:rsidRDefault="00814520" w:rsidP="00962673">
      <w:proofErr w:type="spellStart"/>
      <w:r>
        <w:t>Tiafenacil</w:t>
      </w:r>
      <w:proofErr w:type="spellEnd"/>
      <w:r>
        <w:t xml:space="preserve"> is not listed as an approved active constituent on the </w:t>
      </w:r>
      <w:hyperlink r:id="rId48" w:history="1">
        <w:r w:rsidRPr="0082458C">
          <w:rPr>
            <w:rStyle w:val="Hyperlink"/>
          </w:rPr>
          <w:t>USA EPA Pesticide Chemical Database</w:t>
        </w:r>
      </w:hyperlink>
      <w:r>
        <w:t xml:space="preserve"> or on </w:t>
      </w:r>
      <w:hyperlink r:id="rId49" w:history="1">
        <w:r w:rsidRPr="0082458C">
          <w:rPr>
            <w:rStyle w:val="Hyperlink"/>
          </w:rPr>
          <w:t>Health Canada’s Public Registry</w:t>
        </w:r>
      </w:hyperlink>
      <w:r>
        <w:t>.</w:t>
      </w:r>
    </w:p>
    <w:p w:rsidR="00814520" w:rsidRDefault="00814520" w:rsidP="00962673">
      <w:proofErr w:type="spellStart"/>
      <w:r>
        <w:t>Tiafenacil</w:t>
      </w:r>
      <w:proofErr w:type="spellEnd"/>
      <w:r>
        <w:t xml:space="preserve"> is not a registered substance on the </w:t>
      </w:r>
      <w:hyperlink r:id="rId50" w:history="1">
        <w:r w:rsidRPr="00150786">
          <w:rPr>
            <w:rStyle w:val="Hyperlink"/>
          </w:rPr>
          <w:t>European Chemical Agency (ECHA) database</w:t>
        </w:r>
      </w:hyperlink>
      <w:r>
        <w:t>.</w:t>
      </w:r>
    </w:p>
    <w:p w:rsidR="00814520" w:rsidRPr="001A2426" w:rsidRDefault="00814520" w:rsidP="00962673">
      <w:pPr>
        <w:rPr>
          <w:lang w:val="en"/>
        </w:rPr>
      </w:pPr>
      <w:r w:rsidRPr="0016530E">
        <w:rPr>
          <w:lang w:val="en"/>
        </w:rPr>
        <w:t xml:space="preserve">According to the </w:t>
      </w:r>
      <w:hyperlink r:id="rId51" w:history="1">
        <w:r w:rsidRPr="00414A0B">
          <w:rPr>
            <w:rStyle w:val="Hyperlink"/>
            <w:rFonts w:asciiTheme="minorHAnsi" w:hAnsiTheme="minorHAnsi" w:cs="Helvetica"/>
            <w:lang w:val="en"/>
          </w:rPr>
          <w:t>Compendium of Pesticide Common Names (CPCN)</w:t>
        </w:r>
      </w:hyperlink>
      <w:r w:rsidRPr="005E2B73">
        <w:rPr>
          <w:color w:val="333333"/>
          <w:lang w:val="en"/>
        </w:rPr>
        <w:t xml:space="preserve">, </w:t>
      </w:r>
      <w:r w:rsidRPr="0016530E">
        <w:rPr>
          <w:lang w:val="en"/>
        </w:rPr>
        <w:t>the ISO Technical Committee on Common Names for Pesticides ha</w:t>
      </w:r>
      <w:r w:rsidR="00962673">
        <w:rPr>
          <w:lang w:val="en"/>
        </w:rPr>
        <w:t xml:space="preserve">s recently approved </w:t>
      </w:r>
      <w:proofErr w:type="spellStart"/>
      <w:r w:rsidR="00962673">
        <w:rPr>
          <w:lang w:val="en"/>
        </w:rPr>
        <w:t>tiafenacil</w:t>
      </w:r>
      <w:proofErr w:type="spellEnd"/>
      <w:r w:rsidR="00962673">
        <w:rPr>
          <w:lang w:val="en"/>
        </w:rPr>
        <w:t>.</w:t>
      </w:r>
    </w:p>
    <w:p w:rsidR="00814520" w:rsidRDefault="00814520" w:rsidP="00962673">
      <w:pPr>
        <w:pStyle w:val="Heading5"/>
      </w:pPr>
      <w:r w:rsidRPr="00962673">
        <w:t>Substance</w:t>
      </w:r>
      <w:r>
        <w:t xml:space="preserve"> summary</w:t>
      </w:r>
    </w:p>
    <w:p w:rsidR="00814520" w:rsidRPr="00306D4B" w:rsidRDefault="00814520" w:rsidP="00962673">
      <w:pPr>
        <w:rPr>
          <w:sz w:val="24"/>
          <w:szCs w:val="24"/>
        </w:rPr>
      </w:pPr>
      <w:proofErr w:type="spellStart"/>
      <w:r>
        <w:t>Tiafenacil</w:t>
      </w:r>
      <w:proofErr w:type="spellEnd"/>
      <w:r>
        <w:t xml:space="preserve"> is a new herbicide of the </w:t>
      </w:r>
      <w:proofErr w:type="spellStart"/>
      <w:r>
        <w:t>pyrimidinedione</w:t>
      </w:r>
      <w:proofErr w:type="spellEnd"/>
      <w:r>
        <w:t xml:space="preserve"> chemical class. Published data on </w:t>
      </w:r>
      <w:proofErr w:type="spellStart"/>
      <w:r>
        <w:t>tiafenacil</w:t>
      </w:r>
      <w:proofErr w:type="spellEnd"/>
      <w:r>
        <w:t xml:space="preserve"> demonstrate that it is a </w:t>
      </w:r>
      <w:proofErr w:type="spellStart"/>
      <w:r>
        <w:t>protoporphyrinogen</w:t>
      </w:r>
      <w:proofErr w:type="spellEnd"/>
      <w:r>
        <w:t xml:space="preserve"> oxidase (ENZYME entry: EC 1.3.3.4) inhibitor (PPO) which causes disruption of chlorophyll synthesis, </w:t>
      </w:r>
      <w:proofErr w:type="spellStart"/>
      <w:r>
        <w:t>protoporphyrin</w:t>
      </w:r>
      <w:proofErr w:type="spellEnd"/>
      <w:r>
        <w:t xml:space="preserve"> IX accumulation and oxidative damage in plants.</w:t>
      </w:r>
      <w:r w:rsidRPr="00AC68E2">
        <w:rPr>
          <w:rStyle w:val="FootnoteReference"/>
        </w:rPr>
        <w:footnoteReference w:id="21"/>
      </w:r>
    </w:p>
    <w:p w:rsidR="00814520" w:rsidRPr="00D275B6" w:rsidRDefault="00814520" w:rsidP="00962673">
      <w:pPr>
        <w:pStyle w:val="TableTitle0"/>
        <w:keepNext/>
      </w:pPr>
      <w:r w:rsidRPr="00BD6CC7">
        <w:lastRenderedPageBreak/>
        <w:t xml:space="preserve">Table 1: Chemical information for </w:t>
      </w:r>
      <w:proofErr w:type="spellStart"/>
      <w:r w:rsidRPr="00BD6CC7">
        <w:t>Tiafenaci</w:t>
      </w:r>
      <w:r>
        <w:t>l</w:t>
      </w:r>
      <w:proofErr w:type="spellEnd"/>
    </w:p>
    <w:tbl>
      <w:tblPr>
        <w:tblStyle w:val="TableTGAblue"/>
        <w:tblW w:w="9096" w:type="dxa"/>
        <w:tblInd w:w="108" w:type="dxa"/>
        <w:tblLook w:val="04A0" w:firstRow="1" w:lastRow="0" w:firstColumn="1" w:lastColumn="0" w:noHBand="0" w:noVBand="1"/>
      </w:tblPr>
      <w:tblGrid>
        <w:gridCol w:w="3402"/>
        <w:gridCol w:w="5694"/>
      </w:tblGrid>
      <w:tr w:rsidR="00814520" w:rsidTr="00814520">
        <w:trPr>
          <w:cnfStyle w:val="100000000000" w:firstRow="1" w:lastRow="0" w:firstColumn="0" w:lastColumn="0" w:oddVBand="0" w:evenVBand="0" w:oddHBand="0" w:evenHBand="0" w:firstRowFirstColumn="0" w:firstRowLastColumn="0" w:lastRowFirstColumn="0" w:lastRowLastColumn="0"/>
        </w:trPr>
        <w:tc>
          <w:tcPr>
            <w:tcW w:w="3402" w:type="dxa"/>
            <w:vAlign w:val="center"/>
            <w:hideMark/>
          </w:tcPr>
          <w:p w:rsidR="00814520" w:rsidRDefault="00814520" w:rsidP="00814520">
            <w:r>
              <w:t>Property</w:t>
            </w:r>
          </w:p>
        </w:tc>
        <w:tc>
          <w:tcPr>
            <w:tcW w:w="5694" w:type="dxa"/>
            <w:vAlign w:val="center"/>
            <w:hideMark/>
          </w:tcPr>
          <w:p w:rsidR="00814520" w:rsidRDefault="00814520" w:rsidP="00814520">
            <w:pPr>
              <w:jc w:val="center"/>
              <w:rPr>
                <w:lang w:eastAsia="en-US"/>
              </w:rPr>
            </w:pPr>
            <w:r>
              <w:t>TIAFENACIL</w:t>
            </w:r>
          </w:p>
        </w:tc>
      </w:tr>
      <w:tr w:rsidR="00814520" w:rsidTr="00814520">
        <w:trPr>
          <w:trHeight w:val="3519"/>
        </w:trPr>
        <w:tc>
          <w:tcPr>
            <w:tcW w:w="3402"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Chemical structure</w:t>
            </w:r>
          </w:p>
        </w:tc>
        <w:tc>
          <w:tcPr>
            <w:tcW w:w="5694"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rPr>
                <w:i/>
                <w:iCs/>
                <w:sz w:val="20"/>
                <w:szCs w:val="20"/>
              </w:rPr>
            </w:pPr>
            <w:r>
              <w:rPr>
                <w:i/>
                <w:noProof/>
                <w:sz w:val="20"/>
              </w:rPr>
              <w:drawing>
                <wp:inline distT="0" distB="0" distL="0" distR="0" wp14:anchorId="4A9E7D6F" wp14:editId="3D3EECCE">
                  <wp:extent cx="2294626" cy="2104845"/>
                  <wp:effectExtent l="0" t="0" r="0" b="0"/>
                  <wp:docPr id="9" name="Picture 9" descr="Chemical structure of Tiafena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294626" cy="2104845"/>
                          </a:xfrm>
                          <a:prstGeom prst="rect">
                            <a:avLst/>
                          </a:prstGeom>
                          <a:noFill/>
                          <a:ln>
                            <a:noFill/>
                          </a:ln>
                        </pic:spPr>
                      </pic:pic>
                    </a:graphicData>
                  </a:graphic>
                </wp:inline>
              </w:drawing>
            </w:r>
          </w:p>
        </w:tc>
      </w:tr>
      <w:tr w:rsidR="00814520" w:rsidTr="00814520">
        <w:tc>
          <w:tcPr>
            <w:tcW w:w="3402"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Molecular formula</w:t>
            </w:r>
          </w:p>
        </w:tc>
        <w:tc>
          <w:tcPr>
            <w:tcW w:w="5694"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rPr>
                <w:noProof/>
                <w:sz w:val="20"/>
                <w:szCs w:val="20"/>
              </w:rPr>
            </w:pPr>
            <w:r>
              <w:rPr>
                <w:noProof/>
                <w:sz w:val="20"/>
                <w:szCs w:val="20"/>
              </w:rPr>
              <w:t>C</w:t>
            </w:r>
            <w:r>
              <w:rPr>
                <w:noProof/>
                <w:sz w:val="20"/>
                <w:szCs w:val="20"/>
                <w:vertAlign w:val="subscript"/>
              </w:rPr>
              <w:t>19</w:t>
            </w:r>
            <w:r>
              <w:rPr>
                <w:noProof/>
                <w:sz w:val="20"/>
                <w:szCs w:val="20"/>
              </w:rPr>
              <w:t>H</w:t>
            </w:r>
            <w:r>
              <w:rPr>
                <w:noProof/>
                <w:sz w:val="20"/>
                <w:szCs w:val="20"/>
                <w:vertAlign w:val="subscript"/>
              </w:rPr>
              <w:t>18</w:t>
            </w:r>
            <w:r>
              <w:rPr>
                <w:noProof/>
                <w:sz w:val="20"/>
                <w:szCs w:val="20"/>
              </w:rPr>
              <w:t>ClF</w:t>
            </w:r>
            <w:r>
              <w:rPr>
                <w:noProof/>
                <w:sz w:val="20"/>
                <w:szCs w:val="20"/>
                <w:vertAlign w:val="subscript"/>
              </w:rPr>
              <w:t>4</w:t>
            </w:r>
            <w:r>
              <w:rPr>
                <w:noProof/>
                <w:sz w:val="20"/>
                <w:szCs w:val="20"/>
              </w:rPr>
              <w:t>N</w:t>
            </w:r>
            <w:r>
              <w:rPr>
                <w:noProof/>
                <w:sz w:val="20"/>
                <w:szCs w:val="20"/>
                <w:vertAlign w:val="subscript"/>
              </w:rPr>
              <w:t>3</w:t>
            </w:r>
            <w:r>
              <w:rPr>
                <w:noProof/>
                <w:sz w:val="20"/>
                <w:szCs w:val="20"/>
              </w:rPr>
              <w:t>O</w:t>
            </w:r>
            <w:r>
              <w:rPr>
                <w:noProof/>
                <w:sz w:val="20"/>
                <w:szCs w:val="20"/>
                <w:vertAlign w:val="subscript"/>
              </w:rPr>
              <w:t>5</w:t>
            </w:r>
            <w:r>
              <w:rPr>
                <w:noProof/>
                <w:sz w:val="20"/>
                <w:szCs w:val="20"/>
              </w:rPr>
              <w:t>S</w:t>
            </w:r>
          </w:p>
        </w:tc>
      </w:tr>
      <w:tr w:rsidR="00814520" w:rsidTr="00814520">
        <w:tc>
          <w:tcPr>
            <w:tcW w:w="3402"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CAS name</w:t>
            </w:r>
          </w:p>
        </w:tc>
        <w:tc>
          <w:tcPr>
            <w:tcW w:w="5694"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rPr>
                <w:sz w:val="20"/>
                <w:szCs w:val="20"/>
                <w:lang w:eastAsia="en-US"/>
              </w:rPr>
            </w:pPr>
            <w:r>
              <w:rPr>
                <w:sz w:val="20"/>
                <w:szCs w:val="20"/>
              </w:rPr>
              <w:t>Methyl N-(2-((2-chloro-5-(3,6-dihydro-3-methyl-2,6-dioxo-4-(trifluoromethyl)-1(2H)-pyrimidinyl)-4-fluorophenyl)thi</w:t>
            </w:r>
            <w:r w:rsidR="00962673">
              <w:rPr>
                <w:sz w:val="20"/>
                <w:szCs w:val="20"/>
              </w:rPr>
              <w:t>o)-1-oxopropyl)-β-alaninateate</w:t>
            </w:r>
          </w:p>
        </w:tc>
      </w:tr>
      <w:tr w:rsidR="00814520" w:rsidTr="00814520">
        <w:tc>
          <w:tcPr>
            <w:tcW w:w="3402"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CAS number</w:t>
            </w:r>
          </w:p>
        </w:tc>
        <w:tc>
          <w:tcPr>
            <w:tcW w:w="5694"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after="0" w:line="240" w:lineRule="auto"/>
              <w:rPr>
                <w:sz w:val="20"/>
                <w:szCs w:val="20"/>
              </w:rPr>
            </w:pPr>
            <w:r>
              <w:rPr>
                <w:sz w:val="20"/>
                <w:szCs w:val="20"/>
              </w:rPr>
              <w:t>1220411-29-9</w:t>
            </w:r>
          </w:p>
        </w:tc>
      </w:tr>
      <w:tr w:rsidR="00814520" w:rsidTr="00814520">
        <w:tc>
          <w:tcPr>
            <w:tcW w:w="3402"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sz w:val="20"/>
                <w:szCs w:val="20"/>
              </w:rPr>
            </w:pPr>
            <w:r>
              <w:rPr>
                <w:sz w:val="20"/>
                <w:szCs w:val="20"/>
              </w:rPr>
              <w:t>IUPAC and/or common and/or other names</w:t>
            </w:r>
          </w:p>
        </w:tc>
        <w:tc>
          <w:tcPr>
            <w:tcW w:w="5694" w:type="dxa"/>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Pr="00962673" w:rsidRDefault="00814520" w:rsidP="00962673">
            <w:pPr>
              <w:rPr>
                <w:sz w:val="20"/>
                <w:szCs w:val="20"/>
              </w:rPr>
            </w:pPr>
            <w:r w:rsidRPr="00962673">
              <w:rPr>
                <w:sz w:val="20"/>
                <w:szCs w:val="20"/>
              </w:rPr>
              <w:t xml:space="preserve">Methyl 3-((2RS)-2-{2-chloro-4-fluoro-5-(1,2,3,6-tetrahydro-3-methyl-2,6-dioxo-4-(trifluoromethyl)pyrimidin-1(6H)-yl) </w:t>
            </w:r>
            <w:proofErr w:type="spellStart"/>
            <w:r w:rsidRPr="00962673">
              <w:rPr>
                <w:sz w:val="20"/>
                <w:szCs w:val="20"/>
              </w:rPr>
              <w:t>phenylthio</w:t>
            </w:r>
            <w:proofErr w:type="spellEnd"/>
            <w:r w:rsidRPr="00962673">
              <w:rPr>
                <w:sz w:val="20"/>
                <w:szCs w:val="20"/>
              </w:rPr>
              <w:t>}</w:t>
            </w:r>
            <w:proofErr w:type="spellStart"/>
            <w:r w:rsidRPr="00962673">
              <w:rPr>
                <w:sz w:val="20"/>
                <w:szCs w:val="20"/>
              </w:rPr>
              <w:t>propionamido</w:t>
            </w:r>
            <w:proofErr w:type="spellEnd"/>
            <w:r w:rsidRPr="00962673">
              <w:rPr>
                <w:sz w:val="20"/>
                <w:szCs w:val="20"/>
              </w:rPr>
              <w:t>)propionate</w:t>
            </w:r>
          </w:p>
        </w:tc>
      </w:tr>
    </w:tbl>
    <w:p w:rsidR="00814520" w:rsidRDefault="00814520" w:rsidP="00962673">
      <w:pPr>
        <w:pStyle w:val="Tabletitle"/>
      </w:pPr>
      <w:r>
        <w:t xml:space="preserve">Table 2: Acute toxicity end-points for </w:t>
      </w:r>
      <w:proofErr w:type="spellStart"/>
      <w:r>
        <w:t>Tiafenacil</w:t>
      </w:r>
      <w:proofErr w:type="spellEnd"/>
    </w:p>
    <w:tbl>
      <w:tblPr>
        <w:tblStyle w:val="TableTGAblue"/>
        <w:tblW w:w="5000" w:type="pct"/>
        <w:tblLook w:val="04A0" w:firstRow="1" w:lastRow="0" w:firstColumn="1" w:lastColumn="0" w:noHBand="0" w:noVBand="1"/>
      </w:tblPr>
      <w:tblGrid>
        <w:gridCol w:w="4076"/>
        <w:gridCol w:w="1473"/>
        <w:gridCol w:w="2136"/>
        <w:gridCol w:w="1601"/>
      </w:tblGrid>
      <w:tr w:rsidR="00814520" w:rsidTr="00962673">
        <w:trPr>
          <w:cnfStyle w:val="100000000000" w:firstRow="1" w:lastRow="0" w:firstColumn="0" w:lastColumn="0" w:oddVBand="0" w:evenVBand="0" w:oddHBand="0" w:evenHBand="0" w:firstRowFirstColumn="0" w:firstRowLastColumn="0" w:lastRowFirstColumn="0" w:lastRowLastColumn="0"/>
        </w:trPr>
        <w:tc>
          <w:tcPr>
            <w:tcW w:w="2195" w:type="pct"/>
            <w:hideMark/>
          </w:tcPr>
          <w:p w:rsidR="00814520" w:rsidRDefault="00814520" w:rsidP="00814520">
            <w:pPr>
              <w:pStyle w:val="TableHeading"/>
              <w:spacing w:before="120" w:after="120"/>
              <w:rPr>
                <w:rFonts w:cstheme="majorHAnsi"/>
                <w:b/>
                <w:sz w:val="20"/>
                <w:szCs w:val="20"/>
              </w:rPr>
            </w:pPr>
            <w:r>
              <w:rPr>
                <w:rFonts w:cstheme="majorHAnsi"/>
                <w:b/>
                <w:sz w:val="20"/>
                <w:szCs w:val="20"/>
              </w:rPr>
              <w:t>Toxicity</w:t>
            </w:r>
          </w:p>
        </w:tc>
        <w:tc>
          <w:tcPr>
            <w:tcW w:w="793" w:type="pct"/>
            <w:hideMark/>
          </w:tcPr>
          <w:p w:rsidR="00814520" w:rsidRDefault="00814520" w:rsidP="00814520">
            <w:pPr>
              <w:pStyle w:val="TableHeading"/>
              <w:spacing w:before="120" w:after="120"/>
              <w:rPr>
                <w:rFonts w:cstheme="majorHAnsi"/>
                <w:b/>
                <w:sz w:val="20"/>
                <w:szCs w:val="20"/>
              </w:rPr>
            </w:pPr>
            <w:r>
              <w:rPr>
                <w:rFonts w:cstheme="majorHAnsi"/>
                <w:b/>
                <w:sz w:val="20"/>
                <w:szCs w:val="20"/>
              </w:rPr>
              <w:t>Species</w:t>
            </w:r>
          </w:p>
        </w:tc>
        <w:tc>
          <w:tcPr>
            <w:tcW w:w="1150" w:type="pct"/>
            <w:hideMark/>
          </w:tcPr>
          <w:p w:rsidR="00814520" w:rsidRDefault="00814520" w:rsidP="00814520">
            <w:pPr>
              <w:pStyle w:val="TableHeading"/>
              <w:spacing w:before="120" w:after="120"/>
              <w:rPr>
                <w:rFonts w:cstheme="majorHAnsi"/>
                <w:b/>
                <w:sz w:val="20"/>
                <w:szCs w:val="20"/>
              </w:rPr>
            </w:pPr>
            <w:r>
              <w:rPr>
                <w:rFonts w:cstheme="majorHAnsi"/>
                <w:b/>
                <w:sz w:val="20"/>
                <w:szCs w:val="20"/>
              </w:rPr>
              <w:t>Result</w:t>
            </w:r>
          </w:p>
        </w:tc>
        <w:tc>
          <w:tcPr>
            <w:tcW w:w="862" w:type="pct"/>
            <w:hideMark/>
          </w:tcPr>
          <w:p w:rsidR="00814520" w:rsidRDefault="00814520" w:rsidP="00814520">
            <w:pPr>
              <w:pStyle w:val="TableHeading"/>
              <w:spacing w:before="120" w:after="120"/>
              <w:rPr>
                <w:rFonts w:cstheme="majorHAnsi"/>
                <w:b/>
                <w:sz w:val="20"/>
                <w:szCs w:val="20"/>
              </w:rPr>
            </w:pPr>
            <w:r>
              <w:rPr>
                <w:rFonts w:cstheme="majorHAnsi"/>
                <w:b/>
                <w:sz w:val="20"/>
                <w:szCs w:val="20"/>
              </w:rPr>
              <w:t>SPF (2018) Classification</w:t>
            </w:r>
            <w:r w:rsidRPr="00AC68E2">
              <w:rPr>
                <w:rStyle w:val="FootnoteReference"/>
              </w:rPr>
              <w:footnoteReference w:id="22"/>
            </w:r>
          </w:p>
        </w:tc>
      </w:tr>
      <w:tr w:rsidR="00814520" w:rsidTr="00962673">
        <w:tc>
          <w:tcPr>
            <w:tcW w:w="2195"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962673">
            <w:pPr>
              <w:spacing w:before="120" w:after="120"/>
              <w:rPr>
                <w:rFonts w:asciiTheme="minorHAnsi" w:hAnsiTheme="minorHAnsi"/>
                <w:sz w:val="20"/>
                <w:szCs w:val="20"/>
              </w:rPr>
            </w:pPr>
            <w:r>
              <w:rPr>
                <w:rFonts w:asciiTheme="minorHAnsi" w:hAnsiTheme="minorHAnsi"/>
                <w:sz w:val="20"/>
                <w:szCs w:val="20"/>
              </w:rPr>
              <w:t>Acute oral toxicity LD</w:t>
            </w:r>
            <w:r>
              <w:rPr>
                <w:rFonts w:asciiTheme="minorHAnsi" w:hAnsiTheme="minorHAnsi"/>
                <w:sz w:val="20"/>
                <w:szCs w:val="20"/>
                <w:vertAlign w:val="subscript"/>
              </w:rPr>
              <w:t>50</w:t>
            </w:r>
            <w:r>
              <w:rPr>
                <w:rFonts w:asciiTheme="minorHAnsi" w:hAnsiTheme="minorHAnsi"/>
                <w:sz w:val="20"/>
                <w:szCs w:val="20"/>
              </w:rPr>
              <w:t xml:space="preserve"> (mg/kg </w:t>
            </w:r>
            <w:proofErr w:type="spellStart"/>
            <w:r>
              <w:rPr>
                <w:rFonts w:asciiTheme="minorHAnsi" w:hAnsiTheme="minorHAnsi"/>
                <w:sz w:val="20"/>
                <w:szCs w:val="20"/>
              </w:rPr>
              <w:t>bw</w:t>
            </w:r>
            <w:proofErr w:type="spellEnd"/>
            <w:r>
              <w:rPr>
                <w:rFonts w:asciiTheme="minorHAnsi" w:hAnsiTheme="minorHAnsi"/>
                <w:sz w:val="20"/>
                <w:szCs w:val="20"/>
              </w:rPr>
              <w:t>)</w:t>
            </w:r>
          </w:p>
        </w:tc>
        <w:tc>
          <w:tcPr>
            <w:tcW w:w="793"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lang w:eastAsia="en-US"/>
              </w:rPr>
            </w:pPr>
            <w:r>
              <w:rPr>
                <w:rFonts w:asciiTheme="minorHAnsi" w:hAnsiTheme="minorHAnsi"/>
                <w:sz w:val="20"/>
                <w:szCs w:val="20"/>
              </w:rPr>
              <w:t>Rat</w:t>
            </w:r>
          </w:p>
        </w:tc>
        <w:tc>
          <w:tcPr>
            <w:tcW w:w="1150"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rPr>
            </w:pPr>
            <w:r>
              <w:rPr>
                <w:rFonts w:asciiTheme="minorHAnsi" w:eastAsia="Times New Roman" w:hAnsiTheme="minorHAnsi"/>
                <w:sz w:val="20"/>
                <w:szCs w:val="20"/>
              </w:rPr>
              <w:t xml:space="preserve">&gt;2000 mg/kg </w:t>
            </w:r>
            <w:proofErr w:type="spellStart"/>
            <w:r>
              <w:rPr>
                <w:rFonts w:asciiTheme="minorHAnsi" w:eastAsia="Times New Roman" w:hAnsiTheme="minorHAnsi"/>
                <w:sz w:val="20"/>
                <w:szCs w:val="20"/>
              </w:rPr>
              <w:t>bw</w:t>
            </w:r>
            <w:proofErr w:type="spellEnd"/>
            <w:r>
              <w:rPr>
                <w:rFonts w:asciiTheme="minorHAnsi" w:eastAsia="Times New Roman" w:hAnsiTheme="minorHAnsi"/>
                <w:sz w:val="20"/>
                <w:szCs w:val="20"/>
              </w:rPr>
              <w:t xml:space="preserve"> with no deaths</w:t>
            </w:r>
          </w:p>
        </w:tc>
        <w:tc>
          <w:tcPr>
            <w:tcW w:w="862"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rPr>
            </w:pPr>
            <w:r>
              <w:rPr>
                <w:rFonts w:asciiTheme="minorHAnsi" w:hAnsiTheme="minorHAnsi"/>
                <w:sz w:val="20"/>
                <w:szCs w:val="20"/>
              </w:rPr>
              <w:t>Schedule 5</w:t>
            </w:r>
          </w:p>
        </w:tc>
      </w:tr>
      <w:tr w:rsidR="00814520" w:rsidTr="00962673">
        <w:tc>
          <w:tcPr>
            <w:tcW w:w="2195"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962673">
            <w:pPr>
              <w:spacing w:before="120" w:after="120"/>
              <w:rPr>
                <w:rFonts w:asciiTheme="minorHAnsi" w:hAnsiTheme="minorHAnsi"/>
                <w:sz w:val="20"/>
                <w:szCs w:val="20"/>
              </w:rPr>
            </w:pPr>
            <w:r>
              <w:rPr>
                <w:rFonts w:asciiTheme="minorHAnsi" w:hAnsiTheme="minorHAnsi"/>
                <w:sz w:val="20"/>
                <w:szCs w:val="20"/>
              </w:rPr>
              <w:t>Acute dermal toxicity LD</w:t>
            </w:r>
            <w:r>
              <w:rPr>
                <w:rFonts w:asciiTheme="minorHAnsi" w:hAnsiTheme="minorHAnsi"/>
                <w:sz w:val="20"/>
                <w:szCs w:val="20"/>
                <w:vertAlign w:val="subscript"/>
              </w:rPr>
              <w:t>50</w:t>
            </w:r>
            <w:r>
              <w:rPr>
                <w:rFonts w:asciiTheme="minorHAnsi" w:hAnsiTheme="minorHAnsi"/>
                <w:sz w:val="20"/>
                <w:szCs w:val="20"/>
              </w:rPr>
              <w:t xml:space="preserve"> (mg/kg </w:t>
            </w:r>
            <w:proofErr w:type="spellStart"/>
            <w:r>
              <w:rPr>
                <w:rFonts w:asciiTheme="minorHAnsi" w:hAnsiTheme="minorHAnsi"/>
                <w:sz w:val="20"/>
                <w:szCs w:val="20"/>
              </w:rPr>
              <w:t>bw</w:t>
            </w:r>
            <w:proofErr w:type="spellEnd"/>
            <w:r>
              <w:rPr>
                <w:rFonts w:asciiTheme="minorHAnsi" w:hAnsiTheme="minorHAnsi"/>
                <w:sz w:val="20"/>
                <w:szCs w:val="20"/>
              </w:rPr>
              <w:t>)</w:t>
            </w:r>
          </w:p>
        </w:tc>
        <w:tc>
          <w:tcPr>
            <w:tcW w:w="793"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rPr>
            </w:pPr>
            <w:r>
              <w:rPr>
                <w:rFonts w:asciiTheme="minorHAnsi" w:hAnsiTheme="minorHAnsi"/>
                <w:sz w:val="20"/>
                <w:szCs w:val="20"/>
              </w:rPr>
              <w:t>Rat</w:t>
            </w:r>
          </w:p>
        </w:tc>
        <w:tc>
          <w:tcPr>
            <w:tcW w:w="1150"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rPr>
            </w:pPr>
            <w:r>
              <w:rPr>
                <w:rFonts w:asciiTheme="minorHAnsi" w:eastAsia="Times New Roman" w:hAnsiTheme="minorHAnsi"/>
                <w:sz w:val="20"/>
                <w:szCs w:val="20"/>
              </w:rPr>
              <w:t xml:space="preserve">&gt;2000 mg/kg </w:t>
            </w:r>
            <w:proofErr w:type="spellStart"/>
            <w:r>
              <w:rPr>
                <w:rFonts w:asciiTheme="minorHAnsi" w:eastAsia="Times New Roman" w:hAnsiTheme="minorHAnsi"/>
                <w:sz w:val="20"/>
                <w:szCs w:val="20"/>
              </w:rPr>
              <w:t>bw</w:t>
            </w:r>
            <w:proofErr w:type="spellEnd"/>
            <w:r>
              <w:rPr>
                <w:rFonts w:asciiTheme="minorHAnsi" w:eastAsia="Times New Roman" w:hAnsiTheme="minorHAnsi"/>
                <w:sz w:val="20"/>
                <w:szCs w:val="20"/>
              </w:rPr>
              <w:t xml:space="preserve"> with no deaths</w:t>
            </w:r>
          </w:p>
        </w:tc>
        <w:tc>
          <w:tcPr>
            <w:tcW w:w="862"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rPr>
            </w:pPr>
            <w:r>
              <w:rPr>
                <w:rFonts w:asciiTheme="minorHAnsi" w:hAnsiTheme="minorHAnsi"/>
                <w:sz w:val="20"/>
                <w:szCs w:val="20"/>
              </w:rPr>
              <w:t>Schedule 5</w:t>
            </w:r>
          </w:p>
        </w:tc>
      </w:tr>
      <w:tr w:rsidR="00814520" w:rsidTr="00962673">
        <w:tc>
          <w:tcPr>
            <w:tcW w:w="2195"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962673">
            <w:pPr>
              <w:spacing w:before="120" w:after="120"/>
              <w:rPr>
                <w:rFonts w:asciiTheme="minorHAnsi" w:hAnsiTheme="minorHAnsi"/>
                <w:sz w:val="20"/>
                <w:szCs w:val="20"/>
              </w:rPr>
            </w:pPr>
            <w:r>
              <w:rPr>
                <w:rFonts w:asciiTheme="minorHAnsi" w:hAnsiTheme="minorHAnsi"/>
                <w:sz w:val="20"/>
                <w:szCs w:val="20"/>
              </w:rPr>
              <w:t>Acute inhalational toxicity LC</w:t>
            </w:r>
            <w:r>
              <w:rPr>
                <w:rFonts w:asciiTheme="minorHAnsi" w:hAnsiTheme="minorHAnsi"/>
                <w:sz w:val="20"/>
                <w:szCs w:val="20"/>
                <w:vertAlign w:val="subscript"/>
              </w:rPr>
              <w:t>50</w:t>
            </w:r>
            <w:r>
              <w:rPr>
                <w:rFonts w:asciiTheme="minorHAnsi" w:hAnsiTheme="minorHAnsi"/>
                <w:sz w:val="20"/>
                <w:szCs w:val="20"/>
              </w:rPr>
              <w:t xml:space="preserve"> (mg/m</w:t>
            </w:r>
            <w:r>
              <w:rPr>
                <w:rFonts w:asciiTheme="minorHAnsi" w:hAnsiTheme="minorHAnsi"/>
                <w:sz w:val="20"/>
                <w:szCs w:val="20"/>
                <w:vertAlign w:val="superscript"/>
              </w:rPr>
              <w:t>3</w:t>
            </w:r>
            <w:r>
              <w:rPr>
                <w:rFonts w:asciiTheme="minorHAnsi" w:hAnsiTheme="minorHAnsi"/>
                <w:sz w:val="20"/>
                <w:szCs w:val="20"/>
              </w:rPr>
              <w:t>/4h)</w:t>
            </w:r>
          </w:p>
        </w:tc>
        <w:tc>
          <w:tcPr>
            <w:tcW w:w="793"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rPr>
            </w:pPr>
            <w:r>
              <w:rPr>
                <w:rFonts w:asciiTheme="minorHAnsi" w:hAnsiTheme="minorHAnsi"/>
                <w:sz w:val="20"/>
                <w:szCs w:val="20"/>
              </w:rPr>
              <w:t>Rat</w:t>
            </w:r>
          </w:p>
        </w:tc>
        <w:tc>
          <w:tcPr>
            <w:tcW w:w="1150"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rPr>
            </w:pPr>
            <w:r>
              <w:rPr>
                <w:rFonts w:asciiTheme="minorHAnsi" w:hAnsiTheme="minorHAnsi"/>
                <w:sz w:val="20"/>
                <w:szCs w:val="20"/>
              </w:rPr>
              <w:t>&gt;5380 mg/m</w:t>
            </w:r>
            <w:r>
              <w:rPr>
                <w:rFonts w:asciiTheme="minorHAnsi" w:hAnsiTheme="minorHAnsi"/>
                <w:sz w:val="20"/>
                <w:szCs w:val="20"/>
                <w:vertAlign w:val="superscript"/>
              </w:rPr>
              <w:t>3</w:t>
            </w:r>
            <w:r>
              <w:rPr>
                <w:rFonts w:asciiTheme="minorHAnsi" w:hAnsiTheme="minorHAnsi"/>
                <w:sz w:val="20"/>
                <w:szCs w:val="20"/>
              </w:rPr>
              <w:t xml:space="preserve"> with no deaths</w:t>
            </w:r>
          </w:p>
        </w:tc>
        <w:tc>
          <w:tcPr>
            <w:tcW w:w="862"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rPr>
            </w:pPr>
            <w:r>
              <w:rPr>
                <w:rFonts w:asciiTheme="minorHAnsi" w:hAnsiTheme="minorHAnsi"/>
                <w:sz w:val="20"/>
                <w:szCs w:val="20"/>
              </w:rPr>
              <w:t>Schedule 5</w:t>
            </w:r>
          </w:p>
        </w:tc>
      </w:tr>
      <w:tr w:rsidR="00814520" w:rsidTr="00962673">
        <w:tc>
          <w:tcPr>
            <w:tcW w:w="2195"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rPr>
            </w:pPr>
            <w:r>
              <w:rPr>
                <w:rFonts w:asciiTheme="minorHAnsi" w:hAnsiTheme="minorHAnsi"/>
                <w:sz w:val="20"/>
                <w:szCs w:val="20"/>
              </w:rPr>
              <w:t>Skin irritation</w:t>
            </w:r>
          </w:p>
        </w:tc>
        <w:tc>
          <w:tcPr>
            <w:tcW w:w="793"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rPr>
            </w:pPr>
            <w:r>
              <w:rPr>
                <w:rFonts w:asciiTheme="minorHAnsi" w:hAnsiTheme="minorHAnsi"/>
                <w:sz w:val="20"/>
                <w:szCs w:val="20"/>
              </w:rPr>
              <w:t>Rabbit</w:t>
            </w:r>
          </w:p>
        </w:tc>
        <w:tc>
          <w:tcPr>
            <w:tcW w:w="1150"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rPr>
            </w:pPr>
            <w:r>
              <w:rPr>
                <w:rFonts w:asciiTheme="minorHAnsi" w:hAnsiTheme="minorHAnsi"/>
                <w:sz w:val="20"/>
                <w:szCs w:val="20"/>
              </w:rPr>
              <w:t>Non-irritant</w:t>
            </w:r>
          </w:p>
        </w:tc>
        <w:tc>
          <w:tcPr>
            <w:tcW w:w="862"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rPr>
            </w:pPr>
            <w:r>
              <w:rPr>
                <w:rFonts w:asciiTheme="minorHAnsi" w:hAnsiTheme="minorHAnsi"/>
                <w:sz w:val="20"/>
                <w:szCs w:val="20"/>
              </w:rPr>
              <w:t>Not scheduled</w:t>
            </w:r>
          </w:p>
        </w:tc>
      </w:tr>
      <w:tr w:rsidR="00814520" w:rsidTr="00962673">
        <w:tc>
          <w:tcPr>
            <w:tcW w:w="2195"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962673" w:rsidP="00814520">
            <w:pPr>
              <w:spacing w:before="120" w:after="120"/>
              <w:rPr>
                <w:rFonts w:asciiTheme="minorHAnsi" w:hAnsiTheme="minorHAnsi"/>
                <w:sz w:val="20"/>
                <w:szCs w:val="20"/>
              </w:rPr>
            </w:pPr>
            <w:r>
              <w:rPr>
                <w:rFonts w:asciiTheme="minorHAnsi" w:hAnsiTheme="minorHAnsi"/>
                <w:sz w:val="20"/>
                <w:szCs w:val="20"/>
              </w:rPr>
              <w:t>Eye irritation</w:t>
            </w:r>
          </w:p>
        </w:tc>
        <w:tc>
          <w:tcPr>
            <w:tcW w:w="793"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rPr>
            </w:pPr>
            <w:r>
              <w:rPr>
                <w:rFonts w:asciiTheme="minorHAnsi" w:hAnsiTheme="minorHAnsi"/>
                <w:sz w:val="20"/>
                <w:szCs w:val="20"/>
              </w:rPr>
              <w:t>Rabbit</w:t>
            </w:r>
          </w:p>
        </w:tc>
        <w:tc>
          <w:tcPr>
            <w:tcW w:w="1150"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962673" w:rsidP="00814520">
            <w:pPr>
              <w:spacing w:before="120" w:after="120"/>
              <w:rPr>
                <w:rFonts w:asciiTheme="minorHAnsi" w:hAnsiTheme="minorHAnsi"/>
                <w:sz w:val="20"/>
                <w:szCs w:val="20"/>
              </w:rPr>
            </w:pPr>
            <w:r>
              <w:rPr>
                <w:rFonts w:asciiTheme="minorHAnsi" w:hAnsiTheme="minorHAnsi"/>
                <w:sz w:val="20"/>
                <w:szCs w:val="20"/>
              </w:rPr>
              <w:t>Slight, resolving by 72</w:t>
            </w:r>
            <w:r w:rsidR="00814520">
              <w:rPr>
                <w:rFonts w:asciiTheme="minorHAnsi" w:hAnsiTheme="minorHAnsi"/>
                <w:sz w:val="20"/>
                <w:szCs w:val="20"/>
              </w:rPr>
              <w:t>h</w:t>
            </w:r>
          </w:p>
        </w:tc>
        <w:tc>
          <w:tcPr>
            <w:tcW w:w="862"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rPr>
            </w:pPr>
            <w:r>
              <w:rPr>
                <w:rFonts w:asciiTheme="minorHAnsi" w:hAnsiTheme="minorHAnsi"/>
                <w:sz w:val="20"/>
                <w:szCs w:val="20"/>
              </w:rPr>
              <w:t>Schedule 5</w:t>
            </w:r>
          </w:p>
        </w:tc>
      </w:tr>
      <w:tr w:rsidR="00814520" w:rsidTr="00962673">
        <w:tc>
          <w:tcPr>
            <w:tcW w:w="2195"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rPr>
            </w:pPr>
            <w:r>
              <w:rPr>
                <w:rFonts w:asciiTheme="minorHAnsi" w:hAnsiTheme="minorHAnsi"/>
                <w:sz w:val="20"/>
                <w:szCs w:val="20"/>
              </w:rPr>
              <w:lastRenderedPageBreak/>
              <w:t>Skin sensitisation (LLNA &amp; GPMT)</w:t>
            </w:r>
          </w:p>
        </w:tc>
        <w:tc>
          <w:tcPr>
            <w:tcW w:w="793"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rPr>
            </w:pPr>
            <w:r>
              <w:rPr>
                <w:rFonts w:asciiTheme="minorHAnsi" w:hAnsiTheme="minorHAnsi"/>
                <w:sz w:val="20"/>
                <w:szCs w:val="20"/>
              </w:rPr>
              <w:t>Mouse/Guinea pig</w:t>
            </w:r>
          </w:p>
        </w:tc>
        <w:tc>
          <w:tcPr>
            <w:tcW w:w="1150"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rPr>
            </w:pPr>
            <w:r>
              <w:rPr>
                <w:rFonts w:asciiTheme="minorHAnsi" w:hAnsiTheme="minorHAnsi"/>
                <w:sz w:val="20"/>
                <w:szCs w:val="20"/>
              </w:rPr>
              <w:t>Not a sensitiser</w:t>
            </w:r>
          </w:p>
        </w:tc>
        <w:tc>
          <w:tcPr>
            <w:tcW w:w="862" w:type="pct"/>
            <w:tcBorders>
              <w:top w:val="single" w:sz="8" w:space="0" w:color="002C47" w:themeColor="text1"/>
              <w:left w:val="single" w:sz="8" w:space="0" w:color="002C47" w:themeColor="text1"/>
              <w:bottom w:val="single" w:sz="8" w:space="0" w:color="002C47" w:themeColor="text1"/>
              <w:right w:val="single" w:sz="8" w:space="0" w:color="002C47" w:themeColor="text1"/>
            </w:tcBorders>
            <w:hideMark/>
          </w:tcPr>
          <w:p w:rsidR="00814520" w:rsidRDefault="00814520" w:rsidP="00814520">
            <w:pPr>
              <w:spacing w:before="120" w:after="120"/>
              <w:rPr>
                <w:rFonts w:asciiTheme="minorHAnsi" w:hAnsiTheme="minorHAnsi"/>
                <w:sz w:val="20"/>
                <w:szCs w:val="20"/>
              </w:rPr>
            </w:pPr>
            <w:r>
              <w:rPr>
                <w:rFonts w:asciiTheme="minorHAnsi" w:hAnsiTheme="minorHAnsi"/>
                <w:sz w:val="20"/>
                <w:szCs w:val="20"/>
              </w:rPr>
              <w:t>Not scheduled</w:t>
            </w:r>
          </w:p>
        </w:tc>
      </w:tr>
    </w:tbl>
    <w:p w:rsidR="00814520" w:rsidRPr="00962673" w:rsidRDefault="00962673" w:rsidP="00962673">
      <w:pPr>
        <w:pStyle w:val="Heading6"/>
        <w:rPr>
          <w:rFonts w:eastAsiaTheme="majorEastAsia"/>
        </w:rPr>
      </w:pPr>
      <w:r>
        <w:rPr>
          <w:rFonts w:eastAsiaTheme="majorEastAsia"/>
        </w:rPr>
        <w:t>Acute toxicity</w:t>
      </w:r>
    </w:p>
    <w:p w:rsidR="00814520" w:rsidRDefault="00814520" w:rsidP="00962673">
      <w:r>
        <w:t xml:space="preserve">Based on the available oral, dermal and inhalation data, </w:t>
      </w:r>
      <w:proofErr w:type="spellStart"/>
      <w:r>
        <w:t>tiafenacil</w:t>
      </w:r>
      <w:proofErr w:type="spellEnd"/>
      <w:r>
        <w:t xml:space="preserve"> has low acute toxicity in the rat. There were no deaths, clinical signs or macroscopic findings in any of the studies.</w:t>
      </w:r>
    </w:p>
    <w:p w:rsidR="00814520" w:rsidRDefault="00814520" w:rsidP="00962673">
      <w:pPr>
        <w:pStyle w:val="Heading6"/>
        <w:rPr>
          <w:rFonts w:eastAsiaTheme="majorEastAsia"/>
        </w:rPr>
      </w:pPr>
      <w:r>
        <w:rPr>
          <w:rFonts w:eastAsiaTheme="majorEastAsia"/>
        </w:rPr>
        <w:t xml:space="preserve">Skin </w:t>
      </w:r>
      <w:r w:rsidRPr="00962673">
        <w:rPr>
          <w:rFonts w:eastAsiaTheme="majorEastAsia"/>
        </w:rPr>
        <w:t>irritation</w:t>
      </w:r>
    </w:p>
    <w:p w:rsidR="00814520" w:rsidRDefault="00814520" w:rsidP="00962673">
      <w:r>
        <w:t xml:space="preserve">Based on available data, </w:t>
      </w:r>
      <w:proofErr w:type="spellStart"/>
      <w:r>
        <w:rPr>
          <w:rFonts w:eastAsia="Times New Roman"/>
          <w:lang w:eastAsia="en-AU"/>
        </w:rPr>
        <w:t>tiafenacil</w:t>
      </w:r>
      <w:proofErr w:type="spellEnd"/>
      <w:r>
        <w:t xml:space="preserve"> is not a skin irritant:</w:t>
      </w:r>
    </w:p>
    <w:p w:rsidR="00814520" w:rsidRPr="00962673" w:rsidRDefault="00814520" w:rsidP="00962673">
      <w:pPr>
        <w:pStyle w:val="ListBullet"/>
        <w:numPr>
          <w:ilvl w:val="0"/>
          <w:numId w:val="37"/>
        </w:numPr>
        <w:rPr>
          <w:rFonts w:eastAsiaTheme="majorEastAsia"/>
        </w:rPr>
      </w:pPr>
      <w:r w:rsidRPr="00962673">
        <w:t xml:space="preserve">Three female rabbits received a single (semi-occlusive) topical application of 0.5 g </w:t>
      </w:r>
      <w:proofErr w:type="spellStart"/>
      <w:r w:rsidRPr="00962673">
        <w:t>tiafenacil</w:t>
      </w:r>
      <w:proofErr w:type="spellEnd"/>
      <w:r w:rsidRPr="00962673">
        <w:t xml:space="preserve"> moistened with 0.5 mL reverse-osmosis water for 4 h. Observation for skin irritation was performed at 1, 24, 48 and 72 h after patch removal. Observations for signs of toxicity were made once daily. </w:t>
      </w:r>
      <w:r w:rsidRPr="00962673">
        <w:rPr>
          <w:rFonts w:eastAsia="Times New Roman"/>
          <w:lang w:eastAsia="en-AU"/>
        </w:rPr>
        <w:t>No dermal reaction was observed in any animal at any time point.</w:t>
      </w:r>
    </w:p>
    <w:p w:rsidR="00814520" w:rsidRDefault="00814520" w:rsidP="00962673">
      <w:pPr>
        <w:pStyle w:val="Heading6"/>
      </w:pPr>
      <w:r>
        <w:t xml:space="preserve">Eye </w:t>
      </w:r>
      <w:r w:rsidRPr="00962673">
        <w:t>irritation</w:t>
      </w:r>
    </w:p>
    <w:p w:rsidR="00814520" w:rsidRDefault="00814520" w:rsidP="00962673">
      <w:r>
        <w:t xml:space="preserve">Based on available data, </w:t>
      </w:r>
      <w:proofErr w:type="spellStart"/>
      <w:r>
        <w:t>tiafenacil</w:t>
      </w:r>
      <w:proofErr w:type="spellEnd"/>
      <w:r>
        <w:t xml:space="preserve"> is a slight eye irritant:</w:t>
      </w:r>
    </w:p>
    <w:p w:rsidR="00814520" w:rsidRPr="00962673" w:rsidRDefault="00814520" w:rsidP="00962673">
      <w:pPr>
        <w:pStyle w:val="ListBullet"/>
        <w:numPr>
          <w:ilvl w:val="0"/>
          <w:numId w:val="37"/>
        </w:numPr>
        <w:rPr>
          <w:rFonts w:eastAsiaTheme="majorEastAsia"/>
        </w:rPr>
      </w:pPr>
      <w:r>
        <w:t xml:space="preserve">Three female rabbits were administered 0.1 g </w:t>
      </w:r>
      <w:proofErr w:type="spellStart"/>
      <w:r>
        <w:t>tiafenacil</w:t>
      </w:r>
      <w:proofErr w:type="spellEnd"/>
      <w:r>
        <w:t xml:space="preserve"> (powder) by ocular instillation. The eyes of three rabbits were not washed after treatment. Observation for ocular irritation was performed at 1, 24, 48 and 72 h after instillation. Observations for signs of toxicity were made once daily. In the treated eyes, </w:t>
      </w:r>
      <w:r w:rsidRPr="00962673">
        <w:t>injection</w:t>
      </w:r>
      <w:r>
        <w:t xml:space="preserve"> of the conjunctival blood vessels (redness) was evident in all animals at 1 h after instillation, persisting in 2 animals at the 24-h observation, and in 1 animal at the 48 h observation. Very slight discharge was apparent at 1 h after instillation in 1 animal. The treated eyes of all animals were normal at the 72-h examination. No other treatment-related clinical signs were observed during the study. Under the study conditions described, </w:t>
      </w:r>
      <w:proofErr w:type="spellStart"/>
      <w:r>
        <w:t>tiafenacil</w:t>
      </w:r>
      <w:proofErr w:type="spellEnd"/>
      <w:r>
        <w:t xml:space="preserve"> was classified as ‘minimally irritating’ to the eye. It does not require classification and labelling as an eye irritant according to the European Commission regulation 1272/2008.</w:t>
      </w:r>
    </w:p>
    <w:p w:rsidR="00814520" w:rsidRDefault="00814520" w:rsidP="00962673">
      <w:pPr>
        <w:pStyle w:val="Heading6"/>
        <w:rPr>
          <w:rFonts w:eastAsiaTheme="majorEastAsia"/>
        </w:rPr>
      </w:pPr>
      <w:r w:rsidRPr="00962673">
        <w:rPr>
          <w:rFonts w:eastAsiaTheme="majorEastAsia"/>
        </w:rPr>
        <w:t>Sensitisation</w:t>
      </w:r>
    </w:p>
    <w:p w:rsidR="00814520" w:rsidRDefault="00814520" w:rsidP="00962673">
      <w:r>
        <w:t xml:space="preserve">Based on available data, </w:t>
      </w:r>
      <w:proofErr w:type="spellStart"/>
      <w:r>
        <w:rPr>
          <w:lang w:eastAsia="en-AU"/>
        </w:rPr>
        <w:t>tiafenacil</w:t>
      </w:r>
      <w:proofErr w:type="spellEnd"/>
      <w:r>
        <w:rPr>
          <w:lang w:eastAsia="en-AU"/>
        </w:rPr>
        <w:t xml:space="preserve"> is not a sensitiser in the guinea pig maximisation test (GPMT) or murine local lymph node assay (LLNA):</w:t>
      </w:r>
    </w:p>
    <w:p w:rsidR="00814520" w:rsidRDefault="00814520" w:rsidP="00962673">
      <w:pPr>
        <w:pStyle w:val="ListBullet"/>
        <w:numPr>
          <w:ilvl w:val="0"/>
          <w:numId w:val="37"/>
        </w:numPr>
      </w:pPr>
      <w:r>
        <w:t xml:space="preserve">In the GPMT, three pairs of intradermal injections were made into the dorsal skin of the scapular region; one group with FCA, another with 15% </w:t>
      </w:r>
      <w:proofErr w:type="spellStart"/>
      <w:r>
        <w:t>tiafenacil</w:t>
      </w:r>
      <w:proofErr w:type="spellEnd"/>
      <w:r>
        <w:t xml:space="preserve"> in PEG 300 and a third group with FCA plus 15% </w:t>
      </w:r>
      <w:proofErr w:type="spellStart"/>
      <w:r>
        <w:t>tiafenacil</w:t>
      </w:r>
      <w:proofErr w:type="spellEnd"/>
      <w:r>
        <w:t xml:space="preserve"> in PEG 300. On Test Day 8, a 2 x 4 cm patch of filter paper was saturated with the test item (~ 0.3 g) at 50% in PEG 300 (or PEG 300 only for the control animals) and placed over the injection sites for 48 h under an occlusive dressing (induction). The reaction sites were assessed for erythema and oedema on a scale of 0-3 according to the method of Magnusson and </w:t>
      </w:r>
      <w:proofErr w:type="spellStart"/>
      <w:r>
        <w:t>Kligman</w:t>
      </w:r>
      <w:proofErr w:type="spellEnd"/>
      <w:r>
        <w:t xml:space="preserve"> at 24 and 48 h after removal of the patches. Test and control animals were challenged 2 weeks after topical induction and treated in the same way as follows: filter paper patches (3 x 3 cm) saturated with the test item at 25% or the vehicle (PEG 300) applied under an occlusive dressing to the left and right flanks, respectively, and left in place for 24 h. The reaction sites were assessed for erythema and oedema at 24 and 48 h after patch removal as noted above. At induction, all control animals had skin reaction scores of 0, while 7 and 3 test animals had scores of 1 (discrete or patchy erythema) at 24 and 48 h, respectively.  At 24 and 48 h after topical challenge, all control and all test animals had skin reaction scores of 0 for both flanks. Under the conditions of this study, </w:t>
      </w:r>
      <w:proofErr w:type="spellStart"/>
      <w:r>
        <w:t>tiafenacil</w:t>
      </w:r>
      <w:proofErr w:type="spellEnd"/>
      <w:r>
        <w:t xml:space="preserve"> was not considered to be a skin sensitiser in the GPMT.</w:t>
      </w:r>
    </w:p>
    <w:p w:rsidR="00814520" w:rsidRDefault="00814520" w:rsidP="00962673">
      <w:pPr>
        <w:pStyle w:val="ListBullet"/>
        <w:numPr>
          <w:ilvl w:val="0"/>
          <w:numId w:val="37"/>
        </w:numPr>
      </w:pPr>
      <w:r>
        <w:lastRenderedPageBreak/>
        <w:t xml:space="preserve">In the murine LLNA, 5 groups of 5 female mice received a topical application of 0 (vehicle control), 10, 25 or 50% </w:t>
      </w:r>
      <w:proofErr w:type="spellStart"/>
      <w:r>
        <w:t>tiafenacil</w:t>
      </w:r>
      <w:proofErr w:type="spellEnd"/>
      <w:r>
        <w:t xml:space="preserve"> in </w:t>
      </w:r>
      <w:proofErr w:type="spellStart"/>
      <w:r>
        <w:t>dimethylformamide</w:t>
      </w:r>
      <w:proofErr w:type="spellEnd"/>
      <w:r>
        <w:t xml:space="preserve"> (DMF), or 25% of the positive control </w:t>
      </w:r>
      <w:r w:rsidRPr="00962673">
        <w:rPr>
          <w:rFonts w:eastAsia="SymbolMT"/>
        </w:rPr>
        <w:t xml:space="preserve">α-hexyl </w:t>
      </w:r>
      <w:proofErr w:type="spellStart"/>
      <w:r w:rsidRPr="00962673">
        <w:rPr>
          <w:rFonts w:eastAsia="SymbolMT"/>
        </w:rPr>
        <w:t>cinnamic</w:t>
      </w:r>
      <w:proofErr w:type="spellEnd"/>
      <w:r w:rsidRPr="00962673">
        <w:rPr>
          <w:rFonts w:eastAsia="SymbolMT"/>
        </w:rPr>
        <w:t xml:space="preserve"> aldehyde in DMF, for 3 consecutive days to both ears. </w:t>
      </w:r>
      <w:r>
        <w:t xml:space="preserve">Observations for signs of toxicity and local irritation were made once daily. </w:t>
      </w:r>
      <w:r w:rsidRPr="00962673">
        <w:rPr>
          <w:rFonts w:eastAsia="SymbolMT"/>
        </w:rPr>
        <w:t xml:space="preserve">On test day 6 of the assay, </w:t>
      </w:r>
      <w:r>
        <w:t>mice received in injection of PBS containing [methyl-</w:t>
      </w:r>
      <w:r w:rsidRPr="00962673">
        <w:t>3H</w:t>
      </w:r>
      <w:r>
        <w:t xml:space="preserve">]-thymidine into tail vein and were sacrificed 5-6 h later. Cell proliferation in the draining lymph nodes of the ears of mice from the test substance and positive control groups was then evaluated and compared to the vehicle control group. The stimulation indices (SI) for cell proliferation were 2.2, 2.0 and 2.0 at 10, 25 and 50% </w:t>
      </w:r>
      <w:proofErr w:type="spellStart"/>
      <w:r>
        <w:t>tiafenacil</w:t>
      </w:r>
      <w:proofErr w:type="spellEnd"/>
      <w:r>
        <w:t xml:space="preserve">, respectively. The positive control (SI = 11.9) confirmed the sensitivity of the assay. Under the study conditions described, </w:t>
      </w:r>
      <w:proofErr w:type="spellStart"/>
      <w:r>
        <w:t>tiafenacil</w:t>
      </w:r>
      <w:proofErr w:type="spellEnd"/>
      <w:r>
        <w:t xml:space="preserve"> was not a skin sensitiser in the LLNA.</w:t>
      </w:r>
    </w:p>
    <w:p w:rsidR="00814520" w:rsidRDefault="00814520" w:rsidP="00962673">
      <w:pPr>
        <w:pStyle w:val="Heading6"/>
        <w:rPr>
          <w:rFonts w:eastAsiaTheme="majorEastAsia"/>
        </w:rPr>
      </w:pPr>
      <w:r>
        <w:rPr>
          <w:rFonts w:eastAsiaTheme="majorEastAsia"/>
        </w:rPr>
        <w:t>Repeat-</w:t>
      </w:r>
      <w:r w:rsidRPr="00962673">
        <w:rPr>
          <w:rFonts w:eastAsiaTheme="majorEastAsia"/>
        </w:rPr>
        <w:t>dose</w:t>
      </w:r>
      <w:r>
        <w:rPr>
          <w:rFonts w:eastAsiaTheme="majorEastAsia"/>
        </w:rPr>
        <w:t xml:space="preserve"> toxicity</w:t>
      </w:r>
    </w:p>
    <w:p w:rsidR="00814520" w:rsidRDefault="00814520" w:rsidP="00962673">
      <w:r>
        <w:t xml:space="preserve">In 28-day mouse and rat dietary studies, there were no treatment-related mortalities or clinical signs. Changes in erythroid parameters (reductions in </w:t>
      </w:r>
      <w:proofErr w:type="spellStart"/>
      <w:r>
        <w:t>Hb</w:t>
      </w:r>
      <w:proofErr w:type="spellEnd"/>
      <w:r>
        <w:t xml:space="preserve">, </w:t>
      </w:r>
      <w:proofErr w:type="spellStart"/>
      <w:r>
        <w:t>Hct</w:t>
      </w:r>
      <w:proofErr w:type="spellEnd"/>
      <w:r>
        <w:t>, RBC, MCH, MCV and MCHC, and increases in RDW) were observed in both sexes at all doses. Liver and spleen weights were increased. In mice, histological findings were observed in the liver (</w:t>
      </w:r>
      <w:proofErr w:type="spellStart"/>
      <w:r>
        <w:t>centrilobular</w:t>
      </w:r>
      <w:proofErr w:type="spellEnd"/>
      <w:r>
        <w:t xml:space="preserve"> hepatocellular hypertrophy). In mice and rats, extramedullary haematopoiesis was seen in spleen at all doses (from 75-90 m</w:t>
      </w:r>
      <w:r w:rsidR="00962673">
        <w:t xml:space="preserve">g/kg </w:t>
      </w:r>
      <w:proofErr w:type="spellStart"/>
      <w:r w:rsidR="00962673">
        <w:t>bw</w:t>
      </w:r>
      <w:proofErr w:type="spellEnd"/>
      <w:r w:rsidR="00962673">
        <w:t>/d m/f in both species).</w:t>
      </w:r>
    </w:p>
    <w:p w:rsidR="00814520" w:rsidRDefault="00814520" w:rsidP="00962673">
      <w:r>
        <w:t xml:space="preserve">In a 28-day rat dermal study, there was little evidence of systemic toxicity (no mortalities, clinical signs, changes in body weights / organ weights or food consumption, changes in clinical chemistry or in erythroid parameters parameters), although liver focal necrosis was observed in 2/5 females at the highest dose (1000 mg/kg </w:t>
      </w:r>
      <w:proofErr w:type="spellStart"/>
      <w:r>
        <w:t>bw</w:t>
      </w:r>
      <w:proofErr w:type="spellEnd"/>
      <w:r>
        <w:t>/day). There was no evidence of a local irritant effect.</w:t>
      </w:r>
    </w:p>
    <w:p w:rsidR="00814520" w:rsidRPr="00962673" w:rsidRDefault="00814520" w:rsidP="00962673">
      <w:pPr>
        <w:rPr>
          <w:lang w:eastAsia="en-AU"/>
        </w:rPr>
      </w:pPr>
      <w:r>
        <w:rPr>
          <w:rFonts w:cs="TimesNewRoman"/>
          <w:lang w:eastAsia="en-AU"/>
        </w:rPr>
        <w:t xml:space="preserve">In 90-day mouse and rat dietary studies, there were no mortalities, clinical signs or ophthalmic changes. Reductions in </w:t>
      </w:r>
      <w:proofErr w:type="spellStart"/>
      <w:r>
        <w:rPr>
          <w:lang w:eastAsia="en-AU"/>
        </w:rPr>
        <w:t>Hb</w:t>
      </w:r>
      <w:proofErr w:type="spellEnd"/>
      <w:r>
        <w:rPr>
          <w:lang w:eastAsia="en-AU"/>
        </w:rPr>
        <w:t xml:space="preserve">, </w:t>
      </w:r>
      <w:proofErr w:type="spellStart"/>
      <w:r>
        <w:rPr>
          <w:lang w:eastAsia="en-AU"/>
        </w:rPr>
        <w:t>Hct</w:t>
      </w:r>
      <w:proofErr w:type="spellEnd"/>
      <w:r>
        <w:rPr>
          <w:lang w:eastAsia="en-AU"/>
        </w:rPr>
        <w:t xml:space="preserve">, MCH and MCV were observed, with increases in reticulocytes, RBC and RDW in both sexes, with significant changes mainly observed at ≥330 ppm (25-28 mg/kg </w:t>
      </w:r>
      <w:proofErr w:type="spellStart"/>
      <w:r>
        <w:rPr>
          <w:lang w:eastAsia="en-AU"/>
        </w:rPr>
        <w:t>bw</w:t>
      </w:r>
      <w:proofErr w:type="spellEnd"/>
      <w:r>
        <w:rPr>
          <w:lang w:eastAsia="en-AU"/>
        </w:rPr>
        <w:t xml:space="preserve">/d) in rats and at ≥250 ppm (39-43 mg/kg </w:t>
      </w:r>
      <w:proofErr w:type="spellStart"/>
      <w:r>
        <w:rPr>
          <w:lang w:eastAsia="en-AU"/>
        </w:rPr>
        <w:t>bw</w:t>
      </w:r>
      <w:proofErr w:type="spellEnd"/>
      <w:r>
        <w:rPr>
          <w:lang w:eastAsia="en-AU"/>
        </w:rPr>
        <w:t xml:space="preserve">/d) in mice. In both species, spleen weight, splenic enlargement and increased extramedullary haematopoiesis were observed at ≥1100 ppm (84-94 mg/kg </w:t>
      </w:r>
      <w:proofErr w:type="spellStart"/>
      <w:r>
        <w:rPr>
          <w:lang w:eastAsia="en-AU"/>
        </w:rPr>
        <w:t>bw</w:t>
      </w:r>
      <w:proofErr w:type="spellEnd"/>
      <w:r>
        <w:rPr>
          <w:lang w:eastAsia="en-AU"/>
        </w:rPr>
        <w:t xml:space="preserve">/d) in rats and ≥250 ppm (39-43 mg/kg </w:t>
      </w:r>
      <w:proofErr w:type="spellStart"/>
      <w:r>
        <w:rPr>
          <w:lang w:eastAsia="en-AU"/>
        </w:rPr>
        <w:t>bw</w:t>
      </w:r>
      <w:proofErr w:type="spellEnd"/>
      <w:r>
        <w:rPr>
          <w:lang w:eastAsia="en-AU"/>
        </w:rPr>
        <w:t xml:space="preserve">/d) in mice. Histological findings in the liver were </w:t>
      </w:r>
      <w:proofErr w:type="spellStart"/>
      <w:r>
        <w:rPr>
          <w:lang w:eastAsia="en-AU"/>
        </w:rPr>
        <w:t>centrilobular</w:t>
      </w:r>
      <w:proofErr w:type="spellEnd"/>
      <w:r>
        <w:rPr>
          <w:lang w:eastAsia="en-AU"/>
        </w:rPr>
        <w:t xml:space="preserve"> hepatocyte </w:t>
      </w:r>
      <w:proofErr w:type="spellStart"/>
      <w:r>
        <w:rPr>
          <w:lang w:eastAsia="en-AU"/>
        </w:rPr>
        <w:t>vacuolation</w:t>
      </w:r>
      <w:proofErr w:type="spellEnd"/>
      <w:r>
        <w:rPr>
          <w:lang w:eastAsia="en-AU"/>
        </w:rPr>
        <w:t xml:space="preserve">, single cell hepatocyte necrosis, pigmented </w:t>
      </w:r>
      <w:proofErr w:type="spellStart"/>
      <w:r>
        <w:rPr>
          <w:lang w:eastAsia="en-AU"/>
        </w:rPr>
        <w:t>Kupffer</w:t>
      </w:r>
      <w:proofErr w:type="spellEnd"/>
      <w:r>
        <w:rPr>
          <w:lang w:eastAsia="en-AU"/>
        </w:rPr>
        <w:t xml:space="preserve"> cells, and mitotic figures in both species, with males being more sensitive than females.</w:t>
      </w:r>
    </w:p>
    <w:p w:rsidR="00814520" w:rsidRDefault="00814520" w:rsidP="00962673">
      <w:pPr>
        <w:rPr>
          <w:lang w:eastAsia="en-AU"/>
        </w:rPr>
      </w:pPr>
      <w:r>
        <w:rPr>
          <w:rFonts w:cs="TimesNewRoman"/>
          <w:lang w:eastAsia="en-AU"/>
        </w:rPr>
        <w:t xml:space="preserve">In 90-day and 52-week oral dog studies, there were no mortalities, clinical signs or ophthalmic changes. There were </w:t>
      </w:r>
      <w:r>
        <w:rPr>
          <w:lang w:eastAsia="en-AU"/>
        </w:rPr>
        <w:t>reductions in erythroid parameters (</w:t>
      </w:r>
      <w:proofErr w:type="spellStart"/>
      <w:r>
        <w:rPr>
          <w:lang w:eastAsia="en-AU"/>
        </w:rPr>
        <w:t>Hb</w:t>
      </w:r>
      <w:proofErr w:type="spellEnd"/>
      <w:r>
        <w:rPr>
          <w:lang w:eastAsia="en-AU"/>
        </w:rPr>
        <w:t xml:space="preserve">, </w:t>
      </w:r>
      <w:proofErr w:type="spellStart"/>
      <w:r>
        <w:rPr>
          <w:lang w:eastAsia="en-AU"/>
        </w:rPr>
        <w:t>Hct</w:t>
      </w:r>
      <w:proofErr w:type="spellEnd"/>
      <w:r>
        <w:rPr>
          <w:lang w:eastAsia="en-AU"/>
        </w:rPr>
        <w:t xml:space="preserve">, MCH, MCV and MCHC) and significantly increased platelet counts, generally significant at 250 </w:t>
      </w:r>
      <w:r>
        <w:rPr>
          <w:rFonts w:cs="TimesNewRoman"/>
          <w:lang w:eastAsia="en-AU"/>
        </w:rPr>
        <w:t xml:space="preserve">mg/kg </w:t>
      </w:r>
      <w:proofErr w:type="spellStart"/>
      <w:r>
        <w:rPr>
          <w:rFonts w:cs="TimesNewRoman"/>
          <w:lang w:eastAsia="en-AU"/>
        </w:rPr>
        <w:t>bw</w:t>
      </w:r>
      <w:proofErr w:type="spellEnd"/>
      <w:r>
        <w:rPr>
          <w:rFonts w:cs="TimesNewRoman"/>
          <w:lang w:eastAsia="en-AU"/>
        </w:rPr>
        <w:t>/day</w:t>
      </w:r>
      <w:r>
        <w:rPr>
          <w:lang w:eastAsia="en-AU"/>
        </w:rPr>
        <w:t xml:space="preserve"> in 90-d study and </w:t>
      </w:r>
      <w:r>
        <w:rPr>
          <w:rFonts w:cs="TimesNewRoman"/>
          <w:lang w:eastAsia="en-AU"/>
        </w:rPr>
        <w:t xml:space="preserve">120 mg/kg </w:t>
      </w:r>
      <w:proofErr w:type="spellStart"/>
      <w:r>
        <w:rPr>
          <w:rFonts w:cs="TimesNewRoman"/>
          <w:lang w:eastAsia="en-AU"/>
        </w:rPr>
        <w:t>bw</w:t>
      </w:r>
      <w:proofErr w:type="spellEnd"/>
      <w:r>
        <w:rPr>
          <w:rFonts w:cs="TimesNewRoman"/>
          <w:lang w:eastAsia="en-AU"/>
        </w:rPr>
        <w:t>/day in 52-week study.</w:t>
      </w:r>
      <w:r>
        <w:rPr>
          <w:lang w:eastAsia="en-AU"/>
        </w:rPr>
        <w:t xml:space="preserve"> The main histological findings observed in both studies were pigmented macrophages and extramedullary haematopoiesis in the spleen and increased cellularity of sternal and femoral bone marrow at ≥50 </w:t>
      </w:r>
      <w:r>
        <w:rPr>
          <w:rFonts w:cs="TimesNewRoman"/>
          <w:lang w:eastAsia="en-AU"/>
        </w:rPr>
        <w:t xml:space="preserve">mg/kg </w:t>
      </w:r>
      <w:proofErr w:type="spellStart"/>
      <w:r>
        <w:rPr>
          <w:rFonts w:cs="TimesNewRoman"/>
          <w:lang w:eastAsia="en-AU"/>
        </w:rPr>
        <w:t>bw</w:t>
      </w:r>
      <w:proofErr w:type="spellEnd"/>
      <w:r>
        <w:rPr>
          <w:rFonts w:cs="TimesNewRoman"/>
          <w:lang w:eastAsia="en-AU"/>
        </w:rPr>
        <w:t>/day</w:t>
      </w:r>
      <w:r>
        <w:rPr>
          <w:lang w:eastAsia="en-AU"/>
        </w:rPr>
        <w:t xml:space="preserve"> and at 250 </w:t>
      </w:r>
      <w:r>
        <w:rPr>
          <w:rFonts w:cs="TimesNewRoman"/>
          <w:lang w:eastAsia="en-AU"/>
        </w:rPr>
        <w:t xml:space="preserve">mg/kg </w:t>
      </w:r>
      <w:proofErr w:type="spellStart"/>
      <w:r>
        <w:rPr>
          <w:rFonts w:cs="TimesNewRoman"/>
          <w:lang w:eastAsia="en-AU"/>
        </w:rPr>
        <w:t>bw</w:t>
      </w:r>
      <w:proofErr w:type="spellEnd"/>
      <w:r>
        <w:rPr>
          <w:rFonts w:cs="TimesNewRoman"/>
          <w:lang w:eastAsia="en-AU"/>
        </w:rPr>
        <w:t>/day</w:t>
      </w:r>
      <w:r>
        <w:rPr>
          <w:lang w:eastAsia="en-AU"/>
        </w:rPr>
        <w:t xml:space="preserve"> in 90-d and 52-week studies, respectively, with increased prothrombin seen in females at &gt; 20 mg/kg </w:t>
      </w:r>
      <w:proofErr w:type="spellStart"/>
      <w:r>
        <w:rPr>
          <w:lang w:eastAsia="en-AU"/>
        </w:rPr>
        <w:t>bw</w:t>
      </w:r>
      <w:proofErr w:type="spellEnd"/>
      <w:r>
        <w:rPr>
          <w:lang w:eastAsia="en-AU"/>
        </w:rPr>
        <w:t>/d in the latter study.</w:t>
      </w:r>
    </w:p>
    <w:p w:rsidR="00814520" w:rsidRPr="00962673" w:rsidRDefault="00962673" w:rsidP="00962673">
      <w:pPr>
        <w:pStyle w:val="Heading6"/>
        <w:rPr>
          <w:rFonts w:eastAsiaTheme="majorEastAsia"/>
        </w:rPr>
      </w:pPr>
      <w:r>
        <w:rPr>
          <w:rFonts w:eastAsiaTheme="majorEastAsia"/>
        </w:rPr>
        <w:t>Genotoxicity</w:t>
      </w:r>
    </w:p>
    <w:p w:rsidR="00814520" w:rsidRDefault="00814520" w:rsidP="00962673">
      <w:pPr>
        <w:rPr>
          <w:rFonts w:eastAsiaTheme="majorEastAsia"/>
        </w:rPr>
      </w:pPr>
      <w:r>
        <w:rPr>
          <w:rFonts w:eastAsia="Times New Roman"/>
          <w:lang w:eastAsia="en-AU"/>
        </w:rPr>
        <w:t xml:space="preserve">An adequate battery of genotoxicity studies was conducted with </w:t>
      </w:r>
      <w:proofErr w:type="spellStart"/>
      <w:r>
        <w:rPr>
          <w:rFonts w:eastAsia="Times New Roman"/>
          <w:lang w:eastAsia="en-AU"/>
        </w:rPr>
        <w:t>tiafenacil</w:t>
      </w:r>
      <w:proofErr w:type="spellEnd"/>
      <w:r>
        <w:rPr>
          <w:rFonts w:eastAsia="Times New Roman"/>
          <w:lang w:eastAsia="en-AU"/>
        </w:rPr>
        <w:t>.</w:t>
      </w:r>
      <w:r>
        <w:t xml:space="preserve"> These studies included 3 </w:t>
      </w:r>
      <w:r>
        <w:rPr>
          <w:i/>
        </w:rPr>
        <w:t>in vitro</w:t>
      </w:r>
      <w:r>
        <w:t xml:space="preserve"> studies (a point mutation/bacterial reverse mutation assay in Salmonella typhimurium and Escherichia coli strains, a chromosomal aberration assay in human lymphocytes and a mammalian gene mutation study at the </w:t>
      </w:r>
      <w:proofErr w:type="spellStart"/>
      <w:r>
        <w:t>Tk</w:t>
      </w:r>
      <w:proofErr w:type="spellEnd"/>
      <w:r>
        <w:t xml:space="preserve"> locus in mouse lymphoma L5178Y cells) and an </w:t>
      </w:r>
      <w:r>
        <w:rPr>
          <w:i/>
        </w:rPr>
        <w:t>in vivo</w:t>
      </w:r>
      <w:r>
        <w:t xml:space="preserve"> study (mouse bone marrow micronucleus test). Studies showed no evidence of a genotoxic potential for </w:t>
      </w:r>
      <w:proofErr w:type="spellStart"/>
      <w:r>
        <w:t>tiafenacil</w:t>
      </w:r>
      <w:proofErr w:type="spellEnd"/>
      <w:r>
        <w:t>.</w:t>
      </w:r>
    </w:p>
    <w:p w:rsidR="00814520" w:rsidRDefault="00814520" w:rsidP="00962673">
      <w:pPr>
        <w:pStyle w:val="Heading6"/>
        <w:rPr>
          <w:rFonts w:eastAsiaTheme="majorEastAsia"/>
        </w:rPr>
      </w:pPr>
      <w:r w:rsidRPr="00962673">
        <w:rPr>
          <w:rFonts w:eastAsiaTheme="majorEastAsia"/>
        </w:rPr>
        <w:lastRenderedPageBreak/>
        <w:t>Carcinogenicity</w:t>
      </w:r>
    </w:p>
    <w:p w:rsidR="00814520" w:rsidRDefault="00814520" w:rsidP="00962673">
      <w:r>
        <w:t xml:space="preserve">A 78-week dietary study in mice and a 104-week dietary study in rats, revealed no evidence for carcinogenic potential of </w:t>
      </w:r>
      <w:proofErr w:type="spellStart"/>
      <w:r>
        <w:t>tiafenacil</w:t>
      </w:r>
      <w:proofErr w:type="spellEnd"/>
      <w:r>
        <w:t>.</w:t>
      </w:r>
    </w:p>
    <w:p w:rsidR="00814520" w:rsidRPr="00962673" w:rsidRDefault="00814520" w:rsidP="00962673">
      <w:pPr>
        <w:rPr>
          <w:lang w:eastAsia="en-AU"/>
        </w:rPr>
      </w:pPr>
      <w:r>
        <w:rPr>
          <w:lang w:eastAsia="en-AU"/>
        </w:rPr>
        <w:t>In the mouse study, there no treatment-related clinical signs or effects on differential leucocyte count or morphology. Liver weight was increased, mainly in males at 75 ppm (8 – 33 m/f), and was associated with abnormal colour and masses, mainly in males at this dose. A number of non-neoplastic lesions in the liver (</w:t>
      </w:r>
      <w:proofErr w:type="spellStart"/>
      <w:r>
        <w:rPr>
          <w:lang w:eastAsia="en-AU"/>
        </w:rPr>
        <w:t>centrilobular</w:t>
      </w:r>
      <w:proofErr w:type="spellEnd"/>
      <w:r>
        <w:rPr>
          <w:lang w:eastAsia="en-AU"/>
        </w:rPr>
        <w:t xml:space="preserve"> hepatocellular hypertrophy and increased incidences of </w:t>
      </w:r>
      <w:proofErr w:type="spellStart"/>
      <w:r>
        <w:rPr>
          <w:lang w:eastAsia="en-AU"/>
        </w:rPr>
        <w:t>centrilobular</w:t>
      </w:r>
      <w:proofErr w:type="spellEnd"/>
      <w:r>
        <w:rPr>
          <w:lang w:eastAsia="en-AU"/>
        </w:rPr>
        <w:t xml:space="preserve"> hepatocyte </w:t>
      </w:r>
      <w:proofErr w:type="spellStart"/>
      <w:r>
        <w:rPr>
          <w:lang w:eastAsia="en-AU"/>
        </w:rPr>
        <w:t>vacuolation</w:t>
      </w:r>
      <w:proofErr w:type="spellEnd"/>
      <w:r>
        <w:rPr>
          <w:lang w:eastAsia="en-AU"/>
        </w:rPr>
        <w:t xml:space="preserve">, single cell hepatocyte necrosis, pigmented </w:t>
      </w:r>
      <w:proofErr w:type="spellStart"/>
      <w:r>
        <w:rPr>
          <w:lang w:eastAsia="en-AU"/>
        </w:rPr>
        <w:t>Kupffer</w:t>
      </w:r>
      <w:proofErr w:type="spellEnd"/>
      <w:r>
        <w:rPr>
          <w:lang w:eastAsia="en-AU"/>
        </w:rPr>
        <w:t xml:space="preserve"> cells and foci of clear cell alteration) were observed, mainly in males at 75 ppm, although </w:t>
      </w:r>
      <w:proofErr w:type="spellStart"/>
      <w:r>
        <w:rPr>
          <w:lang w:eastAsia="en-AU"/>
        </w:rPr>
        <w:t>centrilobular</w:t>
      </w:r>
      <w:proofErr w:type="spellEnd"/>
      <w:r>
        <w:rPr>
          <w:lang w:eastAsia="en-AU"/>
        </w:rPr>
        <w:t xml:space="preserve"> hepatocellular hypertrophy and increased incidence of pigmented </w:t>
      </w:r>
      <w:proofErr w:type="spellStart"/>
      <w:r>
        <w:rPr>
          <w:lang w:eastAsia="en-AU"/>
        </w:rPr>
        <w:t>Kupffer</w:t>
      </w:r>
      <w:proofErr w:type="spellEnd"/>
      <w:r>
        <w:rPr>
          <w:lang w:eastAsia="en-AU"/>
        </w:rPr>
        <w:t xml:space="preserve"> cells were also observed in males at 10 ppm (1.1 mg/kg </w:t>
      </w:r>
      <w:proofErr w:type="spellStart"/>
      <w:r>
        <w:rPr>
          <w:lang w:eastAsia="en-AU"/>
        </w:rPr>
        <w:t>bw</w:t>
      </w:r>
      <w:proofErr w:type="spellEnd"/>
      <w:r>
        <w:rPr>
          <w:lang w:eastAsia="en-AU"/>
        </w:rPr>
        <w:t xml:space="preserve">/d) and </w:t>
      </w:r>
      <w:proofErr w:type="spellStart"/>
      <w:r>
        <w:rPr>
          <w:lang w:eastAsia="en-AU"/>
        </w:rPr>
        <w:t>centrilobular</w:t>
      </w:r>
      <w:proofErr w:type="spellEnd"/>
      <w:r>
        <w:rPr>
          <w:lang w:eastAsia="en-AU"/>
        </w:rPr>
        <w:t xml:space="preserve"> </w:t>
      </w:r>
      <w:proofErr w:type="spellStart"/>
      <w:r>
        <w:rPr>
          <w:lang w:eastAsia="en-AU"/>
        </w:rPr>
        <w:t>vacuolation</w:t>
      </w:r>
      <w:proofErr w:type="spellEnd"/>
      <w:r>
        <w:rPr>
          <w:lang w:eastAsia="en-AU"/>
        </w:rPr>
        <w:t xml:space="preserve"> in females at 10 ppm (9.7 mg/kg </w:t>
      </w:r>
      <w:proofErr w:type="spellStart"/>
      <w:r>
        <w:rPr>
          <w:lang w:eastAsia="en-AU"/>
        </w:rPr>
        <w:t>bw</w:t>
      </w:r>
      <w:proofErr w:type="spellEnd"/>
      <w:r>
        <w:rPr>
          <w:lang w:eastAsia="en-AU"/>
        </w:rPr>
        <w:t>/d). Spleen weights were also increased in males at ≥10 ppm without histological correlates.</w:t>
      </w:r>
    </w:p>
    <w:p w:rsidR="00814520" w:rsidRDefault="00814520" w:rsidP="00962673">
      <w:pPr>
        <w:rPr>
          <w:lang w:eastAsia="en-AU"/>
        </w:rPr>
      </w:pPr>
      <w:r>
        <w:rPr>
          <w:lang w:eastAsia="en-AU"/>
        </w:rPr>
        <w:t>In the rat study, there were significant decreases in erythroid parameters (</w:t>
      </w:r>
      <w:proofErr w:type="spellStart"/>
      <w:r>
        <w:rPr>
          <w:lang w:eastAsia="en-AU"/>
        </w:rPr>
        <w:t>Hb</w:t>
      </w:r>
      <w:proofErr w:type="spellEnd"/>
      <w:r>
        <w:rPr>
          <w:lang w:eastAsia="en-AU"/>
        </w:rPr>
        <w:t xml:space="preserve">, </w:t>
      </w:r>
      <w:proofErr w:type="spellStart"/>
      <w:r>
        <w:rPr>
          <w:lang w:eastAsia="en-AU"/>
        </w:rPr>
        <w:t>Hct</w:t>
      </w:r>
      <w:proofErr w:type="spellEnd"/>
      <w:r>
        <w:rPr>
          <w:lang w:eastAsia="en-AU"/>
        </w:rPr>
        <w:t xml:space="preserve">, RBC, MCH, and MCV) in males at 500 ppm (28 mg/kg </w:t>
      </w:r>
      <w:proofErr w:type="spellStart"/>
      <w:r>
        <w:rPr>
          <w:lang w:eastAsia="en-AU"/>
        </w:rPr>
        <w:t>bw</w:t>
      </w:r>
      <w:proofErr w:type="spellEnd"/>
      <w:r>
        <w:rPr>
          <w:lang w:eastAsia="en-AU"/>
        </w:rPr>
        <w:t xml:space="preserve">/d) and females at 1000 ppm (72 mg/kg </w:t>
      </w:r>
      <w:proofErr w:type="spellStart"/>
      <w:r>
        <w:rPr>
          <w:lang w:eastAsia="en-AU"/>
        </w:rPr>
        <w:t>bw</w:t>
      </w:r>
      <w:proofErr w:type="spellEnd"/>
      <w:r>
        <w:rPr>
          <w:lang w:eastAsia="en-AU"/>
        </w:rPr>
        <w:t>/d). In females at 1000 ppm, there were significant increases in WBC (associated with increases in lymphocytes) and platelets, with similar, but less marked trends in males at 500 ppm. Spleen weights were increased in males at 500 ppm and females at 1000 ppm. This correlated with increased incidences of haematopoiesis in the spleen, mainly females at 1000 ppm. Increased incidences of haematopoiesis were also observed in femoral and sternal bone marrow in females only at 1000 ppm. There were no treatment-related changes in liver weight, but increased incidences of biliary hyperplasia were observed in both sexes (at 500 ppm in males and 1000 ppm in females).</w:t>
      </w:r>
    </w:p>
    <w:p w:rsidR="00814520" w:rsidRDefault="00814520" w:rsidP="00962673">
      <w:pPr>
        <w:pStyle w:val="Heading6"/>
        <w:rPr>
          <w:rFonts w:eastAsiaTheme="majorEastAsia"/>
        </w:rPr>
      </w:pPr>
      <w:r>
        <w:rPr>
          <w:rFonts w:eastAsiaTheme="majorEastAsia"/>
        </w:rPr>
        <w:t xml:space="preserve">Reproduction and developmental </w:t>
      </w:r>
      <w:r w:rsidRPr="00962673">
        <w:rPr>
          <w:rFonts w:eastAsiaTheme="majorEastAsia"/>
        </w:rPr>
        <w:t>toxicity</w:t>
      </w:r>
    </w:p>
    <w:p w:rsidR="00814520" w:rsidRDefault="00814520" w:rsidP="00814520">
      <w:r>
        <w:t>In a one-generation reproduction study in rats, reduced erythro</w:t>
      </w:r>
      <w:r w:rsidRPr="00962673">
        <w:t>i</w:t>
      </w:r>
      <w:r>
        <w:t xml:space="preserve">d parameters were seen in both sexes at 1000 ppm (69/81 mg/kg </w:t>
      </w:r>
      <w:proofErr w:type="spellStart"/>
      <w:r>
        <w:t>bw</w:t>
      </w:r>
      <w:proofErr w:type="spellEnd"/>
      <w:r>
        <w:t xml:space="preserve">/day m/f) with more severe effects in males than females. At 100 ppm (6.6/8.5 mg/kg </w:t>
      </w:r>
      <w:proofErr w:type="spellStart"/>
      <w:r>
        <w:t>bw</w:t>
      </w:r>
      <w:proofErr w:type="spellEnd"/>
      <w:r>
        <w:t>/day m/f), there were no treatment related effects, except for significantly increased liver porphyrin concentrations in both sexes. No changes in erythroid parameters were observed at this dose.</w:t>
      </w:r>
    </w:p>
    <w:p w:rsidR="00814520" w:rsidRDefault="00814520" w:rsidP="00962673">
      <w:pPr>
        <w:rPr>
          <w:rFonts w:eastAsia="Times New Roman"/>
          <w:lang w:eastAsia="en-AU"/>
        </w:rPr>
      </w:pPr>
      <w:r>
        <w:t xml:space="preserve">In the 2-generation reproduction study in rats, there were no treatment-related mortalities or clinical </w:t>
      </w:r>
      <w:r>
        <w:rPr>
          <w:bCs/>
        </w:rPr>
        <w:t>signs in the F</w:t>
      </w:r>
      <w:r>
        <w:rPr>
          <w:bCs/>
          <w:vertAlign w:val="subscript"/>
        </w:rPr>
        <w:t xml:space="preserve">0 </w:t>
      </w:r>
      <w:r>
        <w:rPr>
          <w:bCs/>
        </w:rPr>
        <w:t>or F</w:t>
      </w:r>
      <w:r>
        <w:rPr>
          <w:bCs/>
          <w:vertAlign w:val="subscript"/>
        </w:rPr>
        <w:t xml:space="preserve">1 </w:t>
      </w:r>
      <w:r>
        <w:rPr>
          <w:bCs/>
        </w:rPr>
        <w:t>parents, with no clear</w:t>
      </w:r>
      <w:r>
        <w:t xml:space="preserve"> treatment-related haematological changes and no treatment-related clinical chemistry or gross pathological findings, organ weight or histological changes in reproductive organs, pituitary or adrenals. In F</w:t>
      </w:r>
      <w:r>
        <w:rPr>
          <w:vertAlign w:val="subscript"/>
        </w:rPr>
        <w:t>0</w:t>
      </w:r>
      <w:r>
        <w:t xml:space="preserve"> or F</w:t>
      </w:r>
      <w:r>
        <w:rPr>
          <w:vertAlign w:val="subscript"/>
        </w:rPr>
        <w:t>1</w:t>
      </w:r>
      <w:r>
        <w:t xml:space="preserve"> parents, treatment did not affect </w:t>
      </w:r>
      <w:r>
        <w:rPr>
          <w:bCs/>
        </w:rPr>
        <w:t>reproductive performance (</w:t>
      </w:r>
      <w:r>
        <w:t xml:space="preserve">oestrus cycling, mating, fertility, gestation or pregnancy parameters, or the number of live or dead pups delivered nor sperm parameters in males). </w:t>
      </w:r>
      <w:r>
        <w:rPr>
          <w:rFonts w:eastAsia="Times New Roman"/>
          <w:lang w:eastAsia="en-AU"/>
        </w:rPr>
        <w:t>In F</w:t>
      </w:r>
      <w:r>
        <w:rPr>
          <w:rFonts w:eastAsia="Times New Roman"/>
          <w:vertAlign w:val="subscript"/>
          <w:lang w:eastAsia="en-AU"/>
        </w:rPr>
        <w:t>1</w:t>
      </w:r>
      <w:r>
        <w:rPr>
          <w:rFonts w:eastAsia="Times New Roman"/>
          <w:lang w:eastAsia="en-AU"/>
        </w:rPr>
        <w:t xml:space="preserve"> or F</w:t>
      </w:r>
      <w:r>
        <w:rPr>
          <w:rFonts w:eastAsia="Times New Roman"/>
          <w:vertAlign w:val="subscript"/>
          <w:lang w:eastAsia="en-AU"/>
        </w:rPr>
        <w:t>2</w:t>
      </w:r>
      <w:r>
        <w:rPr>
          <w:rFonts w:eastAsia="Times New Roman"/>
          <w:lang w:eastAsia="en-AU"/>
        </w:rPr>
        <w:t xml:space="preserve"> pups, there were no treatment-related clinical signs and there was no effect on pup viability indices, body weight gains, gross pathological findings or organ weights (incl. spleen). Liver porphyrin concentrations increased significantly in both sexes in F</w:t>
      </w:r>
      <w:r>
        <w:rPr>
          <w:rFonts w:eastAsia="Times New Roman"/>
          <w:vertAlign w:val="subscript"/>
          <w:lang w:eastAsia="en-AU"/>
        </w:rPr>
        <w:t>0</w:t>
      </w:r>
      <w:r>
        <w:rPr>
          <w:rFonts w:eastAsia="Times New Roman"/>
          <w:lang w:eastAsia="en-AU"/>
        </w:rPr>
        <w:t xml:space="preserve"> parents and F</w:t>
      </w:r>
      <w:r>
        <w:rPr>
          <w:rFonts w:eastAsia="Times New Roman"/>
          <w:vertAlign w:val="subscript"/>
          <w:lang w:eastAsia="en-AU"/>
        </w:rPr>
        <w:t>1</w:t>
      </w:r>
      <w:r>
        <w:rPr>
          <w:rFonts w:eastAsia="Times New Roman"/>
          <w:lang w:eastAsia="en-AU"/>
        </w:rPr>
        <w:t xml:space="preserve"> weanlings at 150 ppm (6.4-8.6 </w:t>
      </w:r>
      <w:r>
        <w:t xml:space="preserve">mg/kg </w:t>
      </w:r>
      <w:proofErr w:type="spellStart"/>
      <w:r>
        <w:t>bw</w:t>
      </w:r>
      <w:proofErr w:type="spellEnd"/>
      <w:r>
        <w:t>/day)</w:t>
      </w:r>
      <w:r>
        <w:rPr>
          <w:rFonts w:eastAsia="Times New Roman"/>
          <w:lang w:eastAsia="en-AU"/>
        </w:rPr>
        <w:t>. There were no changes in erythroid parameters at any dose.</w:t>
      </w:r>
    </w:p>
    <w:p w:rsidR="00814520" w:rsidRDefault="00814520" w:rsidP="00962673">
      <w:pPr>
        <w:rPr>
          <w:bCs/>
          <w:szCs w:val="20"/>
        </w:rPr>
      </w:pPr>
      <w:r>
        <w:rPr>
          <w:bCs/>
          <w:szCs w:val="20"/>
        </w:rPr>
        <w:t xml:space="preserve">Developmental toxicity studies were carried out in rats and rabbits. </w:t>
      </w:r>
      <w:r>
        <w:rPr>
          <w:lang w:eastAsia="en-AU"/>
        </w:rPr>
        <w:t xml:space="preserve">In rats, reproductive performance parameters were not affected by treatment, except for a significant reduction in </w:t>
      </w:r>
      <w:proofErr w:type="spellStart"/>
      <w:r>
        <w:rPr>
          <w:lang w:eastAsia="en-AU"/>
        </w:rPr>
        <w:t>fetal</w:t>
      </w:r>
      <w:proofErr w:type="spellEnd"/>
      <w:r>
        <w:rPr>
          <w:lang w:eastAsia="en-AU"/>
        </w:rPr>
        <w:t xml:space="preserve"> weight at 50 mg/kg </w:t>
      </w:r>
      <w:proofErr w:type="spellStart"/>
      <w:r>
        <w:rPr>
          <w:lang w:eastAsia="en-AU"/>
        </w:rPr>
        <w:t>bw</w:t>
      </w:r>
      <w:proofErr w:type="spellEnd"/>
      <w:r>
        <w:rPr>
          <w:lang w:eastAsia="en-AU"/>
        </w:rPr>
        <w:t xml:space="preserve">/day. At this dose, mild </w:t>
      </w:r>
      <w:proofErr w:type="spellStart"/>
      <w:r>
        <w:rPr>
          <w:lang w:eastAsia="en-AU"/>
        </w:rPr>
        <w:t>maternotoxicity</w:t>
      </w:r>
      <w:proofErr w:type="spellEnd"/>
      <w:r>
        <w:rPr>
          <w:lang w:eastAsia="en-AU"/>
        </w:rPr>
        <w:t xml:space="preserve"> was observed (decreases in MCV (and increases in WBC)). A low incidence of </w:t>
      </w:r>
      <w:proofErr w:type="spellStart"/>
      <w:r>
        <w:rPr>
          <w:lang w:eastAsia="en-AU"/>
        </w:rPr>
        <w:t>fetuses</w:t>
      </w:r>
      <w:proofErr w:type="spellEnd"/>
      <w:r>
        <w:rPr>
          <w:lang w:eastAsia="en-AU"/>
        </w:rPr>
        <w:t xml:space="preserve">/litters with an additional liver lobe (within the median cleft) was seen at 50 mg/kg </w:t>
      </w:r>
      <w:proofErr w:type="spellStart"/>
      <w:r>
        <w:rPr>
          <w:lang w:eastAsia="en-AU"/>
        </w:rPr>
        <w:t>bw</w:t>
      </w:r>
      <w:proofErr w:type="spellEnd"/>
      <w:r>
        <w:rPr>
          <w:lang w:eastAsia="en-AU"/>
        </w:rPr>
        <w:t xml:space="preserve">/day. It was concluded that none of the observed abnormalities/variants were of toxicological significance. In rabbits, an increased incidence of discolouration of the amniotic sac was observed at 100 mg/kg </w:t>
      </w:r>
      <w:proofErr w:type="spellStart"/>
      <w:r>
        <w:rPr>
          <w:lang w:eastAsia="en-AU"/>
        </w:rPr>
        <w:t>bw</w:t>
      </w:r>
      <w:proofErr w:type="spellEnd"/>
      <w:r>
        <w:rPr>
          <w:lang w:eastAsia="en-AU"/>
        </w:rPr>
        <w:t xml:space="preserve">/day but did not affect reproductive performance parameters (including </w:t>
      </w:r>
      <w:proofErr w:type="spellStart"/>
      <w:r>
        <w:rPr>
          <w:lang w:eastAsia="en-AU"/>
        </w:rPr>
        <w:t>fetal</w:t>
      </w:r>
      <w:proofErr w:type="spellEnd"/>
      <w:r>
        <w:rPr>
          <w:lang w:eastAsia="en-AU"/>
        </w:rPr>
        <w:t xml:space="preserve"> weight). </w:t>
      </w:r>
      <w:proofErr w:type="spellStart"/>
      <w:r>
        <w:rPr>
          <w:lang w:eastAsia="en-AU"/>
        </w:rPr>
        <w:t>Maternotoxicity</w:t>
      </w:r>
      <w:proofErr w:type="spellEnd"/>
      <w:r>
        <w:rPr>
          <w:lang w:eastAsia="en-AU"/>
        </w:rPr>
        <w:t xml:space="preserve"> (decreased erythroid parameters) was observed at 300 mg/kg </w:t>
      </w:r>
      <w:proofErr w:type="spellStart"/>
      <w:r>
        <w:rPr>
          <w:lang w:eastAsia="en-AU"/>
        </w:rPr>
        <w:t>bw</w:t>
      </w:r>
      <w:proofErr w:type="spellEnd"/>
      <w:r>
        <w:rPr>
          <w:lang w:eastAsia="en-AU"/>
        </w:rPr>
        <w:t xml:space="preserve">/day. There was a small reduction in litter incidence of ‘12 complete ribs’ at 100 and 300 mg/kg </w:t>
      </w:r>
      <w:proofErr w:type="spellStart"/>
      <w:r>
        <w:rPr>
          <w:lang w:eastAsia="en-AU"/>
        </w:rPr>
        <w:t>bw</w:t>
      </w:r>
      <w:proofErr w:type="spellEnd"/>
      <w:r>
        <w:rPr>
          <w:lang w:eastAsia="en-AU"/>
        </w:rPr>
        <w:t xml:space="preserve">/day. While this </w:t>
      </w:r>
      <w:r>
        <w:rPr>
          <w:lang w:eastAsia="en-AU"/>
        </w:rPr>
        <w:lastRenderedPageBreak/>
        <w:t xml:space="preserve">decrease was significant at 300 mg/kg </w:t>
      </w:r>
      <w:proofErr w:type="spellStart"/>
      <w:r>
        <w:rPr>
          <w:lang w:eastAsia="en-AU"/>
        </w:rPr>
        <w:t>bw</w:t>
      </w:r>
      <w:proofErr w:type="spellEnd"/>
      <w:r>
        <w:rPr>
          <w:lang w:eastAsia="en-AU"/>
        </w:rPr>
        <w:t>/day and outside of the historical control range, so were incidences in the concurrent control group and was therefore not considered to be of toxicological significance.</w:t>
      </w:r>
    </w:p>
    <w:p w:rsidR="00814520" w:rsidRPr="00BD6CC7" w:rsidRDefault="00814520" w:rsidP="00962673">
      <w:pPr>
        <w:rPr>
          <w:lang w:eastAsia="en-AU"/>
        </w:rPr>
      </w:pPr>
      <w:r>
        <w:rPr>
          <w:lang w:eastAsia="en-AU"/>
        </w:rPr>
        <w:t>Available data in rats and rabbits suggest that any embryo/</w:t>
      </w:r>
      <w:proofErr w:type="spellStart"/>
      <w:r>
        <w:rPr>
          <w:lang w:eastAsia="en-AU"/>
        </w:rPr>
        <w:t>foeto</w:t>
      </w:r>
      <w:proofErr w:type="spellEnd"/>
      <w:r>
        <w:rPr>
          <w:lang w:eastAsia="en-AU"/>
        </w:rPr>
        <w:t xml:space="preserve">-toxicity in both species occurs at </w:t>
      </w:r>
      <w:proofErr w:type="spellStart"/>
      <w:r>
        <w:rPr>
          <w:lang w:eastAsia="en-AU"/>
        </w:rPr>
        <w:t>maternotoxic</w:t>
      </w:r>
      <w:proofErr w:type="spellEnd"/>
      <w:r>
        <w:rPr>
          <w:lang w:eastAsia="en-AU"/>
        </w:rPr>
        <w:t xml:space="preserve"> doses and there is no clear evidence for teratogenic potential o</w:t>
      </w:r>
      <w:r w:rsidR="00962673">
        <w:rPr>
          <w:lang w:eastAsia="en-AU"/>
        </w:rPr>
        <w:t xml:space="preserve">f </w:t>
      </w:r>
      <w:proofErr w:type="spellStart"/>
      <w:r w:rsidR="00962673">
        <w:rPr>
          <w:lang w:eastAsia="en-AU"/>
        </w:rPr>
        <w:t>tiafenacil</w:t>
      </w:r>
      <w:proofErr w:type="spellEnd"/>
      <w:r w:rsidR="00962673">
        <w:rPr>
          <w:lang w:eastAsia="en-AU"/>
        </w:rPr>
        <w:t xml:space="preserve"> in either species.</w:t>
      </w:r>
    </w:p>
    <w:p w:rsidR="00814520" w:rsidRDefault="00814520" w:rsidP="00962673">
      <w:pPr>
        <w:pStyle w:val="Heading6"/>
        <w:rPr>
          <w:rFonts w:eastAsiaTheme="majorEastAsia"/>
        </w:rPr>
      </w:pPr>
      <w:r>
        <w:rPr>
          <w:rFonts w:eastAsiaTheme="majorEastAsia"/>
        </w:rPr>
        <w:t xml:space="preserve">Observation in </w:t>
      </w:r>
      <w:r w:rsidRPr="00962673">
        <w:rPr>
          <w:rFonts w:eastAsiaTheme="majorEastAsia"/>
        </w:rPr>
        <w:t>humans</w:t>
      </w:r>
    </w:p>
    <w:p w:rsidR="00814520" w:rsidRPr="00BD6CC7" w:rsidRDefault="00814520" w:rsidP="00962673">
      <w:r>
        <w:t>No data available</w:t>
      </w:r>
    </w:p>
    <w:p w:rsidR="00814520" w:rsidRDefault="00814520" w:rsidP="00962673">
      <w:pPr>
        <w:pStyle w:val="Heading6"/>
        <w:rPr>
          <w:rFonts w:eastAsiaTheme="majorEastAsia"/>
        </w:rPr>
      </w:pPr>
      <w:r>
        <w:rPr>
          <w:rFonts w:eastAsiaTheme="majorEastAsia"/>
        </w:rPr>
        <w:t xml:space="preserve">Public </w:t>
      </w:r>
      <w:r w:rsidRPr="00962673">
        <w:rPr>
          <w:rFonts w:eastAsiaTheme="majorEastAsia"/>
        </w:rPr>
        <w:t>exposure</w:t>
      </w:r>
    </w:p>
    <w:p w:rsidR="00814520" w:rsidRPr="00BD0659" w:rsidRDefault="00814520" w:rsidP="00814520">
      <w:r>
        <w:t xml:space="preserve">There are no registered products containing </w:t>
      </w:r>
      <w:proofErr w:type="spellStart"/>
      <w:r>
        <w:t>tiafenacil</w:t>
      </w:r>
      <w:proofErr w:type="spellEnd"/>
      <w:r>
        <w:t xml:space="preserve"> in Australia or overseas. Therefore there are no estimates of potential public exposure.</w:t>
      </w:r>
      <w:bookmarkEnd w:id="4"/>
    </w:p>
    <w:sectPr w:rsidR="00814520" w:rsidRPr="00BD0659" w:rsidSect="009522A9">
      <w:footerReference w:type="default" r:id="rId53"/>
      <w:headerReference w:type="first" r:id="rId54"/>
      <w:footerReference w:type="first" r:id="rId55"/>
      <w:type w:val="continuous"/>
      <w:pgSz w:w="11906" w:h="16838" w:code="9"/>
      <w:pgMar w:top="1134" w:right="1418" w:bottom="1361" w:left="1418" w:header="709"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ECD" w:rsidRDefault="003D0ECD" w:rsidP="00C40A36">
      <w:r>
        <w:separator/>
      </w:r>
    </w:p>
  </w:endnote>
  <w:endnote w:type="continuationSeparator" w:id="0">
    <w:p w:rsidR="003D0ECD" w:rsidRDefault="003D0ECD"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UnicodeMS">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CF5" w:rsidRDefault="00F42CF5" w:rsidP="00AC364A">
    <w:pPr>
      <w:pStyle w:val="Foote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CF5" w:rsidRDefault="00F42CF5" w:rsidP="00AC364A">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ECD" w:rsidRDefault="003D0ECD" w:rsidP="00C40A36">
      <w:r>
        <w:separator/>
      </w:r>
    </w:p>
  </w:footnote>
  <w:footnote w:type="continuationSeparator" w:id="0">
    <w:p w:rsidR="003D0ECD" w:rsidRDefault="003D0ECD" w:rsidP="00C40A36">
      <w:r>
        <w:continuationSeparator/>
      </w:r>
    </w:p>
  </w:footnote>
  <w:footnote w:id="1">
    <w:p w:rsidR="00F42CF5" w:rsidRDefault="00F42CF5" w:rsidP="003003D0">
      <w:pPr>
        <w:pStyle w:val="FootnoteText"/>
      </w:pPr>
      <w:r w:rsidRPr="00AC68E2">
        <w:rPr>
          <w:rStyle w:val="FootnoteReference"/>
        </w:rPr>
        <w:footnoteRef/>
      </w:r>
      <w:r>
        <w:t xml:space="preserve"> See TGA website for SPF classification guideline – </w:t>
      </w:r>
      <w:hyperlink r:id="rId1" w:history="1">
        <w:r w:rsidRPr="0022338C">
          <w:rPr>
            <w:rStyle w:val="Hyperlink"/>
          </w:rPr>
          <w:t>AHMAC – Scheduling policy framework for medicines and chemicals</w:t>
        </w:r>
      </w:hyperlink>
    </w:p>
  </w:footnote>
  <w:footnote w:id="2">
    <w:p w:rsidR="00F42CF5" w:rsidRDefault="00F42CF5" w:rsidP="003003D0">
      <w:pPr>
        <w:pStyle w:val="FootnoteText"/>
      </w:pPr>
      <w:r w:rsidRPr="00AC68E2">
        <w:rPr>
          <w:rStyle w:val="FootnoteReference"/>
        </w:rPr>
        <w:footnoteRef/>
      </w:r>
      <w:r>
        <w:t xml:space="preserve"> See TGA website for SPF classification guideline – </w:t>
      </w:r>
      <w:r w:rsidRPr="008231DE">
        <w:t>AHMAC – Scheduling policy framework for medicines and chemicals</w:t>
      </w:r>
    </w:p>
  </w:footnote>
  <w:footnote w:id="3">
    <w:p w:rsidR="00F42CF5" w:rsidRDefault="00F42CF5" w:rsidP="003003D0">
      <w:pPr>
        <w:pStyle w:val="FootnoteText"/>
      </w:pPr>
      <w:r w:rsidRPr="00AC68E2">
        <w:rPr>
          <w:rStyle w:val="FootnoteReference"/>
        </w:rPr>
        <w:footnoteRef/>
      </w:r>
      <w:r>
        <w:t xml:space="preserve"> See TGA website for SPF classification guideline – </w:t>
      </w:r>
      <w:hyperlink r:id="rId2" w:history="1">
        <w:r w:rsidRPr="0022338C">
          <w:rPr>
            <w:rStyle w:val="Hyperlink"/>
          </w:rPr>
          <w:t>AHMAC – Scheduling policy framework for medicines and chemicals</w:t>
        </w:r>
      </w:hyperlink>
    </w:p>
  </w:footnote>
  <w:footnote w:id="4">
    <w:p w:rsidR="00F42CF5" w:rsidRPr="00CC0EFF" w:rsidRDefault="00F42CF5" w:rsidP="003003D0">
      <w:pPr>
        <w:pStyle w:val="FootnoteText"/>
      </w:pPr>
      <w:r w:rsidRPr="00AC68E2">
        <w:rPr>
          <w:rStyle w:val="FootnoteReference"/>
        </w:rPr>
        <w:footnoteRef/>
      </w:r>
      <w:r>
        <w:t xml:space="preserve"> </w:t>
      </w:r>
      <w:hyperlink r:id="rId3" w:history="1">
        <w:r w:rsidRPr="00320980">
          <w:rPr>
            <w:rStyle w:val="Hyperlink"/>
          </w:rPr>
          <w:t>http://www.animalwelfarestandards.net.au/</w:t>
        </w:r>
      </w:hyperlink>
    </w:p>
  </w:footnote>
  <w:footnote w:id="5">
    <w:p w:rsidR="00F42CF5" w:rsidRDefault="00F42CF5" w:rsidP="003003D0">
      <w:pPr>
        <w:pStyle w:val="FootnoteText"/>
      </w:pPr>
      <w:r w:rsidRPr="00AC68E2">
        <w:rPr>
          <w:rStyle w:val="FootnoteReference"/>
        </w:rPr>
        <w:footnoteRef/>
      </w:r>
      <w:r>
        <w:t xml:space="preserve"> See TGA </w:t>
      </w:r>
      <w:r w:rsidRPr="003003D0">
        <w:t>website</w:t>
      </w:r>
      <w:r>
        <w:t xml:space="preserve"> for SPF classification guideline – </w:t>
      </w:r>
      <w:hyperlink r:id="rId4" w:history="1">
        <w:r w:rsidRPr="0022338C">
          <w:rPr>
            <w:rStyle w:val="Hyperlink"/>
          </w:rPr>
          <w:t>AHMAC – Scheduling policy framework for medicines and chemicals</w:t>
        </w:r>
      </w:hyperlink>
    </w:p>
  </w:footnote>
  <w:footnote w:id="6">
    <w:p w:rsidR="00F42CF5" w:rsidRDefault="00F42CF5" w:rsidP="003003D0">
      <w:pPr>
        <w:pStyle w:val="FootnoteText"/>
      </w:pPr>
      <w:r w:rsidRPr="00AC68E2">
        <w:rPr>
          <w:rStyle w:val="FootnoteReference"/>
        </w:rPr>
        <w:footnoteRef/>
      </w:r>
      <w:r>
        <w:t xml:space="preserve"> </w:t>
      </w:r>
      <w:proofErr w:type="gramStart"/>
      <w:r w:rsidRPr="003003D0">
        <w:t>Micromedex</w:t>
      </w:r>
      <w:r>
        <w:t xml:space="preserve"> (</w:t>
      </w:r>
      <w:proofErr w:type="spellStart"/>
      <w:r>
        <w:t>n.d.</w:t>
      </w:r>
      <w:proofErr w:type="spellEnd"/>
      <w:r>
        <w:t xml:space="preserve">) </w:t>
      </w:r>
      <w:proofErr w:type="spellStart"/>
      <w:r w:rsidRPr="00DD17B4">
        <w:t>Drugdex</w:t>
      </w:r>
      <w:proofErr w:type="spellEnd"/>
      <w:r w:rsidRPr="00DD17B4">
        <w:t xml:space="preserve"> Drug Evaluations – Bupivacaine</w:t>
      </w:r>
      <w:r>
        <w:t>.</w:t>
      </w:r>
      <w:proofErr w:type="gramEnd"/>
    </w:p>
  </w:footnote>
  <w:footnote w:id="7">
    <w:p w:rsidR="00F42CF5" w:rsidRDefault="00F42CF5" w:rsidP="003003D0">
      <w:pPr>
        <w:pStyle w:val="FootnoteText"/>
      </w:pPr>
      <w:r w:rsidRPr="00AC68E2">
        <w:rPr>
          <w:rStyle w:val="FootnoteReference"/>
        </w:rPr>
        <w:footnoteRef/>
      </w:r>
      <w:r>
        <w:t xml:space="preserve"> Tucker GT and Mather LE (1975). </w:t>
      </w:r>
      <w:proofErr w:type="gramStart"/>
      <w:r>
        <w:t>Pharmacokinetics of local anaesthetic drugs.</w:t>
      </w:r>
      <w:proofErr w:type="gramEnd"/>
      <w:r>
        <w:t xml:space="preserve"> </w:t>
      </w:r>
      <w:r w:rsidRPr="00A5116E">
        <w:rPr>
          <w:i/>
        </w:rPr>
        <w:t xml:space="preserve">Br. J. </w:t>
      </w:r>
      <w:proofErr w:type="spellStart"/>
      <w:r w:rsidRPr="00A5116E">
        <w:rPr>
          <w:i/>
        </w:rPr>
        <w:t>Anaesth</w:t>
      </w:r>
      <w:proofErr w:type="spellEnd"/>
      <w:r w:rsidRPr="00A5116E">
        <w:rPr>
          <w:i/>
        </w:rPr>
        <w:t>.</w:t>
      </w:r>
      <w:r>
        <w:t xml:space="preserve"> </w:t>
      </w:r>
      <w:r w:rsidRPr="00A5116E">
        <w:rPr>
          <w:b/>
        </w:rPr>
        <w:t>47</w:t>
      </w:r>
      <w:r>
        <w:t>, 213-224</w:t>
      </w:r>
    </w:p>
  </w:footnote>
  <w:footnote w:id="8">
    <w:p w:rsidR="00F42CF5" w:rsidRPr="00CC0EFF" w:rsidRDefault="00F42CF5" w:rsidP="003003D0">
      <w:pPr>
        <w:pStyle w:val="FootnoteText"/>
      </w:pPr>
      <w:r w:rsidRPr="00AC68E2">
        <w:rPr>
          <w:rStyle w:val="FootnoteReference"/>
        </w:rPr>
        <w:footnoteRef/>
      </w:r>
      <w:r w:rsidR="000C6E5A">
        <w:t xml:space="preserve"> </w:t>
      </w:r>
      <w:hyperlink r:id="rId5" w:history="1">
        <w:r w:rsidRPr="00320980">
          <w:rPr>
            <w:rStyle w:val="Hyperlink"/>
          </w:rPr>
          <w:t>http://www.animalwelfarestandards.net.au/</w:t>
        </w:r>
      </w:hyperlink>
    </w:p>
  </w:footnote>
  <w:footnote w:id="9">
    <w:p w:rsidR="00F42CF5" w:rsidRDefault="00F42CF5" w:rsidP="003003D0">
      <w:pPr>
        <w:pStyle w:val="FootnoteText"/>
      </w:pPr>
      <w:r w:rsidRPr="00AC68E2">
        <w:rPr>
          <w:rStyle w:val="FootnoteReference"/>
        </w:rPr>
        <w:footnoteRef/>
      </w:r>
      <w:r>
        <w:t xml:space="preserve"> See TGA website for SPF classification guideline – </w:t>
      </w:r>
      <w:hyperlink r:id="rId6" w:history="1">
        <w:r>
          <w:rPr>
            <w:rStyle w:val="Hyperlink"/>
          </w:rPr>
          <w:t>AHMAC – Scheduling policy framework for medicines and chemicals</w:t>
        </w:r>
      </w:hyperlink>
    </w:p>
  </w:footnote>
  <w:footnote w:id="10">
    <w:p w:rsidR="00F42CF5" w:rsidRDefault="00F42CF5" w:rsidP="003003D0">
      <w:pPr>
        <w:pStyle w:val="FootnoteText"/>
      </w:pPr>
      <w:r w:rsidRPr="00AC68E2">
        <w:rPr>
          <w:rStyle w:val="FootnoteReference"/>
        </w:rPr>
        <w:footnoteRef/>
      </w:r>
      <w:r>
        <w:t xml:space="preserve"> </w:t>
      </w:r>
      <w:proofErr w:type="spellStart"/>
      <w:r>
        <w:t>Brunton</w:t>
      </w:r>
      <w:proofErr w:type="spellEnd"/>
      <w:r>
        <w:t xml:space="preserve"> L.L et al (2018) Goodman &amp; Gilman’s the pharmacological basis of therapeutics. 13</w:t>
      </w:r>
      <w:r>
        <w:rPr>
          <w:vertAlign w:val="superscript"/>
        </w:rPr>
        <w:t>th</w:t>
      </w:r>
      <w:r>
        <w:t xml:space="preserve"> ed. McGraw-Hill Education</w:t>
      </w:r>
    </w:p>
  </w:footnote>
  <w:footnote w:id="11">
    <w:p w:rsidR="00F42CF5" w:rsidRDefault="00F42CF5" w:rsidP="003003D0">
      <w:pPr>
        <w:pStyle w:val="FootnoteText"/>
      </w:pPr>
      <w:r w:rsidRPr="00AC68E2">
        <w:rPr>
          <w:rStyle w:val="FootnoteReference"/>
        </w:rPr>
        <w:footnoteRef/>
      </w:r>
      <w:r>
        <w:t xml:space="preserve"> </w:t>
      </w:r>
      <w:proofErr w:type="spellStart"/>
      <w:proofErr w:type="gramStart"/>
      <w:r>
        <w:t>Mackley</w:t>
      </w:r>
      <w:proofErr w:type="spellEnd"/>
      <w:r>
        <w:t>, CL (2003) Delayed-type hypersensitivity to lidocaine.</w:t>
      </w:r>
      <w:proofErr w:type="gramEnd"/>
      <w:r>
        <w:t xml:space="preserve"> </w:t>
      </w:r>
      <w:proofErr w:type="gramStart"/>
      <w:r>
        <w:t xml:space="preserve">Arch </w:t>
      </w:r>
      <w:proofErr w:type="spellStart"/>
      <w:r>
        <w:t>Dermatol</w:t>
      </w:r>
      <w:proofErr w:type="spellEnd"/>
      <w:r>
        <w:t>.</w:t>
      </w:r>
      <w:proofErr w:type="gramEnd"/>
      <w:r>
        <w:t xml:space="preserve"> 2003;139(3):343-346</w:t>
      </w:r>
    </w:p>
  </w:footnote>
  <w:footnote w:id="12">
    <w:p w:rsidR="00F42CF5" w:rsidRDefault="00F42CF5" w:rsidP="003003D0">
      <w:pPr>
        <w:pStyle w:val="FootnoteText"/>
      </w:pPr>
      <w:r w:rsidRPr="00AC68E2">
        <w:rPr>
          <w:rStyle w:val="FootnoteReference"/>
        </w:rPr>
        <w:footnoteRef/>
      </w:r>
      <w:r>
        <w:t xml:space="preserve"> EMEA (1999) Committee for veterinary medicinal products: lidocaine summary report. EMEA/MRL/584/99-FINAL, July 1999</w:t>
      </w:r>
    </w:p>
  </w:footnote>
  <w:footnote w:id="13">
    <w:p w:rsidR="00F42CF5" w:rsidRDefault="00F42CF5" w:rsidP="003003D0">
      <w:pPr>
        <w:pStyle w:val="FootnoteText"/>
      </w:pPr>
      <w:r w:rsidRPr="00AC68E2">
        <w:rPr>
          <w:rStyle w:val="FootnoteReference"/>
        </w:rPr>
        <w:footnoteRef/>
      </w:r>
      <w:r>
        <w:t xml:space="preserve"> HPRA (2016): The Medicines and Healthcare Products Regulatory Agency (UK), Public Assessment Report, Decentralised Procedure, Lignocaine 4% w/w cream</w:t>
      </w:r>
    </w:p>
  </w:footnote>
  <w:footnote w:id="14">
    <w:p w:rsidR="00F42CF5" w:rsidRDefault="00F42CF5" w:rsidP="003003D0">
      <w:pPr>
        <w:pStyle w:val="FootnoteText"/>
      </w:pPr>
      <w:r w:rsidRPr="00AC68E2">
        <w:rPr>
          <w:rStyle w:val="FootnoteReference"/>
        </w:rPr>
        <w:footnoteRef/>
      </w:r>
      <w:r>
        <w:t xml:space="preserve"> </w:t>
      </w:r>
      <w:hyperlink r:id="rId7" w:anchor="import" w:history="1">
        <w:r w:rsidRPr="007D2D5F">
          <w:rPr>
            <w:rStyle w:val="Hyperlink"/>
          </w:rPr>
          <w:t>https://www.nicnas.gov.au/chemical-information/imap-assessments/imap-group-assessment-report?assessment_id=138#import</w:t>
        </w:r>
      </w:hyperlink>
    </w:p>
  </w:footnote>
  <w:footnote w:id="15">
    <w:p w:rsidR="00F42CF5" w:rsidRDefault="00F42CF5" w:rsidP="003003D0">
      <w:pPr>
        <w:pStyle w:val="FootnoteText"/>
      </w:pPr>
      <w:r w:rsidRPr="00AC68E2">
        <w:rPr>
          <w:rStyle w:val="FootnoteReference"/>
        </w:rPr>
        <w:footnoteRef/>
      </w:r>
      <w:r>
        <w:t xml:space="preserve"> See TGA website for SPF classification guideline – </w:t>
      </w:r>
      <w:hyperlink r:id="rId8" w:history="1">
        <w:r w:rsidRPr="0022338C">
          <w:rPr>
            <w:rStyle w:val="Hyperlink"/>
          </w:rPr>
          <w:t>AHMAC – Scheduling policy framework for medicines and chemicals</w:t>
        </w:r>
      </w:hyperlink>
    </w:p>
  </w:footnote>
  <w:footnote w:id="16">
    <w:p w:rsidR="00F42CF5" w:rsidRPr="008E604F" w:rsidRDefault="00F42CF5" w:rsidP="003003D0">
      <w:pPr>
        <w:pStyle w:val="FootnoteText"/>
        <w:rPr>
          <w:lang w:val="en-US"/>
        </w:rPr>
      </w:pPr>
      <w:r w:rsidRPr="00AC68E2">
        <w:rPr>
          <w:rStyle w:val="FootnoteReference"/>
        </w:rPr>
        <w:footnoteRef/>
      </w:r>
      <w:r>
        <w:t xml:space="preserve"> </w:t>
      </w:r>
      <w:hyperlink r:id="rId9" w:history="1">
        <w:r w:rsidRPr="00B84B04">
          <w:rPr>
            <w:rStyle w:val="Hyperlink"/>
            <w:sz w:val="18"/>
            <w:szCs w:val="18"/>
          </w:rPr>
          <w:t>https://apvma.gov.au/sites/default/files/publication/13631-prs-butafenacil.pdf</w:t>
        </w:r>
      </w:hyperlink>
    </w:p>
  </w:footnote>
  <w:footnote w:id="17">
    <w:p w:rsidR="00F42CF5" w:rsidRPr="00305316" w:rsidRDefault="00F42CF5" w:rsidP="003003D0">
      <w:pPr>
        <w:pStyle w:val="FootnoteText"/>
        <w:rPr>
          <w:lang w:val="en-US"/>
        </w:rPr>
      </w:pPr>
      <w:r w:rsidRPr="00AC68E2">
        <w:rPr>
          <w:rStyle w:val="FootnoteReference"/>
        </w:rPr>
        <w:footnoteRef/>
      </w:r>
      <w:r w:rsidRPr="00305316">
        <w:t xml:space="preserve"> </w:t>
      </w:r>
      <w:proofErr w:type="gramStart"/>
      <w:r w:rsidRPr="00305316">
        <w:t>OCS (2008)</w:t>
      </w:r>
      <w:r>
        <w:t>.</w:t>
      </w:r>
      <w:proofErr w:type="gramEnd"/>
      <w:r>
        <w:t xml:space="preserve"> </w:t>
      </w:r>
      <w:proofErr w:type="spellStart"/>
      <w:proofErr w:type="gramStart"/>
      <w:r>
        <w:t>Saflufenacil</w:t>
      </w:r>
      <w:proofErr w:type="spellEnd"/>
      <w:r>
        <w:t>.</w:t>
      </w:r>
      <w:proofErr w:type="gramEnd"/>
      <w:r>
        <w:t xml:space="preserve"> HRA Technical Report 62853/44119. Department of Health, Canberra, ACT [Previously submitted to NDPSC on 10 March 2008].</w:t>
      </w:r>
    </w:p>
  </w:footnote>
  <w:footnote w:id="18">
    <w:p w:rsidR="00F42CF5" w:rsidRDefault="00F42CF5" w:rsidP="003003D0">
      <w:pPr>
        <w:pStyle w:val="FootnoteText"/>
      </w:pPr>
      <w:r w:rsidRPr="00AC68E2">
        <w:rPr>
          <w:rStyle w:val="FootnoteReference"/>
        </w:rPr>
        <w:footnoteRef/>
      </w:r>
      <w:r>
        <w:t xml:space="preserve"> No Effect Level</w:t>
      </w:r>
    </w:p>
  </w:footnote>
  <w:footnote w:id="19">
    <w:p w:rsidR="00F42CF5" w:rsidRDefault="00F42CF5" w:rsidP="003003D0">
      <w:pPr>
        <w:pStyle w:val="FootnoteText"/>
      </w:pPr>
      <w:r w:rsidRPr="00AC68E2">
        <w:rPr>
          <w:rStyle w:val="FootnoteReference"/>
        </w:rPr>
        <w:footnoteRef/>
      </w:r>
      <w:r>
        <w:t xml:space="preserve"> No Adverse Effect Level</w:t>
      </w:r>
    </w:p>
  </w:footnote>
  <w:footnote w:id="20">
    <w:p w:rsidR="00F42CF5" w:rsidRPr="000A7F2B" w:rsidRDefault="00F42CF5" w:rsidP="003003D0">
      <w:pPr>
        <w:pStyle w:val="FootnoteText"/>
        <w:rPr>
          <w:lang w:val="en-US"/>
        </w:rPr>
      </w:pPr>
      <w:r w:rsidRPr="00AC68E2">
        <w:rPr>
          <w:rStyle w:val="FootnoteReference"/>
        </w:rPr>
        <w:footnoteRef/>
      </w:r>
      <w:r>
        <w:t xml:space="preserve"> </w:t>
      </w:r>
      <w:proofErr w:type="gramStart"/>
      <w:r w:rsidRPr="000A7F2B">
        <w:t xml:space="preserve">Fabian E, </w:t>
      </w:r>
      <w:proofErr w:type="spellStart"/>
      <w:r w:rsidRPr="000A7F2B">
        <w:t>Niggeweg</w:t>
      </w:r>
      <w:proofErr w:type="spellEnd"/>
      <w:r w:rsidRPr="000A7F2B">
        <w:t xml:space="preserve"> R &amp; </w:t>
      </w:r>
      <w:proofErr w:type="spellStart"/>
      <w:r w:rsidRPr="000A7F2B">
        <w:t>Landsiedel</w:t>
      </w:r>
      <w:proofErr w:type="spellEnd"/>
      <w:r w:rsidRPr="000A7F2B">
        <w:t xml:space="preserve"> (2008).</w:t>
      </w:r>
      <w:proofErr w:type="gramEnd"/>
      <w:r w:rsidRPr="000A7F2B">
        <w:t xml:space="preserve"> Study on the inhibition of </w:t>
      </w:r>
      <w:proofErr w:type="spellStart"/>
      <w:r w:rsidRPr="000A7F2B">
        <w:t>protoporphyrinogen</w:t>
      </w:r>
      <w:proofErr w:type="spellEnd"/>
      <w:r w:rsidRPr="000A7F2B">
        <w:t xml:space="preserve"> oxidase (PPO) from rats, mice, rabbits and humans. </w:t>
      </w:r>
      <w:proofErr w:type="gramStart"/>
      <w:r w:rsidRPr="000A7F2B">
        <w:t xml:space="preserve">Experimental Toxicology and Ecology, Agricultural </w:t>
      </w:r>
      <w:proofErr w:type="spellStart"/>
      <w:r w:rsidRPr="000A7F2B">
        <w:t>Center</w:t>
      </w:r>
      <w:proofErr w:type="spellEnd"/>
      <w:r w:rsidRPr="000A7F2B">
        <w:t xml:space="preserve"> </w:t>
      </w:r>
      <w:proofErr w:type="spellStart"/>
      <w:r w:rsidRPr="000A7F2B">
        <w:t>Limburgerhof</w:t>
      </w:r>
      <w:proofErr w:type="spellEnd"/>
      <w:r w:rsidRPr="000A7F2B">
        <w:t xml:space="preserve"> BASF SE 67056 Ludwigshafen, Germany.</w:t>
      </w:r>
      <w:proofErr w:type="gramEnd"/>
      <w:r w:rsidRPr="000A7F2B">
        <w:t xml:space="preserve"> BASF </w:t>
      </w:r>
      <w:proofErr w:type="spellStart"/>
      <w:r w:rsidRPr="000A7F2B">
        <w:t>DocID</w:t>
      </w:r>
      <w:proofErr w:type="spellEnd"/>
      <w:r w:rsidRPr="000A7F2B">
        <w:t>: 2008/1078593.</w:t>
      </w:r>
      <w:r>
        <w:t xml:space="preserve"> </w:t>
      </w:r>
      <w:proofErr w:type="gramStart"/>
      <w:r>
        <w:t>[Previously submitted to Feb 2010 NDPSC meeting].</w:t>
      </w:r>
      <w:proofErr w:type="gramEnd"/>
    </w:p>
  </w:footnote>
  <w:footnote w:id="21">
    <w:p w:rsidR="00F42CF5" w:rsidRDefault="00F42CF5" w:rsidP="003003D0">
      <w:pPr>
        <w:pStyle w:val="FootnoteText"/>
      </w:pPr>
      <w:r w:rsidRPr="00AC68E2">
        <w:rPr>
          <w:rStyle w:val="FootnoteReference"/>
        </w:rPr>
        <w:footnoteRef/>
      </w:r>
      <w:r>
        <w:t xml:space="preserve"> </w:t>
      </w:r>
      <w:proofErr w:type="spellStart"/>
      <w:r>
        <w:t>Joonghyuk</w:t>
      </w:r>
      <w:proofErr w:type="spellEnd"/>
      <w:r>
        <w:t xml:space="preserve"> Park, Young </w:t>
      </w:r>
      <w:proofErr w:type="spellStart"/>
      <w:r>
        <w:t>Ock</w:t>
      </w:r>
      <w:proofErr w:type="spellEnd"/>
      <w:r>
        <w:t xml:space="preserve"> </w:t>
      </w:r>
      <w:proofErr w:type="spellStart"/>
      <w:r>
        <w:t>Ahn</w:t>
      </w:r>
      <w:proofErr w:type="spellEnd"/>
      <w:r>
        <w:t xml:space="preserve">, </w:t>
      </w:r>
      <w:proofErr w:type="spellStart"/>
      <w:r>
        <w:t>Jeong</w:t>
      </w:r>
      <w:proofErr w:type="spellEnd"/>
      <w:r>
        <w:t xml:space="preserve">-Won Nam, </w:t>
      </w:r>
      <w:proofErr w:type="spellStart"/>
      <w:r>
        <w:t>Myoung</w:t>
      </w:r>
      <w:proofErr w:type="spellEnd"/>
      <w:r>
        <w:t xml:space="preserve">-Ki Hong, </w:t>
      </w:r>
      <w:proofErr w:type="spellStart"/>
      <w:r>
        <w:t>Namsook</w:t>
      </w:r>
      <w:proofErr w:type="spellEnd"/>
      <w:r>
        <w:t xml:space="preserve"> Song, </w:t>
      </w:r>
      <w:proofErr w:type="spellStart"/>
      <w:r>
        <w:t>Taejoon</w:t>
      </w:r>
      <w:proofErr w:type="spellEnd"/>
      <w:r>
        <w:t xml:space="preserve"> Kim, </w:t>
      </w:r>
      <w:proofErr w:type="spellStart"/>
      <w:r>
        <w:t>Gyung-Hee</w:t>
      </w:r>
      <w:proofErr w:type="spellEnd"/>
      <w:r>
        <w:t xml:space="preserve"> Yu, Soon-</w:t>
      </w:r>
      <w:proofErr w:type="spellStart"/>
      <w:r>
        <w:t>Kee</w:t>
      </w:r>
      <w:proofErr w:type="spellEnd"/>
      <w:r>
        <w:t xml:space="preserve"> Sung. </w:t>
      </w:r>
      <w:proofErr w:type="gramStart"/>
      <w:r>
        <w:t xml:space="preserve">Biochemical and physiological mode of action of </w:t>
      </w:r>
      <w:proofErr w:type="spellStart"/>
      <w:r>
        <w:t>tiafenacil</w:t>
      </w:r>
      <w:proofErr w:type="spellEnd"/>
      <w:r>
        <w:t xml:space="preserve">, a new </w:t>
      </w:r>
      <w:proofErr w:type="spellStart"/>
      <w:r>
        <w:t>protoporphyrinogen</w:t>
      </w:r>
      <w:proofErr w:type="spellEnd"/>
      <w:r>
        <w:t xml:space="preserve"> IX oxidase-inhibiting herbicide.</w:t>
      </w:r>
      <w:proofErr w:type="gramEnd"/>
      <w:r>
        <w:t xml:space="preserve"> </w:t>
      </w:r>
      <w:proofErr w:type="gramStart"/>
      <w:r>
        <w:t>Pesticide Biochemistry and Physiology.</w:t>
      </w:r>
      <w:proofErr w:type="gramEnd"/>
      <w:r>
        <w:t xml:space="preserve"> 2018 https://doi.org/10.1016/j.pestbp.2018.08.010</w:t>
      </w:r>
    </w:p>
  </w:footnote>
  <w:footnote w:id="22">
    <w:p w:rsidR="00F42CF5" w:rsidRDefault="00F42CF5" w:rsidP="003003D0">
      <w:pPr>
        <w:pStyle w:val="FootnoteText"/>
      </w:pPr>
      <w:r w:rsidRPr="00AC68E2">
        <w:rPr>
          <w:rStyle w:val="FootnoteReference"/>
        </w:rPr>
        <w:footnoteRef/>
      </w:r>
      <w:r>
        <w:t xml:space="preserve"> See TGA website for SPF classification guideline – </w:t>
      </w:r>
      <w:hyperlink r:id="rId10" w:history="1">
        <w:r>
          <w:rPr>
            <w:rStyle w:val="Hyperlink"/>
          </w:rPr>
          <w:t>AHMAC – Scheduling policy framework for medicines and chemicals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CF5" w:rsidRDefault="00F42CF5" w:rsidP="00AC364A">
    <w:pPr>
      <w:pStyle w:val="Header"/>
      <w:pBdr>
        <w:bottom w:val="none" w:sz="0" w:space="0" w:color="auto"/>
      </w:pBdr>
      <w:jc w:val="center"/>
    </w:pPr>
    <w:r w:rsidRPr="009F456E">
      <w:rPr>
        <w:noProof/>
        <w:lang w:eastAsia="en-AU"/>
      </w:rPr>
      <w:drawing>
        <wp:inline distT="0" distB="0" distL="0" distR="0" wp14:anchorId="19B12EAC" wp14:editId="3D583E46">
          <wp:extent cx="1957695" cy="1163955"/>
          <wp:effectExtent l="19050" t="0" r="4455" b="0"/>
          <wp:docPr id="1" name="Picture 1" descr="Therapeutic Goods Administration"/>
          <wp:cNvGraphicFramePr/>
          <a:graphic xmlns:a="http://schemas.openxmlformats.org/drawingml/2006/main">
            <a:graphicData uri="http://schemas.openxmlformats.org/drawingml/2006/picture">
              <pic:pic xmlns:pic="http://schemas.openxmlformats.org/drawingml/2006/picture">
                <pic:nvPicPr>
                  <pic:cNvPr id="0" name="Picture 12" descr="DH&amp;A_logo_Stacked_black.jpg"/>
                  <pic:cNvPicPr>
                    <a:picLocks noChangeAspect="1" noChangeArrowheads="1"/>
                  </pic:cNvPicPr>
                </pic:nvPicPr>
                <pic:blipFill>
                  <a:blip r:embed="rId1"/>
                  <a:stretch>
                    <a:fillRect/>
                  </a:stretch>
                </pic:blipFill>
                <pic:spPr bwMode="auto">
                  <a:xfrm>
                    <a:off x="0" y="0"/>
                    <a:ext cx="1957695" cy="116395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FACB8FC"/>
    <w:lvl w:ilvl="0">
      <w:start w:val="1"/>
      <w:numFmt w:val="decimal"/>
      <w:pStyle w:val="ListNumber"/>
      <w:lvlText w:val="%1."/>
      <w:lvlJc w:val="left"/>
      <w:pPr>
        <w:tabs>
          <w:tab w:val="num" w:pos="360"/>
        </w:tabs>
        <w:ind w:left="360" w:hanging="360"/>
      </w:pPr>
    </w:lvl>
  </w:abstractNum>
  <w:abstractNum w:abstractNumId="1">
    <w:nsid w:val="FFFFFF89"/>
    <w:multiLevelType w:val="singleLevel"/>
    <w:tmpl w:val="7E80827E"/>
    <w:lvl w:ilvl="0">
      <w:start w:val="1"/>
      <w:numFmt w:val="bullet"/>
      <w:lvlText w:val=""/>
      <w:lvlJc w:val="left"/>
      <w:pPr>
        <w:tabs>
          <w:tab w:val="num" w:pos="360"/>
        </w:tabs>
        <w:ind w:left="360" w:hanging="360"/>
      </w:pPr>
      <w:rPr>
        <w:rFonts w:ascii="Symbol" w:hAnsi="Symbol" w:hint="default"/>
      </w:rPr>
    </w:lvl>
  </w:abstractNum>
  <w:abstractNum w:abstractNumId="2">
    <w:nsid w:val="10053F11"/>
    <w:multiLevelType w:val="multilevel"/>
    <w:tmpl w:val="B1384D2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nsid w:val="14A003B7"/>
    <w:multiLevelType w:val="hybridMultilevel"/>
    <w:tmpl w:val="25988AB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3">
      <w:start w:val="1"/>
      <w:numFmt w:val="bullet"/>
      <w:lvlText w:val="o"/>
      <w:lvlJc w:val="left"/>
      <w:pPr>
        <w:ind w:left="2880" w:hanging="360"/>
      </w:pPr>
      <w:rPr>
        <w:rFonts w:ascii="Courier New" w:hAnsi="Courier New" w:cs="Courier New"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
    <w:nsid w:val="168F13E9"/>
    <w:multiLevelType w:val="multilevel"/>
    <w:tmpl w:val="336AE7B8"/>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18BD4B76"/>
    <w:multiLevelType w:val="hybridMultilevel"/>
    <w:tmpl w:val="4B009FE4"/>
    <w:lvl w:ilvl="0" w:tplc="3878C648">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6">
    <w:nsid w:val="1B886884"/>
    <w:multiLevelType w:val="hybridMultilevel"/>
    <w:tmpl w:val="97B44A3A"/>
    <w:lvl w:ilvl="0" w:tplc="9EDAC03E">
      <w:numFmt w:val="bullet"/>
      <w:lvlText w:val="–"/>
      <w:lvlJc w:val="left"/>
      <w:pPr>
        <w:ind w:left="720" w:hanging="360"/>
      </w:pPr>
      <w:rPr>
        <w:rFonts w:ascii="Arial" w:eastAsia="Arial" w:hAnsi="Arial" w:cs="Arial" w:hint="default"/>
        <w:w w:val="100"/>
        <w:sz w:val="22"/>
        <w:szCs w:val="22"/>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C15DEE"/>
    <w:multiLevelType w:val="hybridMultilevel"/>
    <w:tmpl w:val="5F92C47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3E23B95"/>
    <w:multiLevelType w:val="hybridMultilevel"/>
    <w:tmpl w:val="D742B760"/>
    <w:lvl w:ilvl="0" w:tplc="F55A023A">
      <w:start w:val="1"/>
      <w:numFmt w:val="lowerLetter"/>
      <w:lvlText w:val="%1)"/>
      <w:lvlJc w:val="left"/>
      <w:pPr>
        <w:ind w:left="1440" w:hanging="360"/>
      </w:pPr>
      <w:rPr>
        <w:rFonts w:asciiTheme="minorHAnsi" w:eastAsiaTheme="minorEastAsia"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68A44B4"/>
    <w:multiLevelType w:val="hybridMultilevel"/>
    <w:tmpl w:val="8362E154"/>
    <w:lvl w:ilvl="0" w:tplc="F13AEC36">
      <w:start w:val="1"/>
      <w:numFmt w:val="lowerLetter"/>
      <w:pStyle w:val="Numberbullet2-52E1reasons"/>
      <w:lvlText w:val="(%1)"/>
      <w:lvlJc w:val="left"/>
      <w:pPr>
        <w:ind w:left="360" w:hanging="360"/>
      </w:pPr>
      <w:rPr>
        <w:rFonts w:cs="Times New Roman" w:hint="default"/>
        <w:b w:val="0"/>
        <w:bCs w:val="0"/>
        <w:iCs w:val="0"/>
        <w:caps w:val="0"/>
        <w:smallCaps w:val="0"/>
        <w:strike w:val="0"/>
        <w:dstrike w:val="0"/>
        <w:outline w:val="0"/>
        <w:shadow w:val="0"/>
        <w:emboss w:val="0"/>
        <w:imprint w:val="0"/>
        <w:noProof w:val="0"/>
        <w:vanish w:val="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7FA200E2">
      <w:start w:val="26"/>
      <w:numFmt w:val="decimal"/>
      <w:lvlText w:val="%4"/>
      <w:lvlJc w:val="left"/>
      <w:pPr>
        <w:ind w:left="2520" w:hanging="360"/>
      </w:pPr>
      <w:rPr>
        <w:rFonts w:hint="default"/>
      </w:rPr>
    </w:lvl>
    <w:lvl w:ilvl="4" w:tplc="0C090019">
      <w:start w:val="1"/>
      <w:numFmt w:val="lowerLetter"/>
      <w:lvlText w:val="%5."/>
      <w:lvlJc w:val="left"/>
      <w:pPr>
        <w:ind w:left="3240" w:hanging="360"/>
      </w:pPr>
    </w:lvl>
    <w:lvl w:ilvl="5" w:tplc="7F8EC74A">
      <w:start w:val="1"/>
      <w:numFmt w:val="lowerLetter"/>
      <w:lvlText w:val="%6)"/>
      <w:lvlJc w:val="left"/>
      <w:pPr>
        <w:ind w:left="4140" w:hanging="36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A967118"/>
    <w:multiLevelType w:val="hybridMultilevel"/>
    <w:tmpl w:val="03BA5B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8611B7E"/>
    <w:multiLevelType w:val="hybridMultilevel"/>
    <w:tmpl w:val="816EFE50"/>
    <w:lvl w:ilvl="0" w:tplc="09FA2FD2">
      <w:start w:val="1"/>
      <w:numFmt w:val="lowerLetter"/>
      <w:lvlText w:val="%1)"/>
      <w:lvlJc w:val="left"/>
      <w:pPr>
        <w:ind w:left="927"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nsid w:val="3BFD0BDA"/>
    <w:multiLevelType w:val="hybridMultilevel"/>
    <w:tmpl w:val="D742B760"/>
    <w:lvl w:ilvl="0" w:tplc="F55A023A">
      <w:start w:val="1"/>
      <w:numFmt w:val="lowerLetter"/>
      <w:lvlText w:val="%1)"/>
      <w:lvlJc w:val="left"/>
      <w:pPr>
        <w:ind w:left="1440" w:hanging="360"/>
      </w:pPr>
      <w:rPr>
        <w:rFonts w:asciiTheme="minorHAnsi" w:eastAsiaTheme="minorEastAsia"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B7C1190"/>
    <w:multiLevelType w:val="hybridMultilevel"/>
    <w:tmpl w:val="EC4A82E0"/>
    <w:lvl w:ilvl="0" w:tplc="1E9A4DB0">
      <w:start w:val="2"/>
      <w:numFmt w:val="bullet"/>
      <w:lvlText w:val="•"/>
      <w:lvlJc w:val="left"/>
      <w:pPr>
        <w:ind w:left="720" w:hanging="360"/>
      </w:pPr>
      <w:rPr>
        <w:rFonts w:ascii="Cambria" w:eastAsia="Cambr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F0370F2"/>
    <w:multiLevelType w:val="hybridMultilevel"/>
    <w:tmpl w:val="5F9A18DC"/>
    <w:lvl w:ilvl="0" w:tplc="29D08272">
      <w:start w:val="1"/>
      <w:numFmt w:val="lowerLetter"/>
      <w:pStyle w:val="Numberbullet2-52E1reason"/>
      <w:lvlText w:val="%1)"/>
      <w:lvlJc w:val="left"/>
      <w:pPr>
        <w:ind w:left="360" w:hanging="360"/>
      </w:pPr>
      <w:rPr>
        <w:rFonts w:hint="default"/>
        <w:caps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51D11852"/>
    <w:multiLevelType w:val="hybridMultilevel"/>
    <w:tmpl w:val="CA082F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660C2FE1"/>
    <w:multiLevelType w:val="hybridMultilevel"/>
    <w:tmpl w:val="DF242456"/>
    <w:lvl w:ilvl="0" w:tplc="752478BA">
      <w:start w:val="4"/>
      <w:numFmt w:val="lowerLetter"/>
      <w:lvlText w:val="%1)"/>
      <w:lvlJc w:val="left"/>
      <w:pPr>
        <w:ind w:left="1931" w:hanging="360"/>
      </w:pPr>
      <w:rPr>
        <w:rFonts w:asciiTheme="minorHAnsi" w:eastAsiaTheme="minorEastAsia" w:hAnsiTheme="minorHAnsi" w:cstheme="minorBidi" w:hint="default"/>
        <w:color w:val="auto"/>
      </w:rPr>
    </w:lvl>
    <w:lvl w:ilvl="1" w:tplc="F55A023A">
      <w:start w:val="1"/>
      <w:numFmt w:val="lowerLetter"/>
      <w:lvlText w:val="%2)"/>
      <w:lvlJc w:val="left"/>
      <w:pPr>
        <w:ind w:left="1440" w:hanging="360"/>
      </w:pPr>
      <w:rPr>
        <w:rFonts w:asciiTheme="minorHAnsi" w:eastAsiaTheme="minorEastAsia" w:hAnsiTheme="minorHAnsi" w:cstheme="minorBidi"/>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700450B"/>
    <w:multiLevelType w:val="hybridMultilevel"/>
    <w:tmpl w:val="7C589FBC"/>
    <w:lvl w:ilvl="0" w:tplc="8980771A">
      <w:start w:val="4"/>
      <w:numFmt w:val="lowerLetter"/>
      <w:lvlText w:val="%1)"/>
      <w:lvlJc w:val="left"/>
      <w:pPr>
        <w:ind w:left="1920" w:hanging="360"/>
      </w:pPr>
      <w:rPr>
        <w:rFonts w:asciiTheme="minorHAnsi" w:eastAsiaTheme="minorEastAsia" w:hAnsiTheme="minorHAnsi" w:cstheme="minorBidi" w:hint="default"/>
      </w:rPr>
    </w:lvl>
    <w:lvl w:ilvl="1" w:tplc="F55A023A">
      <w:start w:val="1"/>
      <w:numFmt w:val="lowerLetter"/>
      <w:lvlText w:val="%2)"/>
      <w:lvlJc w:val="left"/>
      <w:pPr>
        <w:ind w:left="1440" w:hanging="360"/>
      </w:pPr>
      <w:rPr>
        <w:rFonts w:asciiTheme="minorHAnsi" w:eastAsiaTheme="minorEastAsia" w:hAnsiTheme="minorHAnsi" w:cstheme="minorBidi"/>
      </w:rPr>
    </w:lvl>
    <w:lvl w:ilvl="2" w:tplc="0C09001B">
      <w:start w:val="1"/>
      <w:numFmt w:val="lowerRoman"/>
      <w:lvlText w:val="%3."/>
      <w:lvlJc w:val="right"/>
      <w:pPr>
        <w:ind w:left="2160" w:hanging="180"/>
      </w:pPr>
    </w:lvl>
    <w:lvl w:ilvl="3" w:tplc="8D903944">
      <w:start w:val="1"/>
      <w:numFmt w:val="bullet"/>
      <w:lvlText w:val="-"/>
      <w:lvlJc w:val="left"/>
      <w:pPr>
        <w:ind w:left="2880" w:hanging="360"/>
      </w:pPr>
      <w:rPr>
        <w:rFonts w:ascii="Cambria" w:eastAsiaTheme="minorEastAsia" w:hAnsi="Cambria" w:cstheme="minorBidi"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77A1325"/>
    <w:multiLevelType w:val="hybridMultilevel"/>
    <w:tmpl w:val="D742B760"/>
    <w:lvl w:ilvl="0" w:tplc="F55A023A">
      <w:start w:val="1"/>
      <w:numFmt w:val="lowerLetter"/>
      <w:lvlText w:val="%1)"/>
      <w:lvlJc w:val="left"/>
      <w:pPr>
        <w:ind w:left="1440" w:hanging="360"/>
      </w:pPr>
      <w:rPr>
        <w:rFonts w:asciiTheme="minorHAnsi" w:eastAsiaTheme="minorEastAsia"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9787CE4"/>
    <w:multiLevelType w:val="hybridMultilevel"/>
    <w:tmpl w:val="5F92C47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BE20316"/>
    <w:multiLevelType w:val="hybridMultilevel"/>
    <w:tmpl w:val="0ECCE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4"/>
  </w:num>
  <w:num w:numId="4">
    <w:abstractNumId w:val="20"/>
  </w:num>
  <w:num w:numId="5">
    <w:abstractNumId w:val="3"/>
  </w:num>
  <w:num w:numId="6">
    <w:abstractNumId w:val="5"/>
  </w:num>
  <w:num w:numId="7">
    <w:abstractNumId w:val="15"/>
  </w:num>
  <w:num w:numId="8">
    <w:abstractNumId w:val="17"/>
  </w:num>
  <w:num w:numId="9">
    <w:abstractNumId w:val="16"/>
  </w:num>
  <w:num w:numId="10">
    <w:abstractNumId w:val="12"/>
  </w:num>
  <w:num w:numId="11">
    <w:abstractNumId w:val="8"/>
  </w:num>
  <w:num w:numId="12">
    <w:abstractNumId w:val="18"/>
  </w:num>
  <w:num w:numId="13">
    <w:abstractNumId w:val="6"/>
  </w:num>
  <w:num w:numId="14">
    <w:abstractNumId w:val="9"/>
  </w:num>
  <w:num w:numId="15">
    <w:abstractNumId w:val="1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lvlOverride w:ilvl="0">
      <w:lvl w:ilvl="0">
        <w:start w:val="1"/>
        <w:numFmt w:val="bullet"/>
        <w:pStyle w:val="ListBullet"/>
        <w:lvlText w:val=""/>
        <w:lvlJc w:val="left"/>
        <w:pPr>
          <w:ind w:left="360" w:hanging="360"/>
        </w:pPr>
        <w:rPr>
          <w:rFonts w:ascii="Symbol" w:hAnsi="Symbol" w:hint="default"/>
        </w:rPr>
      </w:lvl>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1">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7"/>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1">
      <w:lvl w:ilvl="1">
        <w:start w:val="1"/>
        <w:numFmt w:val="bullet"/>
        <w:pStyle w:val="ListBullet2"/>
        <w:lvlText w:val="–"/>
        <w:lvlJc w:val="left"/>
        <w:pPr>
          <w:ind w:left="720" w:hanging="360"/>
        </w:pPr>
        <w:rPr>
          <w:rFonts w:ascii="Arial" w:hAnsi="Arial" w:hint="default"/>
          <w:b w:val="0"/>
        </w:rPr>
      </w:lvl>
    </w:lvlOverride>
    <w:lvlOverride w:ilvl="2">
      <w:lvl w:ilvl="2">
        <w:start w:val="1"/>
        <w:numFmt w:val="bullet"/>
        <w:pStyle w:val="ListBullet3"/>
        <w:lvlText w:val=""/>
        <w:lvlJc w:val="left"/>
        <w:pPr>
          <w:ind w:left="1069" w:hanging="360"/>
        </w:pPr>
        <w:rPr>
          <w:rFonts w:ascii="Wingdings" w:hAnsi="Wingdings" w:hint="default"/>
        </w:rPr>
      </w:lvl>
    </w:lvlOverride>
  </w:num>
  <w:num w:numId="29">
    <w:abstractNumId w:val="4"/>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pStyle w:val="ListBullet3"/>
        <w:lvlText w:val=""/>
        <w:lvlJc w:val="left"/>
        <w:pPr>
          <w:ind w:left="1080" w:hanging="360"/>
        </w:pPr>
        <w:rPr>
          <w:rFonts w:ascii="Wingdings" w:hAnsi="Wingdings" w:hint="default"/>
        </w:rPr>
      </w:lvl>
    </w:lvlOverride>
  </w:num>
  <w:num w:numId="30">
    <w:abstractNumId w:val="9"/>
    <w:lvlOverride w:ilvl="0">
      <w:startOverride w:val="1"/>
    </w:lvlOverride>
  </w:num>
  <w:num w:numId="31">
    <w:abstractNumId w:val="2"/>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32">
    <w:abstractNumId w:val="1"/>
  </w:num>
  <w:num w:numId="33">
    <w:abstractNumId w:val="0"/>
    <w:lvlOverride w:ilvl="0">
      <w:startOverride w:val="1"/>
    </w:lvlOverride>
  </w:num>
  <w:num w:numId="34">
    <w:abstractNumId w:val="11"/>
    <w:lvlOverride w:ilvl="0">
      <w:startOverride w:val="1"/>
    </w:lvlOverride>
  </w:num>
  <w:num w:numId="35">
    <w:abstractNumId w:val="11"/>
  </w:num>
  <w:num w:numId="36">
    <w:abstractNumId w:val="11"/>
    <w:lvlOverride w:ilvl="0">
      <w:startOverride w:val="1"/>
    </w:lvlOverride>
  </w:num>
  <w:num w:numId="3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lowerLetter"/>
        <w:pStyle w:val="Numberbullet2"/>
        <w:lvlText w:val="%2)"/>
        <w:lvlJc w:val="left"/>
        <w:pPr>
          <w:ind w:left="1571" w:hanging="426"/>
        </w:pPr>
        <w:rPr>
          <w:rFonts w:hint="default"/>
          <w:b w:val="0"/>
        </w:rPr>
      </w:lvl>
    </w:lvlOverride>
    <w:lvlOverride w:ilvl="2">
      <w:lvl w:ilvl="2">
        <w:start w:val="1"/>
        <w:numFmt w:val="lowerRoman"/>
        <w:pStyle w:val="Numberbullet3"/>
        <w:lvlText w:val="%3."/>
        <w:lvlJc w:val="left"/>
        <w:pPr>
          <w:ind w:left="1996" w:hanging="425"/>
        </w:pPr>
        <w:rPr>
          <w:rFonts w:hint="default"/>
        </w:rPr>
      </w:lvl>
    </w:lvlOverride>
    <w:lvlOverride w:ilvl="3">
      <w:lvl w:ilvl="3">
        <w:start w:val="1"/>
        <w:numFmt w:val="none"/>
        <w:lvlText w:val=""/>
        <w:lvlJc w:val="left"/>
        <w:pPr>
          <w:ind w:left="1996" w:hanging="425"/>
        </w:pPr>
        <w:rPr>
          <w:rFonts w:hint="default"/>
        </w:rPr>
      </w:lvl>
    </w:lvlOverride>
    <w:lvlOverride w:ilvl="4">
      <w:lvl w:ilvl="4">
        <w:start w:val="1"/>
        <w:numFmt w:val="none"/>
        <w:lvlText w:val=""/>
        <w:lvlJc w:val="left"/>
        <w:pPr>
          <w:ind w:left="1996" w:hanging="425"/>
        </w:pPr>
        <w:rPr>
          <w:rFonts w:hint="default"/>
        </w:rPr>
      </w:lvl>
    </w:lvlOverride>
    <w:lvlOverride w:ilvl="5">
      <w:lvl w:ilvl="5">
        <w:start w:val="1"/>
        <w:numFmt w:val="none"/>
        <w:lvlText w:val=""/>
        <w:lvlJc w:val="left"/>
        <w:pPr>
          <w:ind w:left="1996" w:hanging="425"/>
        </w:pPr>
        <w:rPr>
          <w:rFonts w:hint="default"/>
        </w:rPr>
      </w:lvl>
    </w:lvlOverride>
    <w:lvlOverride w:ilvl="6">
      <w:lvl w:ilvl="6">
        <w:start w:val="1"/>
        <w:numFmt w:val="none"/>
        <w:lvlText w:val="%7"/>
        <w:lvlJc w:val="left"/>
        <w:pPr>
          <w:ind w:left="1996" w:hanging="425"/>
        </w:pPr>
        <w:rPr>
          <w:rFonts w:hint="default"/>
        </w:rPr>
      </w:lvl>
    </w:lvlOverride>
    <w:lvlOverride w:ilvl="7">
      <w:lvl w:ilvl="7">
        <w:start w:val="1"/>
        <w:numFmt w:val="none"/>
        <w:lvlText w:val=""/>
        <w:lvlJc w:val="left"/>
        <w:pPr>
          <w:ind w:left="1996" w:hanging="425"/>
        </w:pPr>
        <w:rPr>
          <w:rFonts w:hint="default"/>
        </w:rPr>
      </w:lvl>
    </w:lvlOverride>
    <w:lvlOverride w:ilvl="8">
      <w:lvl w:ilvl="8">
        <w:start w:val="1"/>
        <w:numFmt w:val="none"/>
        <w:lvlText w:val=""/>
        <w:lvlJc w:val="left"/>
        <w:pPr>
          <w:ind w:left="1996" w:hanging="425"/>
        </w:pPr>
        <w:rPr>
          <w:rFonts w:hint="default"/>
        </w:rPr>
      </w:lvl>
    </w:lvlOverride>
  </w:num>
  <w:num w:numId="39">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pStyle w:val="Numberbullet3"/>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40">
    <w:abstractNumId w:val="2"/>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pStyle w:val="Numberbullet2"/>
        <w:lvlText w:val="%2)"/>
        <w:lvlJc w:val="left"/>
        <w:pPr>
          <w:ind w:left="1571" w:hanging="426"/>
        </w:pPr>
        <w:rPr>
          <w:rFonts w:hint="default"/>
        </w:rPr>
      </w:lvl>
    </w:lvlOverride>
    <w:lvlOverride w:ilvl="2">
      <w:startOverride w:val="1"/>
      <w:lvl w:ilvl="2">
        <w:start w:val="1"/>
        <w:numFmt w:val="lowerRoman"/>
        <w:pStyle w:val="Numberbullet3"/>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41">
    <w:abstractNumId w:val="10"/>
  </w:num>
  <w:num w:numId="42">
    <w:abstractNumId w:val="9"/>
    <w:lvlOverride w:ilvl="0">
      <w:startOverride w:val="1"/>
    </w:lvlOverride>
  </w:num>
  <w:num w:numId="43">
    <w:abstractNumId w:val="9"/>
    <w:lvlOverride w:ilvl="0">
      <w:startOverride w:val="1"/>
    </w:lvlOverride>
  </w:num>
  <w:num w:numId="44">
    <w:abstractNumId w:val="14"/>
    <w:lvlOverride w:ilvl="0">
      <w:startOverride w:val="1"/>
    </w:lvlOverride>
  </w:num>
  <w:num w:numId="45">
    <w:abstractNumId w:val="14"/>
    <w:lvlOverride w:ilvl="0">
      <w:startOverride w:val="1"/>
    </w:lvlOverride>
  </w:num>
  <w:num w:numId="46">
    <w:abstractNumId w:val="14"/>
    <w:lvlOverride w:ilvl="0">
      <w:startOverride w:val="1"/>
    </w:lvlOverride>
  </w:num>
  <w:num w:numId="47">
    <w:abstractNumId w:val="9"/>
    <w:lvlOverride w:ilvl="0">
      <w:startOverride w:val="1"/>
    </w:lvlOverride>
  </w:num>
  <w:num w:numId="48">
    <w:abstractNumId w:val="9"/>
    <w:lvlOverride w:ilvl="0">
      <w:startOverride w:val="1"/>
    </w:lvlOverride>
  </w:num>
  <w:num w:numId="49">
    <w:abstractNumId w:val="9"/>
    <w:lvlOverride w:ilvl="0">
      <w:startOverride w:val="1"/>
    </w:lvlOverride>
  </w:num>
  <w:num w:numId="50">
    <w:abstractNumId w:val="9"/>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851"/>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AFA"/>
    <w:rsid w:val="00002031"/>
    <w:rsid w:val="000036C1"/>
    <w:rsid w:val="00004734"/>
    <w:rsid w:val="00006B22"/>
    <w:rsid w:val="0001276A"/>
    <w:rsid w:val="00016C59"/>
    <w:rsid w:val="000239C6"/>
    <w:rsid w:val="000246AE"/>
    <w:rsid w:val="0002597D"/>
    <w:rsid w:val="00025C67"/>
    <w:rsid w:val="00030A63"/>
    <w:rsid w:val="00034904"/>
    <w:rsid w:val="00041AAD"/>
    <w:rsid w:val="00043015"/>
    <w:rsid w:val="000520DA"/>
    <w:rsid w:val="00054F17"/>
    <w:rsid w:val="0005559E"/>
    <w:rsid w:val="00055B86"/>
    <w:rsid w:val="000570A5"/>
    <w:rsid w:val="000573DF"/>
    <w:rsid w:val="00064C94"/>
    <w:rsid w:val="00065657"/>
    <w:rsid w:val="00066547"/>
    <w:rsid w:val="0007394C"/>
    <w:rsid w:val="00076C28"/>
    <w:rsid w:val="00077775"/>
    <w:rsid w:val="0008078B"/>
    <w:rsid w:val="00082356"/>
    <w:rsid w:val="00082A10"/>
    <w:rsid w:val="0008312F"/>
    <w:rsid w:val="000872AA"/>
    <w:rsid w:val="00090471"/>
    <w:rsid w:val="000A1474"/>
    <w:rsid w:val="000A1F98"/>
    <w:rsid w:val="000A20BF"/>
    <w:rsid w:val="000A4A74"/>
    <w:rsid w:val="000A555C"/>
    <w:rsid w:val="000B1EBF"/>
    <w:rsid w:val="000B3532"/>
    <w:rsid w:val="000B3A75"/>
    <w:rsid w:val="000B543C"/>
    <w:rsid w:val="000B7084"/>
    <w:rsid w:val="000C4728"/>
    <w:rsid w:val="000C5F24"/>
    <w:rsid w:val="000C6E5A"/>
    <w:rsid w:val="000D283A"/>
    <w:rsid w:val="000D391B"/>
    <w:rsid w:val="000D3D6D"/>
    <w:rsid w:val="000D4FC7"/>
    <w:rsid w:val="000D579F"/>
    <w:rsid w:val="000D68D1"/>
    <w:rsid w:val="000E2AE8"/>
    <w:rsid w:val="000E7AFA"/>
    <w:rsid w:val="000F16BC"/>
    <w:rsid w:val="000F28BA"/>
    <w:rsid w:val="000F4869"/>
    <w:rsid w:val="000F5B42"/>
    <w:rsid w:val="000F6863"/>
    <w:rsid w:val="000F6C5B"/>
    <w:rsid w:val="000F6E6F"/>
    <w:rsid w:val="001003F2"/>
    <w:rsid w:val="0010601F"/>
    <w:rsid w:val="0010704F"/>
    <w:rsid w:val="001073EB"/>
    <w:rsid w:val="00110EA5"/>
    <w:rsid w:val="0011266E"/>
    <w:rsid w:val="00115240"/>
    <w:rsid w:val="00125318"/>
    <w:rsid w:val="00126A14"/>
    <w:rsid w:val="001305A2"/>
    <w:rsid w:val="00131476"/>
    <w:rsid w:val="00133238"/>
    <w:rsid w:val="00133E11"/>
    <w:rsid w:val="00135A33"/>
    <w:rsid w:val="00137322"/>
    <w:rsid w:val="0014197B"/>
    <w:rsid w:val="00141B46"/>
    <w:rsid w:val="001434DF"/>
    <w:rsid w:val="00143547"/>
    <w:rsid w:val="001447CD"/>
    <w:rsid w:val="00144C49"/>
    <w:rsid w:val="0014503C"/>
    <w:rsid w:val="001467B9"/>
    <w:rsid w:val="0014789C"/>
    <w:rsid w:val="001516B1"/>
    <w:rsid w:val="0015177A"/>
    <w:rsid w:val="00156316"/>
    <w:rsid w:val="00156653"/>
    <w:rsid w:val="00160C8F"/>
    <w:rsid w:val="00160FA8"/>
    <w:rsid w:val="00163E7C"/>
    <w:rsid w:val="00165389"/>
    <w:rsid w:val="0016554A"/>
    <w:rsid w:val="001675F1"/>
    <w:rsid w:val="00167A5E"/>
    <w:rsid w:val="00170FED"/>
    <w:rsid w:val="00175BDB"/>
    <w:rsid w:val="0017693F"/>
    <w:rsid w:val="00180568"/>
    <w:rsid w:val="0018110E"/>
    <w:rsid w:val="00181684"/>
    <w:rsid w:val="001837A1"/>
    <w:rsid w:val="001843C6"/>
    <w:rsid w:val="001850E0"/>
    <w:rsid w:val="001867C1"/>
    <w:rsid w:val="0019029E"/>
    <w:rsid w:val="001A1B90"/>
    <w:rsid w:val="001A2426"/>
    <w:rsid w:val="001A525F"/>
    <w:rsid w:val="001B05F9"/>
    <w:rsid w:val="001B07F8"/>
    <w:rsid w:val="001B09F9"/>
    <w:rsid w:val="001B63A4"/>
    <w:rsid w:val="001B6448"/>
    <w:rsid w:val="001C4FEB"/>
    <w:rsid w:val="001D0748"/>
    <w:rsid w:val="001D1664"/>
    <w:rsid w:val="001D281C"/>
    <w:rsid w:val="001D2837"/>
    <w:rsid w:val="001E07CF"/>
    <w:rsid w:val="001E104C"/>
    <w:rsid w:val="001E425B"/>
    <w:rsid w:val="001E4AC7"/>
    <w:rsid w:val="001E59F1"/>
    <w:rsid w:val="001E7CA3"/>
    <w:rsid w:val="001F2F78"/>
    <w:rsid w:val="001F49EB"/>
    <w:rsid w:val="001F6044"/>
    <w:rsid w:val="001F6CBA"/>
    <w:rsid w:val="00201D4E"/>
    <w:rsid w:val="0020571C"/>
    <w:rsid w:val="002079CB"/>
    <w:rsid w:val="0021402A"/>
    <w:rsid w:val="002152BD"/>
    <w:rsid w:val="0021721A"/>
    <w:rsid w:val="00217D05"/>
    <w:rsid w:val="00220B8A"/>
    <w:rsid w:val="0022324A"/>
    <w:rsid w:val="0022530A"/>
    <w:rsid w:val="002257F3"/>
    <w:rsid w:val="0022716B"/>
    <w:rsid w:val="00227CF4"/>
    <w:rsid w:val="0023048E"/>
    <w:rsid w:val="0023048F"/>
    <w:rsid w:val="0023078B"/>
    <w:rsid w:val="00232D87"/>
    <w:rsid w:val="00233456"/>
    <w:rsid w:val="002339A5"/>
    <w:rsid w:val="002346E6"/>
    <w:rsid w:val="002372FD"/>
    <w:rsid w:val="0024231E"/>
    <w:rsid w:val="00242725"/>
    <w:rsid w:val="0024456B"/>
    <w:rsid w:val="0024539F"/>
    <w:rsid w:val="00245DCE"/>
    <w:rsid w:val="002461C0"/>
    <w:rsid w:val="00246821"/>
    <w:rsid w:val="00246E3D"/>
    <w:rsid w:val="0024739A"/>
    <w:rsid w:val="002501BF"/>
    <w:rsid w:val="00251F86"/>
    <w:rsid w:val="00253BC9"/>
    <w:rsid w:val="00257848"/>
    <w:rsid w:val="00257AA5"/>
    <w:rsid w:val="0027084A"/>
    <w:rsid w:val="0027091E"/>
    <w:rsid w:val="00270CDA"/>
    <w:rsid w:val="00274112"/>
    <w:rsid w:val="00286434"/>
    <w:rsid w:val="00286C59"/>
    <w:rsid w:val="002942D1"/>
    <w:rsid w:val="002A0556"/>
    <w:rsid w:val="002A447E"/>
    <w:rsid w:val="002A504E"/>
    <w:rsid w:val="002B1218"/>
    <w:rsid w:val="002B1638"/>
    <w:rsid w:val="002B199A"/>
    <w:rsid w:val="002B2D1F"/>
    <w:rsid w:val="002B6AE5"/>
    <w:rsid w:val="002B7FE9"/>
    <w:rsid w:val="002C2A01"/>
    <w:rsid w:val="002D371E"/>
    <w:rsid w:val="002D3D18"/>
    <w:rsid w:val="002D5ED2"/>
    <w:rsid w:val="002D676D"/>
    <w:rsid w:val="002D7BA2"/>
    <w:rsid w:val="002E10DB"/>
    <w:rsid w:val="002E4C9A"/>
    <w:rsid w:val="002F11F8"/>
    <w:rsid w:val="002F2FC3"/>
    <w:rsid w:val="002F32B3"/>
    <w:rsid w:val="002F3A6F"/>
    <w:rsid w:val="002F3F56"/>
    <w:rsid w:val="002F44B5"/>
    <w:rsid w:val="002F61FC"/>
    <w:rsid w:val="003002A9"/>
    <w:rsid w:val="003003D0"/>
    <w:rsid w:val="00300C37"/>
    <w:rsid w:val="00302933"/>
    <w:rsid w:val="0030787D"/>
    <w:rsid w:val="00311446"/>
    <w:rsid w:val="00311AC0"/>
    <w:rsid w:val="003127F5"/>
    <w:rsid w:val="003238F6"/>
    <w:rsid w:val="003246C8"/>
    <w:rsid w:val="00325483"/>
    <w:rsid w:val="0033260A"/>
    <w:rsid w:val="00343A15"/>
    <w:rsid w:val="003507A6"/>
    <w:rsid w:val="003521E8"/>
    <w:rsid w:val="00352D43"/>
    <w:rsid w:val="0035403E"/>
    <w:rsid w:val="0036150F"/>
    <w:rsid w:val="003664BF"/>
    <w:rsid w:val="00366CA7"/>
    <w:rsid w:val="003703D1"/>
    <w:rsid w:val="00372416"/>
    <w:rsid w:val="003728EB"/>
    <w:rsid w:val="003728F3"/>
    <w:rsid w:val="00373880"/>
    <w:rsid w:val="00375302"/>
    <w:rsid w:val="003779FA"/>
    <w:rsid w:val="00390900"/>
    <w:rsid w:val="0039703E"/>
    <w:rsid w:val="003A46B8"/>
    <w:rsid w:val="003A52B2"/>
    <w:rsid w:val="003B5A46"/>
    <w:rsid w:val="003B7E39"/>
    <w:rsid w:val="003C0AF3"/>
    <w:rsid w:val="003C19A8"/>
    <w:rsid w:val="003C1F51"/>
    <w:rsid w:val="003C33BE"/>
    <w:rsid w:val="003C58DC"/>
    <w:rsid w:val="003C6F35"/>
    <w:rsid w:val="003D0981"/>
    <w:rsid w:val="003D0ECD"/>
    <w:rsid w:val="003D1170"/>
    <w:rsid w:val="003D6C66"/>
    <w:rsid w:val="003E003D"/>
    <w:rsid w:val="003E1985"/>
    <w:rsid w:val="003E3208"/>
    <w:rsid w:val="003E4C13"/>
    <w:rsid w:val="003E74D1"/>
    <w:rsid w:val="003F0B04"/>
    <w:rsid w:val="003F129A"/>
    <w:rsid w:val="003F1B0F"/>
    <w:rsid w:val="003F612D"/>
    <w:rsid w:val="0040134E"/>
    <w:rsid w:val="004024D7"/>
    <w:rsid w:val="0040373F"/>
    <w:rsid w:val="0040377F"/>
    <w:rsid w:val="00404F48"/>
    <w:rsid w:val="00410EAC"/>
    <w:rsid w:val="00411777"/>
    <w:rsid w:val="00411E88"/>
    <w:rsid w:val="00414A40"/>
    <w:rsid w:val="00415D8D"/>
    <w:rsid w:val="004169B7"/>
    <w:rsid w:val="00416EAC"/>
    <w:rsid w:val="00417BBA"/>
    <w:rsid w:val="004267E8"/>
    <w:rsid w:val="004269D1"/>
    <w:rsid w:val="004360FB"/>
    <w:rsid w:val="0043670B"/>
    <w:rsid w:val="00440A2D"/>
    <w:rsid w:val="00440DAF"/>
    <w:rsid w:val="00443384"/>
    <w:rsid w:val="00445E77"/>
    <w:rsid w:val="00452186"/>
    <w:rsid w:val="004564A7"/>
    <w:rsid w:val="004617BF"/>
    <w:rsid w:val="00463303"/>
    <w:rsid w:val="004652D6"/>
    <w:rsid w:val="004662EA"/>
    <w:rsid w:val="00481784"/>
    <w:rsid w:val="00481B5C"/>
    <w:rsid w:val="00491760"/>
    <w:rsid w:val="00491B61"/>
    <w:rsid w:val="004923FF"/>
    <w:rsid w:val="00493089"/>
    <w:rsid w:val="00494E60"/>
    <w:rsid w:val="004A38EE"/>
    <w:rsid w:val="004A4795"/>
    <w:rsid w:val="004A78CC"/>
    <w:rsid w:val="004B23A0"/>
    <w:rsid w:val="004B2F35"/>
    <w:rsid w:val="004B52A5"/>
    <w:rsid w:val="004B7B76"/>
    <w:rsid w:val="004C08EC"/>
    <w:rsid w:val="004C2568"/>
    <w:rsid w:val="004C2BF6"/>
    <w:rsid w:val="004C4691"/>
    <w:rsid w:val="004C51FB"/>
    <w:rsid w:val="004D12F5"/>
    <w:rsid w:val="004D617E"/>
    <w:rsid w:val="004E18B9"/>
    <w:rsid w:val="004E1DC9"/>
    <w:rsid w:val="004E3641"/>
    <w:rsid w:val="004F0F38"/>
    <w:rsid w:val="004F22B8"/>
    <w:rsid w:val="004F2D9F"/>
    <w:rsid w:val="004F3A16"/>
    <w:rsid w:val="004F3E7C"/>
    <w:rsid w:val="004F3F5C"/>
    <w:rsid w:val="00501921"/>
    <w:rsid w:val="005076E8"/>
    <w:rsid w:val="00515DA6"/>
    <w:rsid w:val="00516E81"/>
    <w:rsid w:val="00517C2B"/>
    <w:rsid w:val="005200EB"/>
    <w:rsid w:val="00521AE6"/>
    <w:rsid w:val="00530354"/>
    <w:rsid w:val="00531586"/>
    <w:rsid w:val="00536E30"/>
    <w:rsid w:val="005434C6"/>
    <w:rsid w:val="00543B39"/>
    <w:rsid w:val="0054427D"/>
    <w:rsid w:val="00545F70"/>
    <w:rsid w:val="00545F7B"/>
    <w:rsid w:val="00550096"/>
    <w:rsid w:val="00552B46"/>
    <w:rsid w:val="00554BA0"/>
    <w:rsid w:val="00557FF9"/>
    <w:rsid w:val="005614D2"/>
    <w:rsid w:val="00565FC4"/>
    <w:rsid w:val="0057001C"/>
    <w:rsid w:val="00571115"/>
    <w:rsid w:val="00571EFC"/>
    <w:rsid w:val="0057266C"/>
    <w:rsid w:val="00576378"/>
    <w:rsid w:val="00577E38"/>
    <w:rsid w:val="00585140"/>
    <w:rsid w:val="00585322"/>
    <w:rsid w:val="00593AD1"/>
    <w:rsid w:val="0059775C"/>
    <w:rsid w:val="005A1131"/>
    <w:rsid w:val="005A449F"/>
    <w:rsid w:val="005A7FAD"/>
    <w:rsid w:val="005B4D3A"/>
    <w:rsid w:val="005C2DEF"/>
    <w:rsid w:val="005C5570"/>
    <w:rsid w:val="005C79A4"/>
    <w:rsid w:val="005D5442"/>
    <w:rsid w:val="006065C2"/>
    <w:rsid w:val="006068FF"/>
    <w:rsid w:val="00613396"/>
    <w:rsid w:val="0062124C"/>
    <w:rsid w:val="0063073C"/>
    <w:rsid w:val="00635ECF"/>
    <w:rsid w:val="00640FC3"/>
    <w:rsid w:val="00642020"/>
    <w:rsid w:val="00645E34"/>
    <w:rsid w:val="0065337B"/>
    <w:rsid w:val="0065419D"/>
    <w:rsid w:val="006604D8"/>
    <w:rsid w:val="006615AE"/>
    <w:rsid w:val="00662F53"/>
    <w:rsid w:val="00664A5B"/>
    <w:rsid w:val="00667942"/>
    <w:rsid w:val="006704D0"/>
    <w:rsid w:val="00672628"/>
    <w:rsid w:val="00674474"/>
    <w:rsid w:val="00674DAF"/>
    <w:rsid w:val="00677790"/>
    <w:rsid w:val="00680C08"/>
    <w:rsid w:val="00680FBD"/>
    <w:rsid w:val="0068115D"/>
    <w:rsid w:val="0068284F"/>
    <w:rsid w:val="006842BE"/>
    <w:rsid w:val="0068741A"/>
    <w:rsid w:val="006927BC"/>
    <w:rsid w:val="006931B1"/>
    <w:rsid w:val="006A01D9"/>
    <w:rsid w:val="006A13DA"/>
    <w:rsid w:val="006A15C0"/>
    <w:rsid w:val="006A399C"/>
    <w:rsid w:val="006A7B7F"/>
    <w:rsid w:val="006B59FA"/>
    <w:rsid w:val="006B7AE7"/>
    <w:rsid w:val="006C182D"/>
    <w:rsid w:val="006C1F3B"/>
    <w:rsid w:val="006C23F1"/>
    <w:rsid w:val="006C3E2A"/>
    <w:rsid w:val="006C642F"/>
    <w:rsid w:val="006D03E5"/>
    <w:rsid w:val="006D3540"/>
    <w:rsid w:val="006D4FC3"/>
    <w:rsid w:val="006D5D3E"/>
    <w:rsid w:val="006D7E9D"/>
    <w:rsid w:val="006E08B3"/>
    <w:rsid w:val="006E1980"/>
    <w:rsid w:val="006E73F3"/>
    <w:rsid w:val="006E7802"/>
    <w:rsid w:val="006F02AC"/>
    <w:rsid w:val="006F13B5"/>
    <w:rsid w:val="006F572E"/>
    <w:rsid w:val="00700D55"/>
    <w:rsid w:val="007046D6"/>
    <w:rsid w:val="00705DB0"/>
    <w:rsid w:val="00706AFE"/>
    <w:rsid w:val="00706FE2"/>
    <w:rsid w:val="00710B19"/>
    <w:rsid w:val="00712EE4"/>
    <w:rsid w:val="00714FB5"/>
    <w:rsid w:val="00715E43"/>
    <w:rsid w:val="00716FA7"/>
    <w:rsid w:val="00724353"/>
    <w:rsid w:val="00726084"/>
    <w:rsid w:val="007302FA"/>
    <w:rsid w:val="007323B4"/>
    <w:rsid w:val="00733B6A"/>
    <w:rsid w:val="0073664D"/>
    <w:rsid w:val="00737124"/>
    <w:rsid w:val="00740B31"/>
    <w:rsid w:val="0074253D"/>
    <w:rsid w:val="00743CBF"/>
    <w:rsid w:val="0074429B"/>
    <w:rsid w:val="00745D5F"/>
    <w:rsid w:val="00746136"/>
    <w:rsid w:val="007477F8"/>
    <w:rsid w:val="00751D4C"/>
    <w:rsid w:val="00753301"/>
    <w:rsid w:val="007549FB"/>
    <w:rsid w:val="0075603E"/>
    <w:rsid w:val="007565AE"/>
    <w:rsid w:val="007615BC"/>
    <w:rsid w:val="00762F05"/>
    <w:rsid w:val="007652FF"/>
    <w:rsid w:val="00770140"/>
    <w:rsid w:val="00770C88"/>
    <w:rsid w:val="00771329"/>
    <w:rsid w:val="00772CEF"/>
    <w:rsid w:val="00773EF7"/>
    <w:rsid w:val="00774E1D"/>
    <w:rsid w:val="0077675A"/>
    <w:rsid w:val="007769D3"/>
    <w:rsid w:val="007770A4"/>
    <w:rsid w:val="00780355"/>
    <w:rsid w:val="00781735"/>
    <w:rsid w:val="00785721"/>
    <w:rsid w:val="00791678"/>
    <w:rsid w:val="007919EA"/>
    <w:rsid w:val="00792F09"/>
    <w:rsid w:val="00793A59"/>
    <w:rsid w:val="007A2162"/>
    <w:rsid w:val="007A319B"/>
    <w:rsid w:val="007A6F3B"/>
    <w:rsid w:val="007B7865"/>
    <w:rsid w:val="007C0F3D"/>
    <w:rsid w:val="007C1AF7"/>
    <w:rsid w:val="007C44CB"/>
    <w:rsid w:val="007C4790"/>
    <w:rsid w:val="007C76B5"/>
    <w:rsid w:val="007D118C"/>
    <w:rsid w:val="007E1D03"/>
    <w:rsid w:val="007E39A9"/>
    <w:rsid w:val="007E462A"/>
    <w:rsid w:val="007E76DA"/>
    <w:rsid w:val="007E78FC"/>
    <w:rsid w:val="007F34F8"/>
    <w:rsid w:val="007F74BD"/>
    <w:rsid w:val="00803331"/>
    <w:rsid w:val="00805714"/>
    <w:rsid w:val="008100B6"/>
    <w:rsid w:val="008127C6"/>
    <w:rsid w:val="00814520"/>
    <w:rsid w:val="00814CE3"/>
    <w:rsid w:val="00817110"/>
    <w:rsid w:val="00821776"/>
    <w:rsid w:val="00826007"/>
    <w:rsid w:val="00827B2B"/>
    <w:rsid w:val="00827F41"/>
    <w:rsid w:val="008321F5"/>
    <w:rsid w:val="00832369"/>
    <w:rsid w:val="00832C11"/>
    <w:rsid w:val="00833FE8"/>
    <w:rsid w:val="00834660"/>
    <w:rsid w:val="00834D93"/>
    <w:rsid w:val="0083644E"/>
    <w:rsid w:val="00836BC2"/>
    <w:rsid w:val="00842585"/>
    <w:rsid w:val="0084642D"/>
    <w:rsid w:val="00846C99"/>
    <w:rsid w:val="00856296"/>
    <w:rsid w:val="0085641B"/>
    <w:rsid w:val="00857136"/>
    <w:rsid w:val="00863B1D"/>
    <w:rsid w:val="00866F65"/>
    <w:rsid w:val="00871FDB"/>
    <w:rsid w:val="00877066"/>
    <w:rsid w:val="00881E2B"/>
    <w:rsid w:val="00885930"/>
    <w:rsid w:val="008872A9"/>
    <w:rsid w:val="00887365"/>
    <w:rsid w:val="00887D37"/>
    <w:rsid w:val="00890E8F"/>
    <w:rsid w:val="00895A07"/>
    <w:rsid w:val="00896018"/>
    <w:rsid w:val="00896866"/>
    <w:rsid w:val="008A2B9D"/>
    <w:rsid w:val="008A520C"/>
    <w:rsid w:val="008A5E0B"/>
    <w:rsid w:val="008A628A"/>
    <w:rsid w:val="008A6D59"/>
    <w:rsid w:val="008A7F9B"/>
    <w:rsid w:val="008B3E49"/>
    <w:rsid w:val="008B4B03"/>
    <w:rsid w:val="008B596F"/>
    <w:rsid w:val="008B785B"/>
    <w:rsid w:val="008C159F"/>
    <w:rsid w:val="008C1623"/>
    <w:rsid w:val="008C1BE2"/>
    <w:rsid w:val="008C3A45"/>
    <w:rsid w:val="008C4E34"/>
    <w:rsid w:val="008C51A9"/>
    <w:rsid w:val="008C6267"/>
    <w:rsid w:val="008C69BC"/>
    <w:rsid w:val="008D2816"/>
    <w:rsid w:val="008D50AE"/>
    <w:rsid w:val="008D687D"/>
    <w:rsid w:val="008D6F95"/>
    <w:rsid w:val="008E27F1"/>
    <w:rsid w:val="008E2DAB"/>
    <w:rsid w:val="008E6F53"/>
    <w:rsid w:val="008E7524"/>
    <w:rsid w:val="008F1CCC"/>
    <w:rsid w:val="008F2967"/>
    <w:rsid w:val="008F580A"/>
    <w:rsid w:val="00902455"/>
    <w:rsid w:val="00907B2D"/>
    <w:rsid w:val="00920330"/>
    <w:rsid w:val="009219D7"/>
    <w:rsid w:val="00922D53"/>
    <w:rsid w:val="00923B70"/>
    <w:rsid w:val="0092424D"/>
    <w:rsid w:val="0092508C"/>
    <w:rsid w:val="0092600B"/>
    <w:rsid w:val="00930237"/>
    <w:rsid w:val="00940103"/>
    <w:rsid w:val="009453CE"/>
    <w:rsid w:val="00947F79"/>
    <w:rsid w:val="009522A9"/>
    <w:rsid w:val="009527F4"/>
    <w:rsid w:val="00956D21"/>
    <w:rsid w:val="009578C4"/>
    <w:rsid w:val="00961457"/>
    <w:rsid w:val="00962673"/>
    <w:rsid w:val="00963C08"/>
    <w:rsid w:val="009749DF"/>
    <w:rsid w:val="0098068F"/>
    <w:rsid w:val="00982367"/>
    <w:rsid w:val="00982678"/>
    <w:rsid w:val="00983655"/>
    <w:rsid w:val="00990922"/>
    <w:rsid w:val="009958EC"/>
    <w:rsid w:val="00997E98"/>
    <w:rsid w:val="009A1D75"/>
    <w:rsid w:val="009A4CED"/>
    <w:rsid w:val="009A6616"/>
    <w:rsid w:val="009A6CAF"/>
    <w:rsid w:val="009B15E8"/>
    <w:rsid w:val="009B1D12"/>
    <w:rsid w:val="009B3399"/>
    <w:rsid w:val="009B416B"/>
    <w:rsid w:val="009B5930"/>
    <w:rsid w:val="009B6EC1"/>
    <w:rsid w:val="009B7930"/>
    <w:rsid w:val="009C24B7"/>
    <w:rsid w:val="009C2A54"/>
    <w:rsid w:val="009C4BD5"/>
    <w:rsid w:val="009C59D7"/>
    <w:rsid w:val="009C65A4"/>
    <w:rsid w:val="009D145F"/>
    <w:rsid w:val="009D170D"/>
    <w:rsid w:val="009D269A"/>
    <w:rsid w:val="009D530B"/>
    <w:rsid w:val="009D54C0"/>
    <w:rsid w:val="009D7B77"/>
    <w:rsid w:val="009E0BB0"/>
    <w:rsid w:val="009E0F17"/>
    <w:rsid w:val="009E16D0"/>
    <w:rsid w:val="009E3FBB"/>
    <w:rsid w:val="009E43EE"/>
    <w:rsid w:val="009E62B1"/>
    <w:rsid w:val="009F5F9B"/>
    <w:rsid w:val="009F7867"/>
    <w:rsid w:val="00A03E95"/>
    <w:rsid w:val="00A04B48"/>
    <w:rsid w:val="00A056A0"/>
    <w:rsid w:val="00A111DD"/>
    <w:rsid w:val="00A1470B"/>
    <w:rsid w:val="00A14DF7"/>
    <w:rsid w:val="00A169DA"/>
    <w:rsid w:val="00A17CD2"/>
    <w:rsid w:val="00A23851"/>
    <w:rsid w:val="00A26D59"/>
    <w:rsid w:val="00A27E43"/>
    <w:rsid w:val="00A3246D"/>
    <w:rsid w:val="00A35E34"/>
    <w:rsid w:val="00A36FA7"/>
    <w:rsid w:val="00A37160"/>
    <w:rsid w:val="00A4383E"/>
    <w:rsid w:val="00A475B7"/>
    <w:rsid w:val="00A47AF7"/>
    <w:rsid w:val="00A47C3E"/>
    <w:rsid w:val="00A50226"/>
    <w:rsid w:val="00A57BE7"/>
    <w:rsid w:val="00A606D5"/>
    <w:rsid w:val="00A60BAD"/>
    <w:rsid w:val="00A61B30"/>
    <w:rsid w:val="00A61D1D"/>
    <w:rsid w:val="00A63407"/>
    <w:rsid w:val="00A6563B"/>
    <w:rsid w:val="00A73A8D"/>
    <w:rsid w:val="00A75755"/>
    <w:rsid w:val="00A77137"/>
    <w:rsid w:val="00A77BD3"/>
    <w:rsid w:val="00A86668"/>
    <w:rsid w:val="00A87E87"/>
    <w:rsid w:val="00A91DFB"/>
    <w:rsid w:val="00A95096"/>
    <w:rsid w:val="00AA0718"/>
    <w:rsid w:val="00AA2D48"/>
    <w:rsid w:val="00AA2FE3"/>
    <w:rsid w:val="00AA49A2"/>
    <w:rsid w:val="00AA77AF"/>
    <w:rsid w:val="00AB5E44"/>
    <w:rsid w:val="00AC1D58"/>
    <w:rsid w:val="00AC1E60"/>
    <w:rsid w:val="00AC2B40"/>
    <w:rsid w:val="00AC2BB2"/>
    <w:rsid w:val="00AC2C3C"/>
    <w:rsid w:val="00AC364A"/>
    <w:rsid w:val="00AC37AF"/>
    <w:rsid w:val="00AC49E1"/>
    <w:rsid w:val="00AC5EFA"/>
    <w:rsid w:val="00AC68E2"/>
    <w:rsid w:val="00AD38E1"/>
    <w:rsid w:val="00AE1619"/>
    <w:rsid w:val="00AE32A9"/>
    <w:rsid w:val="00AE32F3"/>
    <w:rsid w:val="00AE4DE6"/>
    <w:rsid w:val="00AE65EB"/>
    <w:rsid w:val="00AF1D94"/>
    <w:rsid w:val="00AF4FB1"/>
    <w:rsid w:val="00AF60C5"/>
    <w:rsid w:val="00B009C6"/>
    <w:rsid w:val="00B01548"/>
    <w:rsid w:val="00B02CCA"/>
    <w:rsid w:val="00B067F8"/>
    <w:rsid w:val="00B132DE"/>
    <w:rsid w:val="00B13F56"/>
    <w:rsid w:val="00B14C99"/>
    <w:rsid w:val="00B15E5C"/>
    <w:rsid w:val="00B160E1"/>
    <w:rsid w:val="00B17E8D"/>
    <w:rsid w:val="00B21D29"/>
    <w:rsid w:val="00B24873"/>
    <w:rsid w:val="00B24F9D"/>
    <w:rsid w:val="00B25034"/>
    <w:rsid w:val="00B26589"/>
    <w:rsid w:val="00B2782B"/>
    <w:rsid w:val="00B27FCE"/>
    <w:rsid w:val="00B33863"/>
    <w:rsid w:val="00B34026"/>
    <w:rsid w:val="00B35086"/>
    <w:rsid w:val="00B37812"/>
    <w:rsid w:val="00B37898"/>
    <w:rsid w:val="00B37D17"/>
    <w:rsid w:val="00B4175E"/>
    <w:rsid w:val="00B43006"/>
    <w:rsid w:val="00B43E03"/>
    <w:rsid w:val="00B54C25"/>
    <w:rsid w:val="00B56277"/>
    <w:rsid w:val="00B61F7B"/>
    <w:rsid w:val="00B65DB8"/>
    <w:rsid w:val="00B73D47"/>
    <w:rsid w:val="00B76B91"/>
    <w:rsid w:val="00B8519C"/>
    <w:rsid w:val="00B85B79"/>
    <w:rsid w:val="00B93717"/>
    <w:rsid w:val="00B93853"/>
    <w:rsid w:val="00B96878"/>
    <w:rsid w:val="00BA5BB9"/>
    <w:rsid w:val="00BB01FA"/>
    <w:rsid w:val="00BB2D0C"/>
    <w:rsid w:val="00BB7F63"/>
    <w:rsid w:val="00BC4DA2"/>
    <w:rsid w:val="00BC4DBD"/>
    <w:rsid w:val="00BC622A"/>
    <w:rsid w:val="00BD0659"/>
    <w:rsid w:val="00BD2959"/>
    <w:rsid w:val="00BD2FC6"/>
    <w:rsid w:val="00BD36D0"/>
    <w:rsid w:val="00BD3875"/>
    <w:rsid w:val="00BD41D3"/>
    <w:rsid w:val="00BD6C0C"/>
    <w:rsid w:val="00BD762E"/>
    <w:rsid w:val="00BE0A78"/>
    <w:rsid w:val="00BE2FE4"/>
    <w:rsid w:val="00BE673D"/>
    <w:rsid w:val="00BE79F0"/>
    <w:rsid w:val="00BF046D"/>
    <w:rsid w:val="00BF5D04"/>
    <w:rsid w:val="00BF6B07"/>
    <w:rsid w:val="00C06A51"/>
    <w:rsid w:val="00C07F83"/>
    <w:rsid w:val="00C10DD4"/>
    <w:rsid w:val="00C133B0"/>
    <w:rsid w:val="00C13563"/>
    <w:rsid w:val="00C16F1C"/>
    <w:rsid w:val="00C17FD8"/>
    <w:rsid w:val="00C20595"/>
    <w:rsid w:val="00C33CB0"/>
    <w:rsid w:val="00C34A54"/>
    <w:rsid w:val="00C3502A"/>
    <w:rsid w:val="00C36EC5"/>
    <w:rsid w:val="00C37AD0"/>
    <w:rsid w:val="00C401E5"/>
    <w:rsid w:val="00C404A6"/>
    <w:rsid w:val="00C40A36"/>
    <w:rsid w:val="00C42205"/>
    <w:rsid w:val="00C43B02"/>
    <w:rsid w:val="00C44419"/>
    <w:rsid w:val="00C45E7B"/>
    <w:rsid w:val="00C471B1"/>
    <w:rsid w:val="00C53564"/>
    <w:rsid w:val="00C53D7B"/>
    <w:rsid w:val="00C54E0F"/>
    <w:rsid w:val="00C61587"/>
    <w:rsid w:val="00C627C3"/>
    <w:rsid w:val="00C6316B"/>
    <w:rsid w:val="00C634A9"/>
    <w:rsid w:val="00C661EE"/>
    <w:rsid w:val="00C72261"/>
    <w:rsid w:val="00C75395"/>
    <w:rsid w:val="00C772FF"/>
    <w:rsid w:val="00C801AF"/>
    <w:rsid w:val="00C80256"/>
    <w:rsid w:val="00C8061B"/>
    <w:rsid w:val="00C80B60"/>
    <w:rsid w:val="00C83154"/>
    <w:rsid w:val="00C8530D"/>
    <w:rsid w:val="00C912E5"/>
    <w:rsid w:val="00C9150D"/>
    <w:rsid w:val="00C92F9C"/>
    <w:rsid w:val="00C964DE"/>
    <w:rsid w:val="00C96F84"/>
    <w:rsid w:val="00C97DA2"/>
    <w:rsid w:val="00CA1B92"/>
    <w:rsid w:val="00CA31B2"/>
    <w:rsid w:val="00CA3BC1"/>
    <w:rsid w:val="00CA4F54"/>
    <w:rsid w:val="00CA66DB"/>
    <w:rsid w:val="00CA68EF"/>
    <w:rsid w:val="00CB1FC2"/>
    <w:rsid w:val="00CB4249"/>
    <w:rsid w:val="00CB62DB"/>
    <w:rsid w:val="00CB6BC0"/>
    <w:rsid w:val="00CC0DB3"/>
    <w:rsid w:val="00CC16F2"/>
    <w:rsid w:val="00CC1B7C"/>
    <w:rsid w:val="00CC25EB"/>
    <w:rsid w:val="00CC5A2E"/>
    <w:rsid w:val="00CC727F"/>
    <w:rsid w:val="00CE1643"/>
    <w:rsid w:val="00CE460C"/>
    <w:rsid w:val="00CE5BB0"/>
    <w:rsid w:val="00CE62C3"/>
    <w:rsid w:val="00CF15C3"/>
    <w:rsid w:val="00CF2B6F"/>
    <w:rsid w:val="00CF6C46"/>
    <w:rsid w:val="00CF7F5A"/>
    <w:rsid w:val="00D017ED"/>
    <w:rsid w:val="00D02479"/>
    <w:rsid w:val="00D04F1E"/>
    <w:rsid w:val="00D0673D"/>
    <w:rsid w:val="00D1358D"/>
    <w:rsid w:val="00D153B1"/>
    <w:rsid w:val="00D224FE"/>
    <w:rsid w:val="00D242AC"/>
    <w:rsid w:val="00D329DB"/>
    <w:rsid w:val="00D32D5E"/>
    <w:rsid w:val="00D41E18"/>
    <w:rsid w:val="00D44CFD"/>
    <w:rsid w:val="00D46335"/>
    <w:rsid w:val="00D464AC"/>
    <w:rsid w:val="00D53B8F"/>
    <w:rsid w:val="00D54785"/>
    <w:rsid w:val="00D54C36"/>
    <w:rsid w:val="00D6493E"/>
    <w:rsid w:val="00D73E47"/>
    <w:rsid w:val="00D742B0"/>
    <w:rsid w:val="00D81699"/>
    <w:rsid w:val="00D85F12"/>
    <w:rsid w:val="00D86B2C"/>
    <w:rsid w:val="00D9053D"/>
    <w:rsid w:val="00D92D8D"/>
    <w:rsid w:val="00DA1124"/>
    <w:rsid w:val="00DA1AFE"/>
    <w:rsid w:val="00DA2A4A"/>
    <w:rsid w:val="00DA720C"/>
    <w:rsid w:val="00DA747D"/>
    <w:rsid w:val="00DB3186"/>
    <w:rsid w:val="00DB6580"/>
    <w:rsid w:val="00DC0ADB"/>
    <w:rsid w:val="00DC133D"/>
    <w:rsid w:val="00DC64B4"/>
    <w:rsid w:val="00DC6B47"/>
    <w:rsid w:val="00DC6F0A"/>
    <w:rsid w:val="00DD05EF"/>
    <w:rsid w:val="00DD1285"/>
    <w:rsid w:val="00DD1FEA"/>
    <w:rsid w:val="00DD2605"/>
    <w:rsid w:val="00DD75A3"/>
    <w:rsid w:val="00DE02AE"/>
    <w:rsid w:val="00DE12A0"/>
    <w:rsid w:val="00DE1760"/>
    <w:rsid w:val="00DE6A0C"/>
    <w:rsid w:val="00DF1D7F"/>
    <w:rsid w:val="00DF60D5"/>
    <w:rsid w:val="00DF6680"/>
    <w:rsid w:val="00E02FB4"/>
    <w:rsid w:val="00E04048"/>
    <w:rsid w:val="00E1743A"/>
    <w:rsid w:val="00E20571"/>
    <w:rsid w:val="00E21651"/>
    <w:rsid w:val="00E233DD"/>
    <w:rsid w:val="00E235F7"/>
    <w:rsid w:val="00E239D4"/>
    <w:rsid w:val="00E2432D"/>
    <w:rsid w:val="00E25E60"/>
    <w:rsid w:val="00E27F5F"/>
    <w:rsid w:val="00E31ACF"/>
    <w:rsid w:val="00E35544"/>
    <w:rsid w:val="00E40B22"/>
    <w:rsid w:val="00E40F33"/>
    <w:rsid w:val="00E4588F"/>
    <w:rsid w:val="00E45EA5"/>
    <w:rsid w:val="00E46DA3"/>
    <w:rsid w:val="00E47673"/>
    <w:rsid w:val="00E525F5"/>
    <w:rsid w:val="00E52D58"/>
    <w:rsid w:val="00E53B10"/>
    <w:rsid w:val="00E6527B"/>
    <w:rsid w:val="00E912A2"/>
    <w:rsid w:val="00E937C3"/>
    <w:rsid w:val="00E955F5"/>
    <w:rsid w:val="00E97A2F"/>
    <w:rsid w:val="00EA18AA"/>
    <w:rsid w:val="00EA406B"/>
    <w:rsid w:val="00EA7BFB"/>
    <w:rsid w:val="00EB0084"/>
    <w:rsid w:val="00EB0798"/>
    <w:rsid w:val="00EB0A24"/>
    <w:rsid w:val="00EB4071"/>
    <w:rsid w:val="00EB40AD"/>
    <w:rsid w:val="00EB586E"/>
    <w:rsid w:val="00EB5FC8"/>
    <w:rsid w:val="00EB6A3A"/>
    <w:rsid w:val="00EC3C3A"/>
    <w:rsid w:val="00EC4543"/>
    <w:rsid w:val="00EC5C76"/>
    <w:rsid w:val="00EC6E23"/>
    <w:rsid w:val="00EC7314"/>
    <w:rsid w:val="00ED09D8"/>
    <w:rsid w:val="00ED2502"/>
    <w:rsid w:val="00ED5A41"/>
    <w:rsid w:val="00EE0EEA"/>
    <w:rsid w:val="00EE2B93"/>
    <w:rsid w:val="00EE3694"/>
    <w:rsid w:val="00EE7E72"/>
    <w:rsid w:val="00EE7F1B"/>
    <w:rsid w:val="00EF037D"/>
    <w:rsid w:val="00EF0773"/>
    <w:rsid w:val="00EF1770"/>
    <w:rsid w:val="00EF3598"/>
    <w:rsid w:val="00EF578B"/>
    <w:rsid w:val="00F033EC"/>
    <w:rsid w:val="00F04624"/>
    <w:rsid w:val="00F0492A"/>
    <w:rsid w:val="00F04F68"/>
    <w:rsid w:val="00F06EE0"/>
    <w:rsid w:val="00F12670"/>
    <w:rsid w:val="00F12D55"/>
    <w:rsid w:val="00F14B27"/>
    <w:rsid w:val="00F20808"/>
    <w:rsid w:val="00F3148D"/>
    <w:rsid w:val="00F31878"/>
    <w:rsid w:val="00F321E6"/>
    <w:rsid w:val="00F32588"/>
    <w:rsid w:val="00F35298"/>
    <w:rsid w:val="00F35E35"/>
    <w:rsid w:val="00F42CF5"/>
    <w:rsid w:val="00F47E37"/>
    <w:rsid w:val="00F50FAB"/>
    <w:rsid w:val="00F53EA1"/>
    <w:rsid w:val="00F565FA"/>
    <w:rsid w:val="00F601A5"/>
    <w:rsid w:val="00F640B6"/>
    <w:rsid w:val="00F643F4"/>
    <w:rsid w:val="00F6544C"/>
    <w:rsid w:val="00F700AD"/>
    <w:rsid w:val="00F712AC"/>
    <w:rsid w:val="00F73214"/>
    <w:rsid w:val="00F737B6"/>
    <w:rsid w:val="00F80E40"/>
    <w:rsid w:val="00F84F19"/>
    <w:rsid w:val="00F87A4D"/>
    <w:rsid w:val="00F91416"/>
    <w:rsid w:val="00F91A5D"/>
    <w:rsid w:val="00F93D68"/>
    <w:rsid w:val="00FA0A98"/>
    <w:rsid w:val="00FA5960"/>
    <w:rsid w:val="00FA5B82"/>
    <w:rsid w:val="00FA639E"/>
    <w:rsid w:val="00FB5F96"/>
    <w:rsid w:val="00FB7CA4"/>
    <w:rsid w:val="00FC1D06"/>
    <w:rsid w:val="00FC25E4"/>
    <w:rsid w:val="00FC2B32"/>
    <w:rsid w:val="00FC4EF7"/>
    <w:rsid w:val="00FC5338"/>
    <w:rsid w:val="00FC6D35"/>
    <w:rsid w:val="00FD4FA3"/>
    <w:rsid w:val="00FE1DEE"/>
    <w:rsid w:val="00FE25DF"/>
    <w:rsid w:val="00FF1697"/>
    <w:rsid w:val="00FF2126"/>
    <w:rsid w:val="00FF4091"/>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0" w:unhideWhenUsed="0" w:qFormat="1"/>
    <w:lsdException w:name="endnote text" w:uiPriority="0"/>
    <w:lsdException w:name="List Bullet" w:semiHidden="0" w:unhideWhenUsed="0" w:qFormat="1"/>
    <w:lsdException w:name="List Number" w:uiPriority="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nhideWhenUsed="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uiPriority="34"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7D118C"/>
    <w:pPr>
      <w:spacing w:before="180" w:after="180" w:line="240" w:lineRule="atLeast"/>
    </w:pPr>
    <w:rPr>
      <w:rFonts w:ascii="Cambria" w:hAnsi="Cambria"/>
    </w:rPr>
  </w:style>
  <w:style w:type="paragraph" w:styleId="Heading1">
    <w:name w:val="heading 1"/>
    <w:basedOn w:val="Normal"/>
    <w:next w:val="Normal"/>
    <w:link w:val="Heading1Char"/>
    <w:qFormat/>
    <w:rsid w:val="00246821"/>
    <w:pPr>
      <w:keepNext/>
      <w:keepLines/>
      <w:spacing w:before="360" w:after="240"/>
      <w:outlineLvl w:val="0"/>
    </w:pPr>
    <w:rPr>
      <w:rFonts w:ascii="Arial" w:eastAsia="Times New Roman" w:hAnsi="Arial"/>
      <w:b/>
      <w:bCs/>
      <w:sz w:val="36"/>
      <w:szCs w:val="48"/>
    </w:rPr>
  </w:style>
  <w:style w:type="paragraph" w:styleId="Heading2">
    <w:name w:val="heading 2"/>
    <w:basedOn w:val="Normal"/>
    <w:next w:val="Normal"/>
    <w:link w:val="Heading2Char"/>
    <w:qFormat/>
    <w:rsid w:val="00552B46"/>
    <w:pPr>
      <w:keepNext/>
      <w:keepLines/>
      <w:pageBreakBefore/>
      <w:spacing w:before="480" w:after="120"/>
      <w:outlineLvl w:val="1"/>
    </w:pPr>
    <w:rPr>
      <w:rFonts w:ascii="Arial" w:eastAsia="Times New Roman" w:hAnsi="Arial"/>
      <w:b/>
      <w:bCs/>
      <w:sz w:val="32"/>
      <w:szCs w:val="38"/>
    </w:rPr>
  </w:style>
  <w:style w:type="paragraph" w:styleId="Heading3">
    <w:name w:val="heading 3"/>
    <w:basedOn w:val="Normal"/>
    <w:next w:val="Normal"/>
    <w:link w:val="Heading3Char"/>
    <w:qFormat/>
    <w:rsid w:val="00552B46"/>
    <w:pPr>
      <w:keepNext/>
      <w:keepLines/>
      <w:spacing w:before="360" w:after="120"/>
      <w:ind w:left="567" w:hanging="567"/>
      <w:outlineLvl w:val="2"/>
    </w:pPr>
    <w:rPr>
      <w:rFonts w:ascii="Arial" w:eastAsia="Times New Roman" w:hAnsi="Arial"/>
      <w:b/>
      <w:bCs/>
      <w:sz w:val="28"/>
      <w:szCs w:val="32"/>
    </w:rPr>
  </w:style>
  <w:style w:type="paragraph" w:styleId="Heading4">
    <w:name w:val="heading 4"/>
    <w:basedOn w:val="Normal"/>
    <w:next w:val="Normal"/>
    <w:link w:val="Heading4Char"/>
    <w:qFormat/>
    <w:rsid w:val="00552B46"/>
    <w:pPr>
      <w:keepNext/>
      <w:keepLines/>
      <w:spacing w:before="360" w:after="120"/>
      <w:ind w:left="709" w:hanging="709"/>
      <w:outlineLvl w:val="3"/>
    </w:pPr>
    <w:rPr>
      <w:rFonts w:ascii="Arial" w:hAnsi="Arial"/>
      <w:b/>
      <w:bCs/>
      <w:sz w:val="26"/>
      <w:szCs w:val="26"/>
    </w:rPr>
  </w:style>
  <w:style w:type="paragraph" w:styleId="Heading5">
    <w:name w:val="heading 5"/>
    <w:basedOn w:val="Normal"/>
    <w:next w:val="Normal"/>
    <w:link w:val="Heading5Char"/>
    <w:uiPriority w:val="9"/>
    <w:rsid w:val="00552B46"/>
    <w:pPr>
      <w:keepNext/>
      <w:keepLines/>
      <w:spacing w:before="240" w:after="120"/>
      <w:outlineLvl w:val="4"/>
    </w:pPr>
    <w:rPr>
      <w:rFonts w:eastAsia="Times New Roman"/>
      <w:b/>
      <w:bCs/>
      <w:color w:val="001523"/>
      <w:sz w:val="24"/>
      <w:szCs w:val="26"/>
    </w:rPr>
  </w:style>
  <w:style w:type="paragraph" w:styleId="Heading6">
    <w:name w:val="heading 6"/>
    <w:basedOn w:val="Normal"/>
    <w:next w:val="Normal"/>
    <w:link w:val="Heading6Char"/>
    <w:uiPriority w:val="9"/>
    <w:rsid w:val="002F2FC3"/>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2F2FC3"/>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821"/>
    <w:rPr>
      <w:rFonts w:ascii="Arial" w:eastAsia="Times New Roman" w:hAnsi="Arial"/>
      <w:b/>
      <w:bCs/>
      <w:sz w:val="36"/>
      <w:szCs w:val="48"/>
    </w:rPr>
  </w:style>
  <w:style w:type="character" w:customStyle="1" w:styleId="Heading2Char">
    <w:name w:val="Heading 2 Char"/>
    <w:basedOn w:val="DefaultParagraphFont"/>
    <w:link w:val="Heading2"/>
    <w:rsid w:val="00552B46"/>
    <w:rPr>
      <w:rFonts w:ascii="Arial" w:eastAsia="Times New Roman" w:hAnsi="Arial"/>
      <w:b/>
      <w:bCs/>
      <w:sz w:val="32"/>
      <w:szCs w:val="38"/>
    </w:rPr>
  </w:style>
  <w:style w:type="character" w:customStyle="1" w:styleId="Heading3Char">
    <w:name w:val="Heading 3 Char"/>
    <w:basedOn w:val="DefaultParagraphFont"/>
    <w:link w:val="Heading3"/>
    <w:rsid w:val="00552B46"/>
    <w:rPr>
      <w:rFonts w:ascii="Arial" w:eastAsia="Times New Roman" w:hAnsi="Arial"/>
      <w:b/>
      <w:bCs/>
      <w:sz w:val="28"/>
      <w:szCs w:val="32"/>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description">
    <w:name w:val="Figure description"/>
    <w:basedOn w:val="Normal"/>
    <w:next w:val="Normal"/>
    <w:rsid w:val="00A95096"/>
    <w:pPr>
      <w:spacing w:after="240" w:line="180" w:lineRule="atLeast"/>
    </w:pPr>
    <w:rPr>
      <w:sz w:val="18"/>
    </w:rPr>
  </w:style>
  <w:style w:type="paragraph" w:customStyle="1" w:styleId="Figuretitle">
    <w:name w:val="Figure title"/>
    <w:basedOn w:val="Normal"/>
    <w:next w:val="Normal"/>
    <w:rsid w:val="00F643F4"/>
    <w:pPr>
      <w:outlineLvl w:val="4"/>
    </w:pPr>
    <w:rPr>
      <w:b/>
    </w:rPr>
  </w:style>
  <w:style w:type="character" w:customStyle="1" w:styleId="Heading4Char">
    <w:name w:val="Heading 4 Char"/>
    <w:basedOn w:val="DefaultParagraphFont"/>
    <w:link w:val="Heading4"/>
    <w:rsid w:val="00552B46"/>
    <w:rPr>
      <w:rFonts w:ascii="Arial" w:hAnsi="Arial"/>
      <w:b/>
      <w:bCs/>
      <w:sz w:val="26"/>
      <w:szCs w:val="26"/>
    </w:rPr>
  </w:style>
  <w:style w:type="character" w:styleId="FollowedHyperlink">
    <w:name w:val="FollowedHyperlink"/>
    <w:basedOn w:val="DefaultParagraphFont"/>
    <w:semiHidden/>
    <w:unhideWhenUsed/>
    <w:rsid w:val="006A399C"/>
    <w:rPr>
      <w:color w:val="800080"/>
      <w:u w:val="single"/>
    </w:rPr>
  </w:style>
  <w:style w:type="paragraph" w:styleId="Footer">
    <w:name w:val="footer"/>
    <w:basedOn w:val="Normal"/>
    <w:link w:val="FooterChar"/>
    <w:uiPriority w:val="99"/>
    <w:qFormat/>
    <w:rsid w:val="009527F4"/>
    <w:pPr>
      <w:tabs>
        <w:tab w:val="center" w:pos="4513"/>
        <w:tab w:val="right" w:pos="9026"/>
      </w:tabs>
      <w:spacing w:line="240" w:lineRule="auto"/>
    </w:pPr>
    <w:rPr>
      <w:sz w:val="17"/>
    </w:rPr>
  </w:style>
  <w:style w:type="character" w:customStyle="1" w:styleId="FooterChar">
    <w:name w:val="Footer Char"/>
    <w:basedOn w:val="DefaultParagraphFont"/>
    <w:link w:val="Footer"/>
    <w:uiPriority w:val="99"/>
    <w:rsid w:val="009527F4"/>
    <w:rPr>
      <w:rFonts w:ascii="Cambria" w:hAnsi="Cambria"/>
      <w:sz w:val="17"/>
    </w:rPr>
  </w:style>
  <w:style w:type="paragraph" w:styleId="Header">
    <w:name w:val="header"/>
    <w:basedOn w:val="Normal"/>
    <w:link w:val="HeaderChar"/>
    <w:uiPriority w:val="99"/>
    <w:rsid w:val="009527F4"/>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9527F4"/>
    <w:rPr>
      <w:rFonts w:ascii="Cambria" w:hAnsi="Cambria"/>
      <w:sz w:val="17"/>
    </w:rPr>
  </w:style>
  <w:style w:type="paragraph" w:customStyle="1" w:styleId="Headernoline">
    <w:name w:val="Header no line"/>
    <w:basedOn w:val="Header"/>
    <w:rsid w:val="009527F4"/>
    <w:pPr>
      <w:pBdr>
        <w:bottom w:val="none" w:sz="0" w:space="0" w:color="auto"/>
      </w:pBdr>
      <w:spacing w:line="240" w:lineRule="atLeast"/>
    </w:pPr>
  </w:style>
  <w:style w:type="character" w:customStyle="1" w:styleId="Heading5Char">
    <w:name w:val="Heading 5 Char"/>
    <w:basedOn w:val="DefaultParagraphFont"/>
    <w:link w:val="Heading5"/>
    <w:uiPriority w:val="9"/>
    <w:rsid w:val="00552B46"/>
    <w:rPr>
      <w:rFonts w:ascii="Cambria" w:eastAsia="Times New Roman" w:hAnsi="Cambria"/>
      <w:b/>
      <w:bCs/>
      <w:color w:val="001523"/>
      <w:sz w:val="24"/>
      <w:szCs w:val="26"/>
    </w:rPr>
  </w:style>
  <w:style w:type="character" w:customStyle="1" w:styleId="Heading6Char">
    <w:name w:val="Heading 6 Char"/>
    <w:basedOn w:val="DefaultParagraphFont"/>
    <w:link w:val="Heading6"/>
    <w:uiPriority w:val="9"/>
    <w:rsid w:val="002F2FC3"/>
    <w:rPr>
      <w:rFonts w:ascii="Cambria" w:eastAsia="Times New Roman" w:hAnsi="Cambria"/>
      <w:b/>
      <w:bCs/>
      <w:i/>
      <w:sz w:val="22"/>
      <w:szCs w:val="21"/>
    </w:rPr>
  </w:style>
  <w:style w:type="character" w:customStyle="1" w:styleId="Heading7Char">
    <w:name w:val="Heading 7 Char"/>
    <w:basedOn w:val="DefaultParagraphFont"/>
    <w:link w:val="Heading7"/>
    <w:uiPriority w:val="9"/>
    <w:rsid w:val="002F2FC3"/>
    <w:rPr>
      <w:rFonts w:ascii="Cambria" w:eastAsia="Times New Roman" w:hAnsi="Cambria"/>
      <w:bCs/>
      <w:i/>
      <w:sz w:val="22"/>
      <w:szCs w:val="22"/>
    </w:rPr>
  </w:style>
  <w:style w:type="character" w:styleId="Hyperlink">
    <w:name w:val="Hyperlink"/>
    <w:aliases w:val="OECD Hyperlink"/>
    <w:basedOn w:val="DefaultParagraphFont"/>
    <w:uiPriority w:val="99"/>
    <w:unhideWhenUsed/>
    <w:rsid w:val="006A399C"/>
    <w:rPr>
      <w:color w:val="0000FF"/>
      <w:u w:val="single"/>
    </w:rPr>
  </w:style>
  <w:style w:type="paragraph" w:customStyle="1" w:styleId="LegalCopy">
    <w:name w:val="Legal Copy"/>
    <w:basedOn w:val="Footer"/>
    <w:semiHidden/>
    <w:unhideWhenUsed/>
    <w:rsid w:val="00F3148D"/>
  </w:style>
  <w:style w:type="paragraph" w:customStyle="1" w:styleId="LegalSubheading">
    <w:name w:val="Legal Subheading"/>
    <w:basedOn w:val="Footer"/>
    <w:semiHidden/>
    <w:unhideWhenUsed/>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FB5F96"/>
    <w:pPr>
      <w:numPr>
        <w:numId w:val="3"/>
      </w:numPr>
    </w:pPr>
  </w:style>
  <w:style w:type="paragraph" w:styleId="ListBullet2">
    <w:name w:val="List Bullet 2"/>
    <w:basedOn w:val="Normal"/>
    <w:uiPriority w:val="99"/>
    <w:qFormat/>
    <w:rsid w:val="00232D87"/>
    <w:pPr>
      <w:numPr>
        <w:ilvl w:val="1"/>
        <w:numId w:val="3"/>
      </w:numPr>
      <w:ind w:left="850" w:hanging="425"/>
    </w:pPr>
  </w:style>
  <w:style w:type="paragraph" w:styleId="ListBullet3">
    <w:name w:val="List Bullet 3"/>
    <w:basedOn w:val="Normal"/>
    <w:uiPriority w:val="99"/>
    <w:qFormat/>
    <w:rsid w:val="00232D87"/>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246821"/>
    <w:pPr>
      <w:keepNext/>
      <w:keepLines/>
      <w:spacing w:before="360"/>
    </w:pPr>
    <w:rPr>
      <w:sz w:val="32"/>
      <w:szCs w:val="32"/>
    </w:rPr>
  </w:style>
  <w:style w:type="paragraph" w:customStyle="1" w:styleId="Notes">
    <w:name w:val="Notes"/>
    <w:basedOn w:val="Normal"/>
    <w:semiHidden/>
    <w:locked/>
    <w:rsid w:val="00F3148D"/>
    <w:pPr>
      <w:spacing w:line="240" w:lineRule="auto"/>
    </w:pPr>
    <w:rPr>
      <w:rFonts w:ascii="Arial" w:hAnsi="Arial"/>
      <w:sz w:val="16"/>
    </w:rPr>
  </w:style>
  <w:style w:type="paragraph" w:customStyle="1" w:styleId="Numberbullet0">
    <w:name w:val="Number bullet"/>
    <w:basedOn w:val="ListBullet"/>
    <w:qFormat/>
    <w:rsid w:val="00232D87"/>
    <w:pPr>
      <w:numPr>
        <w:numId w:val="2"/>
      </w:numPr>
    </w:pPr>
  </w:style>
  <w:style w:type="paragraph" w:customStyle="1" w:styleId="Numberbullet2">
    <w:name w:val="Number bullet 2"/>
    <w:basedOn w:val="ListBullet2"/>
    <w:qFormat/>
    <w:rsid w:val="009B7930"/>
    <w:pPr>
      <w:numPr>
        <w:numId w:val="2"/>
      </w:numPr>
    </w:pPr>
    <w:rPr>
      <w:i/>
    </w:rPr>
  </w:style>
  <w:style w:type="paragraph" w:customStyle="1" w:styleId="Numberbullet3">
    <w:name w:val="Number bullet 3"/>
    <w:basedOn w:val="ListBullet3"/>
    <w:qFormat/>
    <w:rsid w:val="00232D87"/>
    <w:pPr>
      <w:numPr>
        <w:numId w:val="2"/>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9527F4"/>
    <w:pPr>
      <w:spacing w:before="40"/>
      <w:ind w:left="170" w:hanging="170"/>
    </w:pPr>
    <w:rPr>
      <w:sz w:val="19"/>
    </w:rPr>
  </w:style>
  <w:style w:type="paragraph" w:customStyle="1" w:styleId="Tabledescription">
    <w:name w:val="Table description"/>
    <w:basedOn w:val="Figuredescription"/>
    <w:next w:val="Normal"/>
    <w:rsid w:val="00A95096"/>
  </w:style>
  <w:style w:type="table" w:customStyle="1" w:styleId="TableTGAblue">
    <w:name w:val="Table TGA blue"/>
    <w:basedOn w:val="TableNormal"/>
    <w:uiPriority w:val="99"/>
    <w:qFormat/>
    <w:rsid w:val="00BD0659"/>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BD0659"/>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rsid w:val="00F643F4"/>
    <w:pPr>
      <w:keepNext/>
      <w:outlineLvl w:val="4"/>
    </w:pPr>
    <w:rPr>
      <w:b/>
    </w:rPr>
  </w:style>
  <w:style w:type="paragraph" w:styleId="TOC1">
    <w:name w:val="toc 1"/>
    <w:basedOn w:val="Normal"/>
    <w:next w:val="Normal"/>
    <w:uiPriority w:val="39"/>
    <w:unhideWhenUsed/>
    <w:rsid w:val="00B067F8"/>
    <w:pPr>
      <w:keepNext/>
      <w:keepLines/>
      <w:tabs>
        <w:tab w:val="right" w:leader="underscore" w:pos="9072"/>
      </w:tabs>
      <w:spacing w:after="200"/>
    </w:pPr>
    <w:rPr>
      <w:rFonts w:ascii="Arial" w:hAnsi="Arial"/>
      <w:b/>
      <w:sz w:val="26"/>
    </w:rPr>
  </w:style>
  <w:style w:type="paragraph" w:styleId="TOC2">
    <w:name w:val="toc 2"/>
    <w:basedOn w:val="Normal"/>
    <w:next w:val="Normal"/>
    <w:uiPriority w:val="39"/>
    <w:unhideWhenUsed/>
    <w:rsid w:val="00B067F8"/>
    <w:pPr>
      <w:keepLines/>
      <w:tabs>
        <w:tab w:val="right" w:leader="underscore" w:pos="9072"/>
      </w:tabs>
      <w:spacing w:after="100"/>
      <w:ind w:left="425"/>
    </w:pPr>
    <w:rPr>
      <w:sz w:val="25"/>
    </w:rPr>
  </w:style>
  <w:style w:type="paragraph" w:styleId="TOC3">
    <w:name w:val="toc 3"/>
    <w:basedOn w:val="Normal"/>
    <w:next w:val="Normal"/>
    <w:uiPriority w:val="39"/>
    <w:unhideWhenUsed/>
    <w:rsid w:val="00B067F8"/>
    <w:pPr>
      <w:keepLines/>
      <w:tabs>
        <w:tab w:val="right" w:leader="underscore" w:pos="9072"/>
      </w:tabs>
      <w:spacing w:after="100"/>
      <w:ind w:left="851"/>
    </w:pPr>
  </w:style>
  <w:style w:type="paragraph" w:styleId="TOCHeading">
    <w:name w:val="TOC Heading"/>
    <w:basedOn w:val="Heading1"/>
    <w:next w:val="Normal"/>
    <w:uiPriority w:val="39"/>
    <w:semiHidden/>
    <w:unhideWhenUsed/>
    <w:qFormat/>
    <w:rsid w:val="00F3148D"/>
    <w:pPr>
      <w:spacing w:before="480" w:after="0" w:line="276" w:lineRule="auto"/>
      <w:outlineLvl w:val="9"/>
    </w:pPr>
    <w:rPr>
      <w:bCs w:val="0"/>
      <w:color w:val="002035"/>
      <w:sz w:val="28"/>
      <w:lang w:val="en-US"/>
    </w:rPr>
  </w:style>
  <w:style w:type="paragraph" w:customStyle="1" w:styleId="Subject">
    <w:name w:val="Subject"/>
    <w:basedOn w:val="Normal"/>
    <w:rsid w:val="00055B86"/>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styleId="Caption">
    <w:name w:val="caption"/>
    <w:aliases w:val="o,Beschriftung Char,Beschriftung Char1 Char,Beschriftung Char Char Char,Char,Bayer Caption,o + Links,! Q, Char"/>
    <w:basedOn w:val="Tabletitle"/>
    <w:next w:val="Normal"/>
    <w:link w:val="CaptionChar"/>
    <w:qFormat/>
    <w:rsid w:val="0033260A"/>
  </w:style>
  <w:style w:type="paragraph" w:styleId="FootnoteText">
    <w:name w:val="footnote text"/>
    <w:basedOn w:val="Normal"/>
    <w:link w:val="FootnoteTextChar"/>
    <w:uiPriority w:val="99"/>
    <w:rsid w:val="003003D0"/>
    <w:pPr>
      <w:keepLines/>
      <w:spacing w:before="0" w:after="0"/>
    </w:pPr>
    <w:rPr>
      <w:sz w:val="20"/>
    </w:rPr>
  </w:style>
  <w:style w:type="character" w:customStyle="1" w:styleId="FootnoteTextChar">
    <w:name w:val="Footnote Text Char"/>
    <w:basedOn w:val="DefaultParagraphFont"/>
    <w:link w:val="FootnoteText"/>
    <w:uiPriority w:val="99"/>
    <w:rsid w:val="003003D0"/>
    <w:rPr>
      <w:rFonts w:ascii="Cambria" w:hAnsi="Cambria"/>
      <w:sz w:val="20"/>
    </w:rPr>
  </w:style>
  <w:style w:type="paragraph" w:styleId="Subtitle">
    <w:name w:val="Subtitle"/>
    <w:basedOn w:val="Normal"/>
    <w:next w:val="Normal"/>
    <w:link w:val="SubtitleChar"/>
    <w:uiPriority w:val="11"/>
    <w:unhideWhenUsed/>
    <w:qFormat/>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1D75"/>
    <w:rPr>
      <w:rFonts w:ascii="Arial" w:eastAsia="Times New Roman" w:hAnsi="Arial"/>
      <w:bCs/>
      <w:iCs/>
      <w:sz w:val="40"/>
      <w:szCs w:val="24"/>
    </w:rPr>
  </w:style>
  <w:style w:type="paragraph" w:styleId="Title">
    <w:name w:val="Title"/>
    <w:next w:val="Normal"/>
    <w:link w:val="TitleChar"/>
    <w:uiPriority w:val="10"/>
    <w:unhideWhenUsed/>
    <w:qFormat/>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1D75"/>
    <w:rPr>
      <w:rFonts w:ascii="Arial" w:eastAsia="Times New Roman" w:hAnsi="Arial"/>
      <w:spacing w:val="5"/>
      <w:kern w:val="28"/>
      <w:sz w:val="52"/>
      <w:szCs w:val="52"/>
    </w:rPr>
  </w:style>
  <w:style w:type="paragraph" w:customStyle="1" w:styleId="FlowChartWhiteText">
    <w:name w:val="Flow Chart White Text"/>
    <w:basedOn w:val="Normal"/>
    <w:semiHidden/>
    <w:unhideWhenUsed/>
    <w:rsid w:val="007E78FC"/>
    <w:pPr>
      <w:jc w:val="center"/>
    </w:pPr>
    <w:rPr>
      <w:rFonts w:ascii="Arial" w:hAnsi="Arial"/>
      <w:color w:val="FFFFFF"/>
    </w:rPr>
  </w:style>
  <w:style w:type="paragraph" w:customStyle="1" w:styleId="FlowchartText">
    <w:name w:val="Flowchart Text"/>
    <w:basedOn w:val="Normal"/>
    <w:semiHidden/>
    <w:unhideWhenUsed/>
    <w:rsid w:val="007E78FC"/>
    <w:pPr>
      <w:jc w:val="center"/>
    </w:pPr>
    <w:rPr>
      <w:rFonts w:ascii="Arial" w:hAnsi="Arial"/>
    </w:rPr>
  </w:style>
  <w:style w:type="paragraph" w:customStyle="1" w:styleId="Quotation">
    <w:name w:val="Quotation"/>
    <w:basedOn w:val="Normal"/>
    <w:next w:val="Normal"/>
    <w:uiPriority w:val="4"/>
    <w:qFormat/>
    <w:rsid w:val="00055B86"/>
    <w:pPr>
      <w:ind w:left="425"/>
    </w:pPr>
    <w:rPr>
      <w:sz w:val="20"/>
    </w:rPr>
  </w:style>
  <w:style w:type="character" w:styleId="FootnoteReference">
    <w:name w:val="footnote reference"/>
    <w:basedOn w:val="DefaultParagraphFont"/>
    <w:uiPriority w:val="99"/>
    <w:unhideWhenUsed/>
    <w:rsid w:val="009527F4"/>
    <w:rPr>
      <w:vertAlign w:val="superscript"/>
    </w:rPr>
  </w:style>
  <w:style w:type="paragraph" w:styleId="TOC4">
    <w:name w:val="toc 4"/>
    <w:basedOn w:val="Normal"/>
    <w:next w:val="Normal"/>
    <w:autoRedefine/>
    <w:uiPriority w:val="39"/>
    <w:unhideWhenUsed/>
    <w:rsid w:val="00B067F8"/>
    <w:pPr>
      <w:keepLines/>
      <w:tabs>
        <w:tab w:val="right" w:leader="underscore" w:pos="9072"/>
      </w:tabs>
      <w:spacing w:after="100"/>
      <w:ind w:left="1276"/>
    </w:pPr>
  </w:style>
  <w:style w:type="paragraph" w:styleId="TOC5">
    <w:name w:val="toc 5"/>
    <w:basedOn w:val="Normal"/>
    <w:next w:val="Normal"/>
    <w:autoRedefine/>
    <w:uiPriority w:val="39"/>
    <w:unhideWhenUsed/>
    <w:rsid w:val="00B067F8"/>
    <w:pPr>
      <w:keepLines/>
      <w:tabs>
        <w:tab w:val="left" w:leader="underscore" w:pos="9072"/>
      </w:tabs>
      <w:spacing w:after="100"/>
      <w:ind w:left="1701"/>
    </w:pPr>
    <w:rPr>
      <w:noProof/>
    </w:rPr>
  </w:style>
  <w:style w:type="paragraph" w:styleId="TOC6">
    <w:name w:val="toc 6"/>
    <w:basedOn w:val="Normal"/>
    <w:next w:val="Normal"/>
    <w:autoRedefine/>
    <w:uiPriority w:val="39"/>
    <w:semiHidden/>
    <w:unhideWhenUsed/>
    <w:rsid w:val="00B067F8"/>
    <w:pPr>
      <w:tabs>
        <w:tab w:val="right" w:pos="8505"/>
      </w:tabs>
      <w:spacing w:after="100"/>
      <w:ind w:left="2126"/>
    </w:pPr>
  </w:style>
  <w:style w:type="paragraph" w:styleId="TOC7">
    <w:name w:val="toc 7"/>
    <w:basedOn w:val="Normal"/>
    <w:next w:val="Normal"/>
    <w:autoRedefine/>
    <w:uiPriority w:val="39"/>
    <w:semiHidden/>
    <w:unhideWhenUsed/>
    <w:rsid w:val="00B067F8"/>
    <w:pPr>
      <w:spacing w:after="100"/>
      <w:ind w:left="2211"/>
    </w:pPr>
  </w:style>
  <w:style w:type="paragraph" w:styleId="EndnoteText">
    <w:name w:val="endnote text"/>
    <w:basedOn w:val="FootnoteText"/>
    <w:link w:val="EndnoteTextChar"/>
    <w:semiHidden/>
    <w:unhideWhenUsed/>
    <w:rsid w:val="0033260A"/>
  </w:style>
  <w:style w:type="character" w:customStyle="1" w:styleId="EndnoteTextChar">
    <w:name w:val="Endnote Text Char"/>
    <w:basedOn w:val="DefaultParagraphFont"/>
    <w:link w:val="EndnoteText"/>
    <w:semiHidden/>
    <w:rsid w:val="0033260A"/>
    <w:rPr>
      <w:rFonts w:ascii="Cambria" w:hAnsi="Cambria"/>
    </w:rPr>
  </w:style>
  <w:style w:type="character" w:styleId="EndnoteReference">
    <w:name w:val="endnote reference"/>
    <w:basedOn w:val="DefaultParagraphFont"/>
    <w:uiPriority w:val="99"/>
    <w:semiHidden/>
    <w:unhideWhenUsed/>
    <w:rsid w:val="0033260A"/>
    <w:rPr>
      <w:vertAlign w:val="superscript"/>
    </w:rPr>
  </w:style>
  <w:style w:type="paragraph" w:styleId="TableofFigures">
    <w:name w:val="table of figures"/>
    <w:basedOn w:val="Normal"/>
    <w:next w:val="Normal"/>
    <w:uiPriority w:val="99"/>
    <w:semiHidden/>
    <w:unhideWhenUsed/>
    <w:rsid w:val="006A7B7F"/>
  </w:style>
  <w:style w:type="paragraph" w:customStyle="1" w:styleId="NonTOCheading3">
    <w:name w:val="Non TOC heading 3"/>
    <w:next w:val="Normal"/>
    <w:uiPriority w:val="1"/>
    <w:qFormat/>
    <w:rsid w:val="00E25E60"/>
    <w:pPr>
      <w:keepNext/>
      <w:spacing w:before="360" w:after="180" w:line="240" w:lineRule="auto"/>
    </w:pPr>
    <w:rPr>
      <w:rFonts w:ascii="Cambria" w:hAnsi="Cambria"/>
      <w:sz w:val="28"/>
    </w:rPr>
  </w:style>
  <w:style w:type="character" w:styleId="CommentReference">
    <w:name w:val="annotation reference"/>
    <w:basedOn w:val="DefaultParagraphFont"/>
    <w:uiPriority w:val="99"/>
    <w:semiHidden/>
    <w:unhideWhenUsed/>
    <w:rsid w:val="00FF4091"/>
    <w:rPr>
      <w:sz w:val="16"/>
      <w:szCs w:val="16"/>
    </w:rPr>
  </w:style>
  <w:style w:type="paragraph" w:styleId="CommentText">
    <w:name w:val="annotation text"/>
    <w:basedOn w:val="Normal"/>
    <w:link w:val="CommentTextChar"/>
    <w:uiPriority w:val="99"/>
    <w:unhideWhenUsed/>
    <w:rsid w:val="00FF4091"/>
    <w:pPr>
      <w:spacing w:line="240" w:lineRule="auto"/>
    </w:pPr>
    <w:rPr>
      <w:sz w:val="20"/>
      <w:szCs w:val="20"/>
    </w:rPr>
  </w:style>
  <w:style w:type="character" w:customStyle="1" w:styleId="CommentTextChar">
    <w:name w:val="Comment Text Char"/>
    <w:basedOn w:val="DefaultParagraphFont"/>
    <w:link w:val="CommentText"/>
    <w:uiPriority w:val="99"/>
    <w:rsid w:val="00FF4091"/>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FF4091"/>
    <w:rPr>
      <w:b/>
      <w:bCs/>
    </w:rPr>
  </w:style>
  <w:style w:type="character" w:customStyle="1" w:styleId="CommentSubjectChar">
    <w:name w:val="Comment Subject Char"/>
    <w:basedOn w:val="CommentTextChar"/>
    <w:link w:val="CommentSubject"/>
    <w:uiPriority w:val="99"/>
    <w:semiHidden/>
    <w:rsid w:val="00FF4091"/>
    <w:rPr>
      <w:rFonts w:ascii="Cambria" w:hAnsi="Cambria"/>
      <w:b/>
      <w:bCs/>
      <w:sz w:val="20"/>
      <w:szCs w:val="20"/>
    </w:rPr>
  </w:style>
  <w:style w:type="character" w:styleId="HTMLCite">
    <w:name w:val="HTML Cite"/>
    <w:basedOn w:val="DefaultParagraphFont"/>
    <w:uiPriority w:val="99"/>
    <w:semiHidden/>
    <w:unhideWhenUsed/>
    <w:rsid w:val="00180568"/>
    <w:rPr>
      <w:i/>
      <w:iCs/>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locked/>
    <w:rsid w:val="00180568"/>
    <w:pPr>
      <w:ind w:left="720"/>
      <w:contextualSpacing/>
    </w:pPr>
    <w:rPr>
      <w:rFonts w:cs="Times New Roman"/>
      <w:szCs w:val="20"/>
    </w:rPr>
  </w:style>
  <w:style w:type="paragraph" w:customStyle="1" w:styleId="Numberbullet2-52E1reasons">
    <w:name w:val="Number bullet 2 - 52E(1) reasons"/>
    <w:basedOn w:val="ListParagraph"/>
    <w:qFormat/>
    <w:rsid w:val="00B93717"/>
    <w:pPr>
      <w:numPr>
        <w:numId w:val="14"/>
      </w:numPr>
      <w:spacing w:before="120" w:after="120"/>
    </w:pPr>
    <w:rPr>
      <w:i/>
      <w:u w:val="single"/>
    </w:rPr>
  </w:style>
  <w:style w:type="paragraph" w:customStyle="1" w:styleId="FigureTitle0">
    <w:name w:val="Figure Title"/>
    <w:basedOn w:val="Normal"/>
    <w:rsid w:val="00FC1D06"/>
    <w:pPr>
      <w:spacing w:line="220" w:lineRule="atLeast"/>
    </w:pPr>
    <w:rPr>
      <w:rFonts w:cs="Times New Roman"/>
      <w:b/>
      <w:szCs w:val="20"/>
    </w:rPr>
  </w:style>
  <w:style w:type="paragraph" w:customStyle="1" w:styleId="TableHeading">
    <w:name w:val="Table Heading"/>
    <w:basedOn w:val="Normal"/>
    <w:link w:val="TableHeadingChar"/>
    <w:qFormat/>
    <w:rsid w:val="00FC1D06"/>
    <w:rPr>
      <w:rFonts w:cs="Times New Roman"/>
      <w:b/>
      <w:color w:val="FFFFFF"/>
    </w:rPr>
  </w:style>
  <w:style w:type="character" w:customStyle="1" w:styleId="TableHeadingChar">
    <w:name w:val="Table Heading Char"/>
    <w:basedOn w:val="DefaultParagraphFont"/>
    <w:link w:val="TableHeading"/>
    <w:rsid w:val="00FC1D06"/>
    <w:rPr>
      <w:rFonts w:ascii="Cambria" w:hAnsi="Cambria" w:cs="Times New Roman"/>
      <w:b/>
      <w:color w:val="FFFFFF"/>
    </w:rPr>
  </w:style>
  <w:style w:type="paragraph" w:customStyle="1" w:styleId="TableTitle0">
    <w:name w:val="Table Title"/>
    <w:basedOn w:val="Normal"/>
    <w:next w:val="Normal"/>
    <w:qFormat/>
    <w:rsid w:val="00E04048"/>
    <w:rPr>
      <w:rFonts w:cs="Times New Roman"/>
      <w:b/>
      <w:szCs w:val="20"/>
    </w:rPr>
  </w:style>
  <w:style w:type="paragraph" w:customStyle="1" w:styleId="Numberbullet2-52E1reason">
    <w:name w:val="Number bullet 2 - 52E(1) reason"/>
    <w:basedOn w:val="ListParagraph"/>
    <w:qFormat/>
    <w:rsid w:val="00A37160"/>
    <w:pPr>
      <w:numPr>
        <w:numId w:val="15"/>
      </w:numPr>
      <w:ind w:left="357" w:hanging="357"/>
      <w:contextualSpacing w:val="0"/>
    </w:pPr>
    <w:rPr>
      <w:rFonts w:eastAsia="Times New Roman" w:cstheme="minorBidi"/>
      <w:bCs/>
      <w:i/>
      <w:szCs w:val="22"/>
      <w:u w:val="single"/>
    </w:rPr>
  </w:style>
  <w:style w:type="paragraph" w:customStyle="1" w:styleId="Default">
    <w:name w:val="Default"/>
    <w:rsid w:val="00F50FAB"/>
    <w:pPr>
      <w:autoSpaceDE w:val="0"/>
      <w:autoSpaceDN w:val="0"/>
      <w:adjustRightInd w:val="0"/>
      <w:spacing w:after="0" w:line="240" w:lineRule="auto"/>
    </w:pPr>
    <w:rPr>
      <w:rFonts w:ascii="Times New Roman" w:hAnsi="Times New Roman" w:cs="Times New Roman"/>
      <w:color w:val="000000"/>
      <w:sz w:val="24"/>
      <w:szCs w:val="24"/>
      <w:lang w:eastAsia="en-AU"/>
    </w:rPr>
  </w:style>
  <w:style w:type="character" w:customStyle="1" w:styleId="CaptionChar">
    <w:name w:val="Caption Char"/>
    <w:aliases w:val="o Char,Beschriftung Char Char,Beschriftung Char1 Char Char,Beschriftung Char Char Char Char,Char Char,Bayer Caption Char,o + Links Char,! Q Char, Char Char"/>
    <w:basedOn w:val="DefaultParagraphFont"/>
    <w:link w:val="Caption"/>
    <w:locked/>
    <w:rsid w:val="00E97A2F"/>
    <w:rPr>
      <w:rFonts w:ascii="Cambria" w:hAnsi="Cambria"/>
      <w:b/>
    </w:rPr>
  </w:style>
  <w:style w:type="character" w:styleId="Strong">
    <w:name w:val="Strong"/>
    <w:basedOn w:val="DefaultParagraphFont"/>
    <w:uiPriority w:val="22"/>
    <w:qFormat/>
    <w:rsid w:val="00E97A2F"/>
    <w:rPr>
      <w:b/>
      <w:bCs/>
    </w:rPr>
  </w:style>
  <w:style w:type="table" w:customStyle="1" w:styleId="TableGrid1">
    <w:name w:val="Table Grid1"/>
    <w:basedOn w:val="TableNormal"/>
    <w:next w:val="TableGrid"/>
    <w:uiPriority w:val="59"/>
    <w:rsid w:val="001A2426"/>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cheduleBody">
    <w:name w:val="Schedule Body"/>
    <w:basedOn w:val="Normal"/>
    <w:next w:val="Normal"/>
    <w:link w:val="ScheduleBodyChar"/>
    <w:rsid w:val="001A2426"/>
    <w:pPr>
      <w:spacing w:before="0" w:after="240" w:line="240" w:lineRule="auto"/>
      <w:ind w:left="851" w:hanging="851"/>
    </w:pPr>
    <w:rPr>
      <w:rFonts w:ascii="Times New Roman" w:eastAsia="Times New Roman" w:hAnsi="Times New Roman" w:cs="Times New Roman"/>
      <w:sz w:val="24"/>
      <w:szCs w:val="20"/>
      <w:lang w:eastAsia="en-AU"/>
    </w:rPr>
  </w:style>
  <w:style w:type="character" w:customStyle="1" w:styleId="ScheduleBodyChar">
    <w:name w:val="Schedule Body Char"/>
    <w:link w:val="ScheduleBody"/>
    <w:rsid w:val="001A2426"/>
    <w:rPr>
      <w:rFonts w:ascii="Times New Roman" w:eastAsia="Times New Roman" w:hAnsi="Times New Roman" w:cs="Times New Roman"/>
      <w:sz w:val="24"/>
      <w:szCs w:val="20"/>
      <w:lang w:eastAsia="en-AU"/>
    </w:rPr>
  </w:style>
  <w:style w:type="character" w:styleId="Emphasis">
    <w:name w:val="Emphasis"/>
    <w:uiPriority w:val="20"/>
    <w:qFormat/>
    <w:rsid w:val="00EB6A3A"/>
    <w:rPr>
      <w:caps/>
      <w:color w:val="003653" w:themeColor="accent1" w:themeShade="7F"/>
      <w:spacing w:val="5"/>
    </w:rPr>
  </w:style>
  <w:style w:type="character" w:customStyle="1" w:styleId="st1">
    <w:name w:val="st1"/>
    <w:basedOn w:val="DefaultParagraphFont"/>
    <w:rsid w:val="00EB6A3A"/>
  </w:style>
  <w:style w:type="character" w:customStyle="1" w:styleId="ilfuvd">
    <w:name w:val="ilfuvd"/>
    <w:basedOn w:val="DefaultParagraphFont"/>
    <w:rsid w:val="00EB6A3A"/>
  </w:style>
  <w:style w:type="paragraph" w:customStyle="1" w:styleId="SectionHeading">
    <w:name w:val="Section Heading"/>
    <w:basedOn w:val="Heading1"/>
    <w:next w:val="Heading1"/>
    <w:qFormat/>
    <w:rsid w:val="00814520"/>
    <w:pPr>
      <w:keepLines w:val="0"/>
      <w:spacing w:before="240" w:after="360" w:line="276" w:lineRule="auto"/>
      <w:ind w:left="-851"/>
      <w:outlineLvl w:val="9"/>
    </w:pPr>
    <w:rPr>
      <w:rFonts w:eastAsia="Cambria" w:cs="Arial"/>
      <w:color w:val="17365D"/>
      <w:kern w:val="32"/>
      <w:sz w:val="48"/>
      <w:szCs w:val="32"/>
      <w:lang w:val="en-GB"/>
    </w:rPr>
  </w:style>
  <w:style w:type="paragraph" w:customStyle="1" w:styleId="SectionLabel">
    <w:name w:val="Section Label"/>
    <w:basedOn w:val="Normal"/>
    <w:next w:val="BodyText"/>
    <w:qFormat/>
    <w:rsid w:val="00814520"/>
    <w:pPr>
      <w:keepNext/>
      <w:keepLines/>
      <w:pageBreakBefore/>
      <w:pBdr>
        <w:bottom w:val="single" w:sz="6" w:space="2" w:color="auto"/>
      </w:pBdr>
      <w:spacing w:before="360" w:after="0" w:line="220" w:lineRule="atLeast"/>
      <w:ind w:left="-851"/>
    </w:pPr>
    <w:rPr>
      <w:rFonts w:ascii="Arial Black" w:hAnsi="Arial Black"/>
      <w:spacing w:val="-35"/>
      <w:kern w:val="28"/>
      <w:sz w:val="54"/>
      <w:lang w:val="en-GB"/>
    </w:rPr>
  </w:style>
  <w:style w:type="paragraph" w:styleId="BodyText">
    <w:name w:val="Body Text"/>
    <w:basedOn w:val="Normal"/>
    <w:link w:val="BodyTextChar"/>
    <w:qFormat/>
    <w:rsid w:val="00814520"/>
    <w:pPr>
      <w:spacing w:line="276" w:lineRule="auto"/>
      <w:jc w:val="both"/>
    </w:pPr>
    <w:rPr>
      <w:lang w:val="en-US"/>
    </w:rPr>
  </w:style>
  <w:style w:type="character" w:customStyle="1" w:styleId="BodyTextChar">
    <w:name w:val="Body Text Char"/>
    <w:basedOn w:val="DefaultParagraphFont"/>
    <w:link w:val="BodyText"/>
    <w:rsid w:val="00814520"/>
    <w:rPr>
      <w:rFonts w:ascii="Cambria" w:hAnsi="Cambria"/>
      <w:lang w:val="en-US"/>
    </w:rPr>
  </w:style>
  <w:style w:type="paragraph" w:customStyle="1" w:styleId="TableText">
    <w:name w:val="Table Text"/>
    <w:basedOn w:val="BodyText"/>
    <w:qFormat/>
    <w:rsid w:val="00814520"/>
    <w:pPr>
      <w:spacing w:before="0" w:after="0"/>
    </w:pPr>
    <w:rPr>
      <w:rFonts w:eastAsia="Times New Roman"/>
      <w:lang w:val="en-GB"/>
    </w:rPr>
  </w:style>
  <w:style w:type="paragraph" w:customStyle="1" w:styleId="TableTextSCC">
    <w:name w:val="Table Text (SCC)"/>
    <w:basedOn w:val="BodyText"/>
    <w:qFormat/>
    <w:rsid w:val="00814520"/>
    <w:pPr>
      <w:spacing w:before="40" w:after="40" w:line="240" w:lineRule="auto"/>
      <w:jc w:val="left"/>
    </w:pPr>
    <w:rPr>
      <w:rFonts w:ascii="Arial" w:eastAsia="Times New Roman" w:hAnsi="Arial"/>
      <w:szCs w:val="24"/>
      <w:lang w:val="en-AU" w:eastAsia="en-AU"/>
    </w:rPr>
  </w:style>
  <w:style w:type="paragraph" w:customStyle="1" w:styleId="BodyTextSCC">
    <w:name w:val="Body Text (SCC)"/>
    <w:qFormat/>
    <w:rsid w:val="00814520"/>
    <w:pPr>
      <w:spacing w:before="100" w:after="100" w:line="240" w:lineRule="auto"/>
    </w:pPr>
    <w:rPr>
      <w:rFonts w:ascii="Arial" w:eastAsia="Times New Roman" w:hAnsi="Arial" w:cs="Times New Roman"/>
      <w:szCs w:val="24"/>
      <w:lang w:eastAsia="en-AU"/>
    </w:rPr>
  </w:style>
  <w:style w:type="paragraph" w:customStyle="1" w:styleId="Heading2SCC">
    <w:name w:val="Heading 2 (SCC)"/>
    <w:qFormat/>
    <w:rsid w:val="00814520"/>
    <w:pPr>
      <w:keepNext/>
      <w:spacing w:before="200" w:after="0" w:line="240" w:lineRule="auto"/>
    </w:pPr>
    <w:rPr>
      <w:rFonts w:ascii="Arial" w:eastAsia="Times New Roman" w:hAnsi="Arial" w:cs="Times New Roman"/>
      <w:b/>
      <w:color w:val="00629B"/>
      <w:sz w:val="26"/>
      <w:szCs w:val="24"/>
      <w:lang w:eastAsia="en-AU"/>
    </w:rPr>
  </w:style>
  <w:style w:type="paragraph" w:customStyle="1" w:styleId="Heading3SCC">
    <w:name w:val="Heading 3 (SCC)"/>
    <w:qFormat/>
    <w:rsid w:val="00814520"/>
    <w:pPr>
      <w:keepNext/>
      <w:spacing w:before="200" w:after="0" w:line="240" w:lineRule="auto"/>
    </w:pPr>
    <w:rPr>
      <w:rFonts w:ascii="Arial" w:eastAsia="Times New Roman" w:hAnsi="Arial" w:cs="Times New Roman"/>
      <w:color w:val="00629B"/>
      <w:sz w:val="24"/>
      <w:szCs w:val="24"/>
      <w:lang w:eastAsia="en-AU"/>
    </w:rPr>
  </w:style>
  <w:style w:type="paragraph" w:styleId="ListNumber">
    <w:name w:val="List Number"/>
    <w:basedOn w:val="Normal"/>
    <w:qFormat/>
    <w:rsid w:val="00814520"/>
    <w:pPr>
      <w:numPr>
        <w:numId w:val="33"/>
      </w:numPr>
      <w:spacing w:before="0" w:after="200" w:line="276" w:lineRule="auto"/>
    </w:pPr>
    <w:rPr>
      <w:rFonts w:ascii="Arial" w:hAnsi="Arial"/>
      <w:sz w:val="24"/>
      <w:lang w:val="en-GB"/>
    </w:r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rsid w:val="00814520"/>
    <w:rPr>
      <w:rFonts w:ascii="Cambria" w:hAnsi="Cambria" w:cs="Times New Roman"/>
      <w:szCs w:val="20"/>
    </w:rPr>
  </w:style>
  <w:style w:type="character" w:styleId="SubtleEmphasis">
    <w:name w:val="Subtle Emphasis"/>
    <w:uiPriority w:val="19"/>
    <w:qFormat/>
    <w:rsid w:val="00814520"/>
    <w:rPr>
      <w:i/>
      <w:iCs/>
      <w:color w:val="808080"/>
    </w:rPr>
  </w:style>
  <w:style w:type="character" w:styleId="IntenseEmphasis">
    <w:name w:val="Intense Emphasis"/>
    <w:uiPriority w:val="21"/>
    <w:qFormat/>
    <w:rsid w:val="00814520"/>
    <w:rPr>
      <w:b/>
      <w:bCs/>
      <w:i/>
      <w:iCs/>
      <w:color w:val="4F81BD"/>
    </w:rPr>
  </w:style>
  <w:style w:type="character" w:styleId="SubtleReference">
    <w:name w:val="Subtle Reference"/>
    <w:uiPriority w:val="31"/>
    <w:qFormat/>
    <w:rsid w:val="00814520"/>
    <w:rPr>
      <w:smallCaps/>
      <w:color w:val="C0504D"/>
      <w:u w:val="single"/>
    </w:rPr>
  </w:style>
  <w:style w:type="character" w:styleId="IntenseReference">
    <w:name w:val="Intense Reference"/>
    <w:uiPriority w:val="32"/>
    <w:qFormat/>
    <w:rsid w:val="00814520"/>
    <w:rPr>
      <w:b/>
      <w:bCs/>
      <w:smallCaps/>
      <w:color w:val="C0504D"/>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0" w:unhideWhenUsed="0" w:qFormat="1"/>
    <w:lsdException w:name="endnote text" w:uiPriority="0"/>
    <w:lsdException w:name="List Bullet" w:semiHidden="0" w:unhideWhenUsed="0" w:qFormat="1"/>
    <w:lsdException w:name="List Number" w:uiPriority="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nhideWhenUsed="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uiPriority="34"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7D118C"/>
    <w:pPr>
      <w:spacing w:before="180" w:after="180" w:line="240" w:lineRule="atLeast"/>
    </w:pPr>
    <w:rPr>
      <w:rFonts w:ascii="Cambria" w:hAnsi="Cambria"/>
    </w:rPr>
  </w:style>
  <w:style w:type="paragraph" w:styleId="Heading1">
    <w:name w:val="heading 1"/>
    <w:basedOn w:val="Normal"/>
    <w:next w:val="Normal"/>
    <w:link w:val="Heading1Char"/>
    <w:qFormat/>
    <w:rsid w:val="00246821"/>
    <w:pPr>
      <w:keepNext/>
      <w:keepLines/>
      <w:spacing w:before="360" w:after="240"/>
      <w:outlineLvl w:val="0"/>
    </w:pPr>
    <w:rPr>
      <w:rFonts w:ascii="Arial" w:eastAsia="Times New Roman" w:hAnsi="Arial"/>
      <w:b/>
      <w:bCs/>
      <w:sz w:val="36"/>
      <w:szCs w:val="48"/>
    </w:rPr>
  </w:style>
  <w:style w:type="paragraph" w:styleId="Heading2">
    <w:name w:val="heading 2"/>
    <w:basedOn w:val="Normal"/>
    <w:next w:val="Normal"/>
    <w:link w:val="Heading2Char"/>
    <w:qFormat/>
    <w:rsid w:val="00552B46"/>
    <w:pPr>
      <w:keepNext/>
      <w:keepLines/>
      <w:pageBreakBefore/>
      <w:spacing w:before="480" w:after="120"/>
      <w:outlineLvl w:val="1"/>
    </w:pPr>
    <w:rPr>
      <w:rFonts w:ascii="Arial" w:eastAsia="Times New Roman" w:hAnsi="Arial"/>
      <w:b/>
      <w:bCs/>
      <w:sz w:val="32"/>
      <w:szCs w:val="38"/>
    </w:rPr>
  </w:style>
  <w:style w:type="paragraph" w:styleId="Heading3">
    <w:name w:val="heading 3"/>
    <w:basedOn w:val="Normal"/>
    <w:next w:val="Normal"/>
    <w:link w:val="Heading3Char"/>
    <w:qFormat/>
    <w:rsid w:val="00552B46"/>
    <w:pPr>
      <w:keepNext/>
      <w:keepLines/>
      <w:spacing w:before="360" w:after="120"/>
      <w:ind w:left="567" w:hanging="567"/>
      <w:outlineLvl w:val="2"/>
    </w:pPr>
    <w:rPr>
      <w:rFonts w:ascii="Arial" w:eastAsia="Times New Roman" w:hAnsi="Arial"/>
      <w:b/>
      <w:bCs/>
      <w:sz w:val="28"/>
      <w:szCs w:val="32"/>
    </w:rPr>
  </w:style>
  <w:style w:type="paragraph" w:styleId="Heading4">
    <w:name w:val="heading 4"/>
    <w:basedOn w:val="Normal"/>
    <w:next w:val="Normal"/>
    <w:link w:val="Heading4Char"/>
    <w:qFormat/>
    <w:rsid w:val="00552B46"/>
    <w:pPr>
      <w:keepNext/>
      <w:keepLines/>
      <w:spacing w:before="360" w:after="120"/>
      <w:ind w:left="709" w:hanging="709"/>
      <w:outlineLvl w:val="3"/>
    </w:pPr>
    <w:rPr>
      <w:rFonts w:ascii="Arial" w:hAnsi="Arial"/>
      <w:b/>
      <w:bCs/>
      <w:sz w:val="26"/>
      <w:szCs w:val="26"/>
    </w:rPr>
  </w:style>
  <w:style w:type="paragraph" w:styleId="Heading5">
    <w:name w:val="heading 5"/>
    <w:basedOn w:val="Normal"/>
    <w:next w:val="Normal"/>
    <w:link w:val="Heading5Char"/>
    <w:uiPriority w:val="9"/>
    <w:rsid w:val="00552B46"/>
    <w:pPr>
      <w:keepNext/>
      <w:keepLines/>
      <w:spacing w:before="240" w:after="120"/>
      <w:outlineLvl w:val="4"/>
    </w:pPr>
    <w:rPr>
      <w:rFonts w:eastAsia="Times New Roman"/>
      <w:b/>
      <w:bCs/>
      <w:color w:val="001523"/>
      <w:sz w:val="24"/>
      <w:szCs w:val="26"/>
    </w:rPr>
  </w:style>
  <w:style w:type="paragraph" w:styleId="Heading6">
    <w:name w:val="heading 6"/>
    <w:basedOn w:val="Normal"/>
    <w:next w:val="Normal"/>
    <w:link w:val="Heading6Char"/>
    <w:uiPriority w:val="9"/>
    <w:rsid w:val="002F2FC3"/>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2F2FC3"/>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821"/>
    <w:rPr>
      <w:rFonts w:ascii="Arial" w:eastAsia="Times New Roman" w:hAnsi="Arial"/>
      <w:b/>
      <w:bCs/>
      <w:sz w:val="36"/>
      <w:szCs w:val="48"/>
    </w:rPr>
  </w:style>
  <w:style w:type="character" w:customStyle="1" w:styleId="Heading2Char">
    <w:name w:val="Heading 2 Char"/>
    <w:basedOn w:val="DefaultParagraphFont"/>
    <w:link w:val="Heading2"/>
    <w:rsid w:val="00552B46"/>
    <w:rPr>
      <w:rFonts w:ascii="Arial" w:eastAsia="Times New Roman" w:hAnsi="Arial"/>
      <w:b/>
      <w:bCs/>
      <w:sz w:val="32"/>
      <w:szCs w:val="38"/>
    </w:rPr>
  </w:style>
  <w:style w:type="character" w:customStyle="1" w:styleId="Heading3Char">
    <w:name w:val="Heading 3 Char"/>
    <w:basedOn w:val="DefaultParagraphFont"/>
    <w:link w:val="Heading3"/>
    <w:rsid w:val="00552B46"/>
    <w:rPr>
      <w:rFonts w:ascii="Arial" w:eastAsia="Times New Roman" w:hAnsi="Arial"/>
      <w:b/>
      <w:bCs/>
      <w:sz w:val="28"/>
      <w:szCs w:val="32"/>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description">
    <w:name w:val="Figure description"/>
    <w:basedOn w:val="Normal"/>
    <w:next w:val="Normal"/>
    <w:rsid w:val="00A95096"/>
    <w:pPr>
      <w:spacing w:after="240" w:line="180" w:lineRule="atLeast"/>
    </w:pPr>
    <w:rPr>
      <w:sz w:val="18"/>
    </w:rPr>
  </w:style>
  <w:style w:type="paragraph" w:customStyle="1" w:styleId="Figuretitle">
    <w:name w:val="Figure title"/>
    <w:basedOn w:val="Normal"/>
    <w:next w:val="Normal"/>
    <w:rsid w:val="00F643F4"/>
    <w:pPr>
      <w:outlineLvl w:val="4"/>
    </w:pPr>
    <w:rPr>
      <w:b/>
    </w:rPr>
  </w:style>
  <w:style w:type="character" w:customStyle="1" w:styleId="Heading4Char">
    <w:name w:val="Heading 4 Char"/>
    <w:basedOn w:val="DefaultParagraphFont"/>
    <w:link w:val="Heading4"/>
    <w:rsid w:val="00552B46"/>
    <w:rPr>
      <w:rFonts w:ascii="Arial" w:hAnsi="Arial"/>
      <w:b/>
      <w:bCs/>
      <w:sz w:val="26"/>
      <w:szCs w:val="26"/>
    </w:rPr>
  </w:style>
  <w:style w:type="character" w:styleId="FollowedHyperlink">
    <w:name w:val="FollowedHyperlink"/>
    <w:basedOn w:val="DefaultParagraphFont"/>
    <w:semiHidden/>
    <w:unhideWhenUsed/>
    <w:rsid w:val="006A399C"/>
    <w:rPr>
      <w:color w:val="800080"/>
      <w:u w:val="single"/>
    </w:rPr>
  </w:style>
  <w:style w:type="paragraph" w:styleId="Footer">
    <w:name w:val="footer"/>
    <w:basedOn w:val="Normal"/>
    <w:link w:val="FooterChar"/>
    <w:uiPriority w:val="99"/>
    <w:qFormat/>
    <w:rsid w:val="009527F4"/>
    <w:pPr>
      <w:tabs>
        <w:tab w:val="center" w:pos="4513"/>
        <w:tab w:val="right" w:pos="9026"/>
      </w:tabs>
      <w:spacing w:line="240" w:lineRule="auto"/>
    </w:pPr>
    <w:rPr>
      <w:sz w:val="17"/>
    </w:rPr>
  </w:style>
  <w:style w:type="character" w:customStyle="1" w:styleId="FooterChar">
    <w:name w:val="Footer Char"/>
    <w:basedOn w:val="DefaultParagraphFont"/>
    <w:link w:val="Footer"/>
    <w:uiPriority w:val="99"/>
    <w:rsid w:val="009527F4"/>
    <w:rPr>
      <w:rFonts w:ascii="Cambria" w:hAnsi="Cambria"/>
      <w:sz w:val="17"/>
    </w:rPr>
  </w:style>
  <w:style w:type="paragraph" w:styleId="Header">
    <w:name w:val="header"/>
    <w:basedOn w:val="Normal"/>
    <w:link w:val="HeaderChar"/>
    <w:uiPriority w:val="99"/>
    <w:rsid w:val="009527F4"/>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9527F4"/>
    <w:rPr>
      <w:rFonts w:ascii="Cambria" w:hAnsi="Cambria"/>
      <w:sz w:val="17"/>
    </w:rPr>
  </w:style>
  <w:style w:type="paragraph" w:customStyle="1" w:styleId="Headernoline">
    <w:name w:val="Header no line"/>
    <w:basedOn w:val="Header"/>
    <w:rsid w:val="009527F4"/>
    <w:pPr>
      <w:pBdr>
        <w:bottom w:val="none" w:sz="0" w:space="0" w:color="auto"/>
      </w:pBdr>
      <w:spacing w:line="240" w:lineRule="atLeast"/>
    </w:pPr>
  </w:style>
  <w:style w:type="character" w:customStyle="1" w:styleId="Heading5Char">
    <w:name w:val="Heading 5 Char"/>
    <w:basedOn w:val="DefaultParagraphFont"/>
    <w:link w:val="Heading5"/>
    <w:uiPriority w:val="9"/>
    <w:rsid w:val="00552B46"/>
    <w:rPr>
      <w:rFonts w:ascii="Cambria" w:eastAsia="Times New Roman" w:hAnsi="Cambria"/>
      <w:b/>
      <w:bCs/>
      <w:color w:val="001523"/>
      <w:sz w:val="24"/>
      <w:szCs w:val="26"/>
    </w:rPr>
  </w:style>
  <w:style w:type="character" w:customStyle="1" w:styleId="Heading6Char">
    <w:name w:val="Heading 6 Char"/>
    <w:basedOn w:val="DefaultParagraphFont"/>
    <w:link w:val="Heading6"/>
    <w:uiPriority w:val="9"/>
    <w:rsid w:val="002F2FC3"/>
    <w:rPr>
      <w:rFonts w:ascii="Cambria" w:eastAsia="Times New Roman" w:hAnsi="Cambria"/>
      <w:b/>
      <w:bCs/>
      <w:i/>
      <w:sz w:val="22"/>
      <w:szCs w:val="21"/>
    </w:rPr>
  </w:style>
  <w:style w:type="character" w:customStyle="1" w:styleId="Heading7Char">
    <w:name w:val="Heading 7 Char"/>
    <w:basedOn w:val="DefaultParagraphFont"/>
    <w:link w:val="Heading7"/>
    <w:uiPriority w:val="9"/>
    <w:rsid w:val="002F2FC3"/>
    <w:rPr>
      <w:rFonts w:ascii="Cambria" w:eastAsia="Times New Roman" w:hAnsi="Cambria"/>
      <w:bCs/>
      <w:i/>
      <w:sz w:val="22"/>
      <w:szCs w:val="22"/>
    </w:rPr>
  </w:style>
  <w:style w:type="character" w:styleId="Hyperlink">
    <w:name w:val="Hyperlink"/>
    <w:aliases w:val="OECD Hyperlink"/>
    <w:basedOn w:val="DefaultParagraphFont"/>
    <w:uiPriority w:val="99"/>
    <w:unhideWhenUsed/>
    <w:rsid w:val="006A399C"/>
    <w:rPr>
      <w:color w:val="0000FF"/>
      <w:u w:val="single"/>
    </w:rPr>
  </w:style>
  <w:style w:type="paragraph" w:customStyle="1" w:styleId="LegalCopy">
    <w:name w:val="Legal Copy"/>
    <w:basedOn w:val="Footer"/>
    <w:semiHidden/>
    <w:unhideWhenUsed/>
    <w:rsid w:val="00F3148D"/>
  </w:style>
  <w:style w:type="paragraph" w:customStyle="1" w:styleId="LegalSubheading">
    <w:name w:val="Legal Subheading"/>
    <w:basedOn w:val="Footer"/>
    <w:semiHidden/>
    <w:unhideWhenUsed/>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FB5F96"/>
    <w:pPr>
      <w:numPr>
        <w:numId w:val="3"/>
      </w:numPr>
    </w:pPr>
  </w:style>
  <w:style w:type="paragraph" w:styleId="ListBullet2">
    <w:name w:val="List Bullet 2"/>
    <w:basedOn w:val="Normal"/>
    <w:uiPriority w:val="99"/>
    <w:qFormat/>
    <w:rsid w:val="00232D87"/>
    <w:pPr>
      <w:numPr>
        <w:ilvl w:val="1"/>
        <w:numId w:val="3"/>
      </w:numPr>
      <w:ind w:left="850" w:hanging="425"/>
    </w:pPr>
  </w:style>
  <w:style w:type="paragraph" w:styleId="ListBullet3">
    <w:name w:val="List Bullet 3"/>
    <w:basedOn w:val="Normal"/>
    <w:uiPriority w:val="99"/>
    <w:qFormat/>
    <w:rsid w:val="00232D87"/>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246821"/>
    <w:pPr>
      <w:keepNext/>
      <w:keepLines/>
      <w:spacing w:before="360"/>
    </w:pPr>
    <w:rPr>
      <w:sz w:val="32"/>
      <w:szCs w:val="32"/>
    </w:rPr>
  </w:style>
  <w:style w:type="paragraph" w:customStyle="1" w:styleId="Notes">
    <w:name w:val="Notes"/>
    <w:basedOn w:val="Normal"/>
    <w:semiHidden/>
    <w:locked/>
    <w:rsid w:val="00F3148D"/>
    <w:pPr>
      <w:spacing w:line="240" w:lineRule="auto"/>
    </w:pPr>
    <w:rPr>
      <w:rFonts w:ascii="Arial" w:hAnsi="Arial"/>
      <w:sz w:val="16"/>
    </w:rPr>
  </w:style>
  <w:style w:type="paragraph" w:customStyle="1" w:styleId="Numberbullet0">
    <w:name w:val="Number bullet"/>
    <w:basedOn w:val="ListBullet"/>
    <w:qFormat/>
    <w:rsid w:val="00232D87"/>
    <w:pPr>
      <w:numPr>
        <w:numId w:val="2"/>
      </w:numPr>
    </w:pPr>
  </w:style>
  <w:style w:type="paragraph" w:customStyle="1" w:styleId="Numberbullet2">
    <w:name w:val="Number bullet 2"/>
    <w:basedOn w:val="ListBullet2"/>
    <w:qFormat/>
    <w:rsid w:val="009B7930"/>
    <w:pPr>
      <w:numPr>
        <w:numId w:val="2"/>
      </w:numPr>
    </w:pPr>
    <w:rPr>
      <w:i/>
    </w:rPr>
  </w:style>
  <w:style w:type="paragraph" w:customStyle="1" w:styleId="Numberbullet3">
    <w:name w:val="Number bullet 3"/>
    <w:basedOn w:val="ListBullet3"/>
    <w:qFormat/>
    <w:rsid w:val="00232D87"/>
    <w:pPr>
      <w:numPr>
        <w:numId w:val="2"/>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9527F4"/>
    <w:pPr>
      <w:spacing w:before="40"/>
      <w:ind w:left="170" w:hanging="170"/>
    </w:pPr>
    <w:rPr>
      <w:sz w:val="19"/>
    </w:rPr>
  </w:style>
  <w:style w:type="paragraph" w:customStyle="1" w:styleId="Tabledescription">
    <w:name w:val="Table description"/>
    <w:basedOn w:val="Figuredescription"/>
    <w:next w:val="Normal"/>
    <w:rsid w:val="00A95096"/>
  </w:style>
  <w:style w:type="table" w:customStyle="1" w:styleId="TableTGAblue">
    <w:name w:val="Table TGA blue"/>
    <w:basedOn w:val="TableNormal"/>
    <w:uiPriority w:val="99"/>
    <w:qFormat/>
    <w:rsid w:val="00BD0659"/>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BD0659"/>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rsid w:val="00F643F4"/>
    <w:pPr>
      <w:keepNext/>
      <w:outlineLvl w:val="4"/>
    </w:pPr>
    <w:rPr>
      <w:b/>
    </w:rPr>
  </w:style>
  <w:style w:type="paragraph" w:styleId="TOC1">
    <w:name w:val="toc 1"/>
    <w:basedOn w:val="Normal"/>
    <w:next w:val="Normal"/>
    <w:uiPriority w:val="39"/>
    <w:unhideWhenUsed/>
    <w:rsid w:val="00B067F8"/>
    <w:pPr>
      <w:keepNext/>
      <w:keepLines/>
      <w:tabs>
        <w:tab w:val="right" w:leader="underscore" w:pos="9072"/>
      </w:tabs>
      <w:spacing w:after="200"/>
    </w:pPr>
    <w:rPr>
      <w:rFonts w:ascii="Arial" w:hAnsi="Arial"/>
      <w:b/>
      <w:sz w:val="26"/>
    </w:rPr>
  </w:style>
  <w:style w:type="paragraph" w:styleId="TOC2">
    <w:name w:val="toc 2"/>
    <w:basedOn w:val="Normal"/>
    <w:next w:val="Normal"/>
    <w:uiPriority w:val="39"/>
    <w:unhideWhenUsed/>
    <w:rsid w:val="00B067F8"/>
    <w:pPr>
      <w:keepLines/>
      <w:tabs>
        <w:tab w:val="right" w:leader="underscore" w:pos="9072"/>
      </w:tabs>
      <w:spacing w:after="100"/>
      <w:ind w:left="425"/>
    </w:pPr>
    <w:rPr>
      <w:sz w:val="25"/>
    </w:rPr>
  </w:style>
  <w:style w:type="paragraph" w:styleId="TOC3">
    <w:name w:val="toc 3"/>
    <w:basedOn w:val="Normal"/>
    <w:next w:val="Normal"/>
    <w:uiPriority w:val="39"/>
    <w:unhideWhenUsed/>
    <w:rsid w:val="00B067F8"/>
    <w:pPr>
      <w:keepLines/>
      <w:tabs>
        <w:tab w:val="right" w:leader="underscore" w:pos="9072"/>
      </w:tabs>
      <w:spacing w:after="100"/>
      <w:ind w:left="851"/>
    </w:pPr>
  </w:style>
  <w:style w:type="paragraph" w:styleId="TOCHeading">
    <w:name w:val="TOC Heading"/>
    <w:basedOn w:val="Heading1"/>
    <w:next w:val="Normal"/>
    <w:uiPriority w:val="39"/>
    <w:semiHidden/>
    <w:unhideWhenUsed/>
    <w:qFormat/>
    <w:rsid w:val="00F3148D"/>
    <w:pPr>
      <w:spacing w:before="480" w:after="0" w:line="276" w:lineRule="auto"/>
      <w:outlineLvl w:val="9"/>
    </w:pPr>
    <w:rPr>
      <w:bCs w:val="0"/>
      <w:color w:val="002035"/>
      <w:sz w:val="28"/>
      <w:lang w:val="en-US"/>
    </w:rPr>
  </w:style>
  <w:style w:type="paragraph" w:customStyle="1" w:styleId="Subject">
    <w:name w:val="Subject"/>
    <w:basedOn w:val="Normal"/>
    <w:rsid w:val="00055B86"/>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styleId="Caption">
    <w:name w:val="caption"/>
    <w:aliases w:val="o,Beschriftung Char,Beschriftung Char1 Char,Beschriftung Char Char Char,Char,Bayer Caption,o + Links,! Q, Char"/>
    <w:basedOn w:val="Tabletitle"/>
    <w:next w:val="Normal"/>
    <w:link w:val="CaptionChar"/>
    <w:qFormat/>
    <w:rsid w:val="0033260A"/>
  </w:style>
  <w:style w:type="paragraph" w:styleId="FootnoteText">
    <w:name w:val="footnote text"/>
    <w:basedOn w:val="Normal"/>
    <w:link w:val="FootnoteTextChar"/>
    <w:uiPriority w:val="99"/>
    <w:rsid w:val="003003D0"/>
    <w:pPr>
      <w:keepLines/>
      <w:spacing w:before="0" w:after="0"/>
    </w:pPr>
    <w:rPr>
      <w:sz w:val="20"/>
    </w:rPr>
  </w:style>
  <w:style w:type="character" w:customStyle="1" w:styleId="FootnoteTextChar">
    <w:name w:val="Footnote Text Char"/>
    <w:basedOn w:val="DefaultParagraphFont"/>
    <w:link w:val="FootnoteText"/>
    <w:uiPriority w:val="99"/>
    <w:rsid w:val="003003D0"/>
    <w:rPr>
      <w:rFonts w:ascii="Cambria" w:hAnsi="Cambria"/>
      <w:sz w:val="20"/>
    </w:rPr>
  </w:style>
  <w:style w:type="paragraph" w:styleId="Subtitle">
    <w:name w:val="Subtitle"/>
    <w:basedOn w:val="Normal"/>
    <w:next w:val="Normal"/>
    <w:link w:val="SubtitleChar"/>
    <w:uiPriority w:val="11"/>
    <w:unhideWhenUsed/>
    <w:qFormat/>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1D75"/>
    <w:rPr>
      <w:rFonts w:ascii="Arial" w:eastAsia="Times New Roman" w:hAnsi="Arial"/>
      <w:bCs/>
      <w:iCs/>
      <w:sz w:val="40"/>
      <w:szCs w:val="24"/>
    </w:rPr>
  </w:style>
  <w:style w:type="paragraph" w:styleId="Title">
    <w:name w:val="Title"/>
    <w:next w:val="Normal"/>
    <w:link w:val="TitleChar"/>
    <w:uiPriority w:val="10"/>
    <w:unhideWhenUsed/>
    <w:qFormat/>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1D75"/>
    <w:rPr>
      <w:rFonts w:ascii="Arial" w:eastAsia="Times New Roman" w:hAnsi="Arial"/>
      <w:spacing w:val="5"/>
      <w:kern w:val="28"/>
      <w:sz w:val="52"/>
      <w:szCs w:val="52"/>
    </w:rPr>
  </w:style>
  <w:style w:type="paragraph" w:customStyle="1" w:styleId="FlowChartWhiteText">
    <w:name w:val="Flow Chart White Text"/>
    <w:basedOn w:val="Normal"/>
    <w:semiHidden/>
    <w:unhideWhenUsed/>
    <w:rsid w:val="007E78FC"/>
    <w:pPr>
      <w:jc w:val="center"/>
    </w:pPr>
    <w:rPr>
      <w:rFonts w:ascii="Arial" w:hAnsi="Arial"/>
      <w:color w:val="FFFFFF"/>
    </w:rPr>
  </w:style>
  <w:style w:type="paragraph" w:customStyle="1" w:styleId="FlowchartText">
    <w:name w:val="Flowchart Text"/>
    <w:basedOn w:val="Normal"/>
    <w:semiHidden/>
    <w:unhideWhenUsed/>
    <w:rsid w:val="007E78FC"/>
    <w:pPr>
      <w:jc w:val="center"/>
    </w:pPr>
    <w:rPr>
      <w:rFonts w:ascii="Arial" w:hAnsi="Arial"/>
    </w:rPr>
  </w:style>
  <w:style w:type="paragraph" w:customStyle="1" w:styleId="Quotation">
    <w:name w:val="Quotation"/>
    <w:basedOn w:val="Normal"/>
    <w:next w:val="Normal"/>
    <w:uiPriority w:val="4"/>
    <w:qFormat/>
    <w:rsid w:val="00055B86"/>
    <w:pPr>
      <w:ind w:left="425"/>
    </w:pPr>
    <w:rPr>
      <w:sz w:val="20"/>
    </w:rPr>
  </w:style>
  <w:style w:type="character" w:styleId="FootnoteReference">
    <w:name w:val="footnote reference"/>
    <w:basedOn w:val="DefaultParagraphFont"/>
    <w:uiPriority w:val="99"/>
    <w:unhideWhenUsed/>
    <w:rsid w:val="009527F4"/>
    <w:rPr>
      <w:vertAlign w:val="superscript"/>
    </w:rPr>
  </w:style>
  <w:style w:type="paragraph" w:styleId="TOC4">
    <w:name w:val="toc 4"/>
    <w:basedOn w:val="Normal"/>
    <w:next w:val="Normal"/>
    <w:autoRedefine/>
    <w:uiPriority w:val="39"/>
    <w:unhideWhenUsed/>
    <w:rsid w:val="00B067F8"/>
    <w:pPr>
      <w:keepLines/>
      <w:tabs>
        <w:tab w:val="right" w:leader="underscore" w:pos="9072"/>
      </w:tabs>
      <w:spacing w:after="100"/>
      <w:ind w:left="1276"/>
    </w:pPr>
  </w:style>
  <w:style w:type="paragraph" w:styleId="TOC5">
    <w:name w:val="toc 5"/>
    <w:basedOn w:val="Normal"/>
    <w:next w:val="Normal"/>
    <w:autoRedefine/>
    <w:uiPriority w:val="39"/>
    <w:unhideWhenUsed/>
    <w:rsid w:val="00B067F8"/>
    <w:pPr>
      <w:keepLines/>
      <w:tabs>
        <w:tab w:val="left" w:leader="underscore" w:pos="9072"/>
      </w:tabs>
      <w:spacing w:after="100"/>
      <w:ind w:left="1701"/>
    </w:pPr>
    <w:rPr>
      <w:noProof/>
    </w:rPr>
  </w:style>
  <w:style w:type="paragraph" w:styleId="TOC6">
    <w:name w:val="toc 6"/>
    <w:basedOn w:val="Normal"/>
    <w:next w:val="Normal"/>
    <w:autoRedefine/>
    <w:uiPriority w:val="39"/>
    <w:semiHidden/>
    <w:unhideWhenUsed/>
    <w:rsid w:val="00B067F8"/>
    <w:pPr>
      <w:tabs>
        <w:tab w:val="right" w:pos="8505"/>
      </w:tabs>
      <w:spacing w:after="100"/>
      <w:ind w:left="2126"/>
    </w:pPr>
  </w:style>
  <w:style w:type="paragraph" w:styleId="TOC7">
    <w:name w:val="toc 7"/>
    <w:basedOn w:val="Normal"/>
    <w:next w:val="Normal"/>
    <w:autoRedefine/>
    <w:uiPriority w:val="39"/>
    <w:semiHidden/>
    <w:unhideWhenUsed/>
    <w:rsid w:val="00B067F8"/>
    <w:pPr>
      <w:spacing w:after="100"/>
      <w:ind w:left="2211"/>
    </w:pPr>
  </w:style>
  <w:style w:type="paragraph" w:styleId="EndnoteText">
    <w:name w:val="endnote text"/>
    <w:basedOn w:val="FootnoteText"/>
    <w:link w:val="EndnoteTextChar"/>
    <w:semiHidden/>
    <w:unhideWhenUsed/>
    <w:rsid w:val="0033260A"/>
  </w:style>
  <w:style w:type="character" w:customStyle="1" w:styleId="EndnoteTextChar">
    <w:name w:val="Endnote Text Char"/>
    <w:basedOn w:val="DefaultParagraphFont"/>
    <w:link w:val="EndnoteText"/>
    <w:semiHidden/>
    <w:rsid w:val="0033260A"/>
    <w:rPr>
      <w:rFonts w:ascii="Cambria" w:hAnsi="Cambria"/>
    </w:rPr>
  </w:style>
  <w:style w:type="character" w:styleId="EndnoteReference">
    <w:name w:val="endnote reference"/>
    <w:basedOn w:val="DefaultParagraphFont"/>
    <w:uiPriority w:val="99"/>
    <w:semiHidden/>
    <w:unhideWhenUsed/>
    <w:rsid w:val="0033260A"/>
    <w:rPr>
      <w:vertAlign w:val="superscript"/>
    </w:rPr>
  </w:style>
  <w:style w:type="paragraph" w:styleId="TableofFigures">
    <w:name w:val="table of figures"/>
    <w:basedOn w:val="Normal"/>
    <w:next w:val="Normal"/>
    <w:uiPriority w:val="99"/>
    <w:semiHidden/>
    <w:unhideWhenUsed/>
    <w:rsid w:val="006A7B7F"/>
  </w:style>
  <w:style w:type="paragraph" w:customStyle="1" w:styleId="NonTOCheading3">
    <w:name w:val="Non TOC heading 3"/>
    <w:next w:val="Normal"/>
    <w:uiPriority w:val="1"/>
    <w:qFormat/>
    <w:rsid w:val="00E25E60"/>
    <w:pPr>
      <w:keepNext/>
      <w:spacing w:before="360" w:after="180" w:line="240" w:lineRule="auto"/>
    </w:pPr>
    <w:rPr>
      <w:rFonts w:ascii="Cambria" w:hAnsi="Cambria"/>
      <w:sz w:val="28"/>
    </w:rPr>
  </w:style>
  <w:style w:type="character" w:styleId="CommentReference">
    <w:name w:val="annotation reference"/>
    <w:basedOn w:val="DefaultParagraphFont"/>
    <w:uiPriority w:val="99"/>
    <w:semiHidden/>
    <w:unhideWhenUsed/>
    <w:rsid w:val="00FF4091"/>
    <w:rPr>
      <w:sz w:val="16"/>
      <w:szCs w:val="16"/>
    </w:rPr>
  </w:style>
  <w:style w:type="paragraph" w:styleId="CommentText">
    <w:name w:val="annotation text"/>
    <w:basedOn w:val="Normal"/>
    <w:link w:val="CommentTextChar"/>
    <w:uiPriority w:val="99"/>
    <w:unhideWhenUsed/>
    <w:rsid w:val="00FF4091"/>
    <w:pPr>
      <w:spacing w:line="240" w:lineRule="auto"/>
    </w:pPr>
    <w:rPr>
      <w:sz w:val="20"/>
      <w:szCs w:val="20"/>
    </w:rPr>
  </w:style>
  <w:style w:type="character" w:customStyle="1" w:styleId="CommentTextChar">
    <w:name w:val="Comment Text Char"/>
    <w:basedOn w:val="DefaultParagraphFont"/>
    <w:link w:val="CommentText"/>
    <w:uiPriority w:val="99"/>
    <w:rsid w:val="00FF4091"/>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FF4091"/>
    <w:rPr>
      <w:b/>
      <w:bCs/>
    </w:rPr>
  </w:style>
  <w:style w:type="character" w:customStyle="1" w:styleId="CommentSubjectChar">
    <w:name w:val="Comment Subject Char"/>
    <w:basedOn w:val="CommentTextChar"/>
    <w:link w:val="CommentSubject"/>
    <w:uiPriority w:val="99"/>
    <w:semiHidden/>
    <w:rsid w:val="00FF4091"/>
    <w:rPr>
      <w:rFonts w:ascii="Cambria" w:hAnsi="Cambria"/>
      <w:b/>
      <w:bCs/>
      <w:sz w:val="20"/>
      <w:szCs w:val="20"/>
    </w:rPr>
  </w:style>
  <w:style w:type="character" w:styleId="HTMLCite">
    <w:name w:val="HTML Cite"/>
    <w:basedOn w:val="DefaultParagraphFont"/>
    <w:uiPriority w:val="99"/>
    <w:semiHidden/>
    <w:unhideWhenUsed/>
    <w:rsid w:val="00180568"/>
    <w:rPr>
      <w:i/>
      <w:iCs/>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locked/>
    <w:rsid w:val="00180568"/>
    <w:pPr>
      <w:ind w:left="720"/>
      <w:contextualSpacing/>
    </w:pPr>
    <w:rPr>
      <w:rFonts w:cs="Times New Roman"/>
      <w:szCs w:val="20"/>
    </w:rPr>
  </w:style>
  <w:style w:type="paragraph" w:customStyle="1" w:styleId="Numberbullet2-52E1reasons">
    <w:name w:val="Number bullet 2 - 52E(1) reasons"/>
    <w:basedOn w:val="ListParagraph"/>
    <w:qFormat/>
    <w:rsid w:val="00B93717"/>
    <w:pPr>
      <w:numPr>
        <w:numId w:val="14"/>
      </w:numPr>
      <w:spacing w:before="120" w:after="120"/>
    </w:pPr>
    <w:rPr>
      <w:i/>
      <w:u w:val="single"/>
    </w:rPr>
  </w:style>
  <w:style w:type="paragraph" w:customStyle="1" w:styleId="FigureTitle0">
    <w:name w:val="Figure Title"/>
    <w:basedOn w:val="Normal"/>
    <w:rsid w:val="00FC1D06"/>
    <w:pPr>
      <w:spacing w:line="220" w:lineRule="atLeast"/>
    </w:pPr>
    <w:rPr>
      <w:rFonts w:cs="Times New Roman"/>
      <w:b/>
      <w:szCs w:val="20"/>
    </w:rPr>
  </w:style>
  <w:style w:type="paragraph" w:customStyle="1" w:styleId="TableHeading">
    <w:name w:val="Table Heading"/>
    <w:basedOn w:val="Normal"/>
    <w:link w:val="TableHeadingChar"/>
    <w:qFormat/>
    <w:rsid w:val="00FC1D06"/>
    <w:rPr>
      <w:rFonts w:cs="Times New Roman"/>
      <w:b/>
      <w:color w:val="FFFFFF"/>
    </w:rPr>
  </w:style>
  <w:style w:type="character" w:customStyle="1" w:styleId="TableHeadingChar">
    <w:name w:val="Table Heading Char"/>
    <w:basedOn w:val="DefaultParagraphFont"/>
    <w:link w:val="TableHeading"/>
    <w:rsid w:val="00FC1D06"/>
    <w:rPr>
      <w:rFonts w:ascii="Cambria" w:hAnsi="Cambria" w:cs="Times New Roman"/>
      <w:b/>
      <w:color w:val="FFFFFF"/>
    </w:rPr>
  </w:style>
  <w:style w:type="paragraph" w:customStyle="1" w:styleId="TableTitle0">
    <w:name w:val="Table Title"/>
    <w:basedOn w:val="Normal"/>
    <w:next w:val="Normal"/>
    <w:qFormat/>
    <w:rsid w:val="00E04048"/>
    <w:rPr>
      <w:rFonts w:cs="Times New Roman"/>
      <w:b/>
      <w:szCs w:val="20"/>
    </w:rPr>
  </w:style>
  <w:style w:type="paragraph" w:customStyle="1" w:styleId="Numberbullet2-52E1reason">
    <w:name w:val="Number bullet 2 - 52E(1) reason"/>
    <w:basedOn w:val="ListParagraph"/>
    <w:qFormat/>
    <w:rsid w:val="00A37160"/>
    <w:pPr>
      <w:numPr>
        <w:numId w:val="15"/>
      </w:numPr>
      <w:ind w:left="357" w:hanging="357"/>
      <w:contextualSpacing w:val="0"/>
    </w:pPr>
    <w:rPr>
      <w:rFonts w:eastAsia="Times New Roman" w:cstheme="minorBidi"/>
      <w:bCs/>
      <w:i/>
      <w:szCs w:val="22"/>
      <w:u w:val="single"/>
    </w:rPr>
  </w:style>
  <w:style w:type="paragraph" w:customStyle="1" w:styleId="Default">
    <w:name w:val="Default"/>
    <w:rsid w:val="00F50FAB"/>
    <w:pPr>
      <w:autoSpaceDE w:val="0"/>
      <w:autoSpaceDN w:val="0"/>
      <w:adjustRightInd w:val="0"/>
      <w:spacing w:after="0" w:line="240" w:lineRule="auto"/>
    </w:pPr>
    <w:rPr>
      <w:rFonts w:ascii="Times New Roman" w:hAnsi="Times New Roman" w:cs="Times New Roman"/>
      <w:color w:val="000000"/>
      <w:sz w:val="24"/>
      <w:szCs w:val="24"/>
      <w:lang w:eastAsia="en-AU"/>
    </w:rPr>
  </w:style>
  <w:style w:type="character" w:customStyle="1" w:styleId="CaptionChar">
    <w:name w:val="Caption Char"/>
    <w:aliases w:val="o Char,Beschriftung Char Char,Beschriftung Char1 Char Char,Beschriftung Char Char Char Char,Char Char,Bayer Caption Char,o + Links Char,! Q Char, Char Char"/>
    <w:basedOn w:val="DefaultParagraphFont"/>
    <w:link w:val="Caption"/>
    <w:locked/>
    <w:rsid w:val="00E97A2F"/>
    <w:rPr>
      <w:rFonts w:ascii="Cambria" w:hAnsi="Cambria"/>
      <w:b/>
    </w:rPr>
  </w:style>
  <w:style w:type="character" w:styleId="Strong">
    <w:name w:val="Strong"/>
    <w:basedOn w:val="DefaultParagraphFont"/>
    <w:uiPriority w:val="22"/>
    <w:qFormat/>
    <w:rsid w:val="00E97A2F"/>
    <w:rPr>
      <w:b/>
      <w:bCs/>
    </w:rPr>
  </w:style>
  <w:style w:type="table" w:customStyle="1" w:styleId="TableGrid1">
    <w:name w:val="Table Grid1"/>
    <w:basedOn w:val="TableNormal"/>
    <w:next w:val="TableGrid"/>
    <w:uiPriority w:val="59"/>
    <w:rsid w:val="001A2426"/>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cheduleBody">
    <w:name w:val="Schedule Body"/>
    <w:basedOn w:val="Normal"/>
    <w:next w:val="Normal"/>
    <w:link w:val="ScheduleBodyChar"/>
    <w:rsid w:val="001A2426"/>
    <w:pPr>
      <w:spacing w:before="0" w:after="240" w:line="240" w:lineRule="auto"/>
      <w:ind w:left="851" w:hanging="851"/>
    </w:pPr>
    <w:rPr>
      <w:rFonts w:ascii="Times New Roman" w:eastAsia="Times New Roman" w:hAnsi="Times New Roman" w:cs="Times New Roman"/>
      <w:sz w:val="24"/>
      <w:szCs w:val="20"/>
      <w:lang w:eastAsia="en-AU"/>
    </w:rPr>
  </w:style>
  <w:style w:type="character" w:customStyle="1" w:styleId="ScheduleBodyChar">
    <w:name w:val="Schedule Body Char"/>
    <w:link w:val="ScheduleBody"/>
    <w:rsid w:val="001A2426"/>
    <w:rPr>
      <w:rFonts w:ascii="Times New Roman" w:eastAsia="Times New Roman" w:hAnsi="Times New Roman" w:cs="Times New Roman"/>
      <w:sz w:val="24"/>
      <w:szCs w:val="20"/>
      <w:lang w:eastAsia="en-AU"/>
    </w:rPr>
  </w:style>
  <w:style w:type="character" w:styleId="Emphasis">
    <w:name w:val="Emphasis"/>
    <w:uiPriority w:val="20"/>
    <w:qFormat/>
    <w:rsid w:val="00EB6A3A"/>
    <w:rPr>
      <w:caps/>
      <w:color w:val="003653" w:themeColor="accent1" w:themeShade="7F"/>
      <w:spacing w:val="5"/>
    </w:rPr>
  </w:style>
  <w:style w:type="character" w:customStyle="1" w:styleId="st1">
    <w:name w:val="st1"/>
    <w:basedOn w:val="DefaultParagraphFont"/>
    <w:rsid w:val="00EB6A3A"/>
  </w:style>
  <w:style w:type="character" w:customStyle="1" w:styleId="ilfuvd">
    <w:name w:val="ilfuvd"/>
    <w:basedOn w:val="DefaultParagraphFont"/>
    <w:rsid w:val="00EB6A3A"/>
  </w:style>
  <w:style w:type="paragraph" w:customStyle="1" w:styleId="SectionHeading">
    <w:name w:val="Section Heading"/>
    <w:basedOn w:val="Heading1"/>
    <w:next w:val="Heading1"/>
    <w:qFormat/>
    <w:rsid w:val="00814520"/>
    <w:pPr>
      <w:keepLines w:val="0"/>
      <w:spacing w:before="240" w:after="360" w:line="276" w:lineRule="auto"/>
      <w:ind w:left="-851"/>
      <w:outlineLvl w:val="9"/>
    </w:pPr>
    <w:rPr>
      <w:rFonts w:eastAsia="Cambria" w:cs="Arial"/>
      <w:color w:val="17365D"/>
      <w:kern w:val="32"/>
      <w:sz w:val="48"/>
      <w:szCs w:val="32"/>
      <w:lang w:val="en-GB"/>
    </w:rPr>
  </w:style>
  <w:style w:type="paragraph" w:customStyle="1" w:styleId="SectionLabel">
    <w:name w:val="Section Label"/>
    <w:basedOn w:val="Normal"/>
    <w:next w:val="BodyText"/>
    <w:qFormat/>
    <w:rsid w:val="00814520"/>
    <w:pPr>
      <w:keepNext/>
      <w:keepLines/>
      <w:pageBreakBefore/>
      <w:pBdr>
        <w:bottom w:val="single" w:sz="6" w:space="2" w:color="auto"/>
      </w:pBdr>
      <w:spacing w:before="360" w:after="0" w:line="220" w:lineRule="atLeast"/>
      <w:ind w:left="-851"/>
    </w:pPr>
    <w:rPr>
      <w:rFonts w:ascii="Arial Black" w:hAnsi="Arial Black"/>
      <w:spacing w:val="-35"/>
      <w:kern w:val="28"/>
      <w:sz w:val="54"/>
      <w:lang w:val="en-GB"/>
    </w:rPr>
  </w:style>
  <w:style w:type="paragraph" w:styleId="BodyText">
    <w:name w:val="Body Text"/>
    <w:basedOn w:val="Normal"/>
    <w:link w:val="BodyTextChar"/>
    <w:qFormat/>
    <w:rsid w:val="00814520"/>
    <w:pPr>
      <w:spacing w:line="276" w:lineRule="auto"/>
      <w:jc w:val="both"/>
    </w:pPr>
    <w:rPr>
      <w:lang w:val="en-US"/>
    </w:rPr>
  </w:style>
  <w:style w:type="character" w:customStyle="1" w:styleId="BodyTextChar">
    <w:name w:val="Body Text Char"/>
    <w:basedOn w:val="DefaultParagraphFont"/>
    <w:link w:val="BodyText"/>
    <w:rsid w:val="00814520"/>
    <w:rPr>
      <w:rFonts w:ascii="Cambria" w:hAnsi="Cambria"/>
      <w:lang w:val="en-US"/>
    </w:rPr>
  </w:style>
  <w:style w:type="paragraph" w:customStyle="1" w:styleId="TableText">
    <w:name w:val="Table Text"/>
    <w:basedOn w:val="BodyText"/>
    <w:qFormat/>
    <w:rsid w:val="00814520"/>
    <w:pPr>
      <w:spacing w:before="0" w:after="0"/>
    </w:pPr>
    <w:rPr>
      <w:rFonts w:eastAsia="Times New Roman"/>
      <w:lang w:val="en-GB"/>
    </w:rPr>
  </w:style>
  <w:style w:type="paragraph" w:customStyle="1" w:styleId="TableTextSCC">
    <w:name w:val="Table Text (SCC)"/>
    <w:basedOn w:val="BodyText"/>
    <w:qFormat/>
    <w:rsid w:val="00814520"/>
    <w:pPr>
      <w:spacing w:before="40" w:after="40" w:line="240" w:lineRule="auto"/>
      <w:jc w:val="left"/>
    </w:pPr>
    <w:rPr>
      <w:rFonts w:ascii="Arial" w:eastAsia="Times New Roman" w:hAnsi="Arial"/>
      <w:szCs w:val="24"/>
      <w:lang w:val="en-AU" w:eastAsia="en-AU"/>
    </w:rPr>
  </w:style>
  <w:style w:type="paragraph" w:customStyle="1" w:styleId="BodyTextSCC">
    <w:name w:val="Body Text (SCC)"/>
    <w:qFormat/>
    <w:rsid w:val="00814520"/>
    <w:pPr>
      <w:spacing w:before="100" w:after="100" w:line="240" w:lineRule="auto"/>
    </w:pPr>
    <w:rPr>
      <w:rFonts w:ascii="Arial" w:eastAsia="Times New Roman" w:hAnsi="Arial" w:cs="Times New Roman"/>
      <w:szCs w:val="24"/>
      <w:lang w:eastAsia="en-AU"/>
    </w:rPr>
  </w:style>
  <w:style w:type="paragraph" w:customStyle="1" w:styleId="Heading2SCC">
    <w:name w:val="Heading 2 (SCC)"/>
    <w:qFormat/>
    <w:rsid w:val="00814520"/>
    <w:pPr>
      <w:keepNext/>
      <w:spacing w:before="200" w:after="0" w:line="240" w:lineRule="auto"/>
    </w:pPr>
    <w:rPr>
      <w:rFonts w:ascii="Arial" w:eastAsia="Times New Roman" w:hAnsi="Arial" w:cs="Times New Roman"/>
      <w:b/>
      <w:color w:val="00629B"/>
      <w:sz w:val="26"/>
      <w:szCs w:val="24"/>
      <w:lang w:eastAsia="en-AU"/>
    </w:rPr>
  </w:style>
  <w:style w:type="paragraph" w:customStyle="1" w:styleId="Heading3SCC">
    <w:name w:val="Heading 3 (SCC)"/>
    <w:qFormat/>
    <w:rsid w:val="00814520"/>
    <w:pPr>
      <w:keepNext/>
      <w:spacing w:before="200" w:after="0" w:line="240" w:lineRule="auto"/>
    </w:pPr>
    <w:rPr>
      <w:rFonts w:ascii="Arial" w:eastAsia="Times New Roman" w:hAnsi="Arial" w:cs="Times New Roman"/>
      <w:color w:val="00629B"/>
      <w:sz w:val="24"/>
      <w:szCs w:val="24"/>
      <w:lang w:eastAsia="en-AU"/>
    </w:rPr>
  </w:style>
  <w:style w:type="paragraph" w:styleId="ListNumber">
    <w:name w:val="List Number"/>
    <w:basedOn w:val="Normal"/>
    <w:qFormat/>
    <w:rsid w:val="00814520"/>
    <w:pPr>
      <w:numPr>
        <w:numId w:val="33"/>
      </w:numPr>
      <w:spacing w:before="0" w:after="200" w:line="276" w:lineRule="auto"/>
    </w:pPr>
    <w:rPr>
      <w:rFonts w:ascii="Arial" w:hAnsi="Arial"/>
      <w:sz w:val="24"/>
      <w:lang w:val="en-GB"/>
    </w:r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rsid w:val="00814520"/>
    <w:rPr>
      <w:rFonts w:ascii="Cambria" w:hAnsi="Cambria" w:cs="Times New Roman"/>
      <w:szCs w:val="20"/>
    </w:rPr>
  </w:style>
  <w:style w:type="character" w:styleId="SubtleEmphasis">
    <w:name w:val="Subtle Emphasis"/>
    <w:uiPriority w:val="19"/>
    <w:qFormat/>
    <w:rsid w:val="00814520"/>
    <w:rPr>
      <w:i/>
      <w:iCs/>
      <w:color w:val="808080"/>
    </w:rPr>
  </w:style>
  <w:style w:type="character" w:styleId="IntenseEmphasis">
    <w:name w:val="Intense Emphasis"/>
    <w:uiPriority w:val="21"/>
    <w:qFormat/>
    <w:rsid w:val="00814520"/>
    <w:rPr>
      <w:b/>
      <w:bCs/>
      <w:i/>
      <w:iCs/>
      <w:color w:val="4F81BD"/>
    </w:rPr>
  </w:style>
  <w:style w:type="character" w:styleId="SubtleReference">
    <w:name w:val="Subtle Reference"/>
    <w:uiPriority w:val="31"/>
    <w:qFormat/>
    <w:rsid w:val="00814520"/>
    <w:rPr>
      <w:smallCaps/>
      <w:color w:val="C0504D"/>
      <w:u w:val="single"/>
    </w:rPr>
  </w:style>
  <w:style w:type="character" w:styleId="IntenseReference">
    <w:name w:val="Intense Reference"/>
    <w:uiPriority w:val="32"/>
    <w:qFormat/>
    <w:rsid w:val="00814520"/>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5335">
      <w:bodyDiv w:val="1"/>
      <w:marLeft w:val="0"/>
      <w:marRight w:val="0"/>
      <w:marTop w:val="0"/>
      <w:marBottom w:val="0"/>
      <w:divBdr>
        <w:top w:val="none" w:sz="0" w:space="0" w:color="auto"/>
        <w:left w:val="none" w:sz="0" w:space="0" w:color="auto"/>
        <w:bottom w:val="none" w:sz="0" w:space="0" w:color="auto"/>
        <w:right w:val="none" w:sz="0" w:space="0" w:color="auto"/>
      </w:divBdr>
    </w:div>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996032727">
      <w:bodyDiv w:val="1"/>
      <w:marLeft w:val="0"/>
      <w:marRight w:val="0"/>
      <w:marTop w:val="0"/>
      <w:marBottom w:val="0"/>
      <w:divBdr>
        <w:top w:val="none" w:sz="0" w:space="0" w:color="auto"/>
        <w:left w:val="none" w:sz="0" w:space="0" w:color="auto"/>
        <w:bottom w:val="none" w:sz="0" w:space="0" w:color="auto"/>
        <w:right w:val="none" w:sz="0" w:space="0" w:color="auto"/>
      </w:divBdr>
    </w:div>
    <w:div w:id="1515411985">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 w:id="1905137704">
      <w:bodyDiv w:val="1"/>
      <w:marLeft w:val="0"/>
      <w:marRight w:val="0"/>
      <w:marTop w:val="0"/>
      <w:marBottom w:val="0"/>
      <w:divBdr>
        <w:top w:val="none" w:sz="0" w:space="0" w:color="auto"/>
        <w:left w:val="none" w:sz="0" w:space="0" w:color="auto"/>
        <w:bottom w:val="none" w:sz="0" w:space="0" w:color="auto"/>
        <w:right w:val="none" w:sz="0" w:space="0" w:color="auto"/>
      </w:divBdr>
    </w:div>
    <w:div w:id="194264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emicals.scheduling@health.gov.au" TargetMode="External"/><Relationship Id="rId18" Type="http://schemas.openxmlformats.org/officeDocument/2006/relationships/hyperlink" Target="https://www.tga.gov.au/publication/ahmac-scheduling-policy-framework-medicines-and-chemicals" TargetMode="External"/><Relationship Id="rId26" Type="http://schemas.openxmlformats.org/officeDocument/2006/relationships/hyperlink" Target="https://www.legislation.gov.au/Details/F2018L01690" TargetMode="External"/><Relationship Id="rId39" Type="http://schemas.openxmlformats.org/officeDocument/2006/relationships/image" Target="media/image5.png"/><Relationship Id="rId21" Type="http://schemas.openxmlformats.org/officeDocument/2006/relationships/hyperlink" Target="https://iaspub.epa.gov/apex/pesticides/f?p=chemicalsearch:1" TargetMode="External"/><Relationship Id="rId34" Type="http://schemas.openxmlformats.org/officeDocument/2006/relationships/hyperlink" Target="https://www.tga.gov.au/publication/ahmac-scheduling-policy-framework-medicines-and-chemicals" TargetMode="External"/><Relationship Id="rId42" Type="http://schemas.openxmlformats.org/officeDocument/2006/relationships/hyperlink" Target="https://www.tga.gov.au/australian-register-therapeutic-goods" TargetMode="External"/><Relationship Id="rId47" Type="http://schemas.openxmlformats.org/officeDocument/2006/relationships/hyperlink" Target="https://www.tga.gov.au/australian-register-therapeutic-goods" TargetMode="External"/><Relationship Id="rId50" Type="http://schemas.openxmlformats.org/officeDocument/2006/relationships/hyperlink" Target="https://echa.europa.eu/information-on-chemicals/registered-substances?p_p_id=dissregisteredsubstances_WAR_dissregsubsportlet&amp;p_p_lifecycle=1&amp;p_p_state=normal&amp;p_p_mode=view&amp;p_p_col_id=column-1&amp;p_p_col_pos=1&amp;p_p_col_count=2&amp;_dissregisteredsubstances_WAR_dissregsubsportlet_javax.portlet.action=dissRegisteredSubstancesAction" TargetMode="External"/><Relationship Id="rId55"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medicines.scheduling@health.gov.au" TargetMode="External"/><Relationship Id="rId17" Type="http://schemas.openxmlformats.org/officeDocument/2006/relationships/image" Target="media/image1.png"/><Relationship Id="rId25" Type="http://schemas.openxmlformats.org/officeDocument/2006/relationships/hyperlink" Target="https://www.tga.gov.au/publication/ahmac-scheduling-policy-framework-medicines-and-chemicals" TargetMode="External"/><Relationship Id="rId33" Type="http://schemas.openxmlformats.org/officeDocument/2006/relationships/image" Target="media/image4.PNG"/><Relationship Id="rId38" Type="http://schemas.openxmlformats.org/officeDocument/2006/relationships/hyperlink" Target="https://portal.apvma.gov.au/pubcris?p_auth=vC98HYEV&amp;p_p_id=pubcrisportlet_WAR_pubcrisportlet&amp;p_p_lifecycle=1&amp;p_p_state=normal&amp;p_p_mode=view&amp;p_p_col_id=column-1&amp;p_p_col_pos=2&amp;p_p_col_count=4&amp;_pubcrisportlet_WAR_pubcrisportlet_javax.portlet.action=search" TargetMode="External"/><Relationship Id="rId46" Type="http://schemas.openxmlformats.org/officeDocument/2006/relationships/hyperlink" Target="https://www.legislation.gov.au/Details/F2018L01690" TargetMode="External"/><Relationship Id="rId2" Type="http://schemas.openxmlformats.org/officeDocument/2006/relationships/numbering" Target="numbering.xml"/><Relationship Id="rId16" Type="http://schemas.openxmlformats.org/officeDocument/2006/relationships/hyperlink" Target="https://www.tga.gov.au/australian-register-therapeutic-goods" TargetMode="External"/><Relationship Id="rId20" Type="http://schemas.openxmlformats.org/officeDocument/2006/relationships/hyperlink" Target="https://www.tga.gov.au/australian-register-therapeutic-goods" TargetMode="External"/><Relationship Id="rId29" Type="http://schemas.openxmlformats.org/officeDocument/2006/relationships/hyperlink" Target="https://www.tga.gov.au/publication/ahmac-scheduling-policy-framework-medicines-and-chemicals" TargetMode="External"/><Relationship Id="rId41" Type="http://schemas.openxmlformats.org/officeDocument/2006/relationships/hyperlink" Target="https://www.legislation.gov.au/Details/F2018L01690"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icines.scheduling@health.gov.au" TargetMode="External"/><Relationship Id="rId24" Type="http://schemas.openxmlformats.org/officeDocument/2006/relationships/image" Target="media/image2.png"/><Relationship Id="rId32" Type="http://schemas.openxmlformats.org/officeDocument/2006/relationships/hyperlink" Target="https://tga-search.clients.funnelback.com/s/search.html?query=bupivacaine&amp;collection=tga-artg" TargetMode="External"/><Relationship Id="rId37" Type="http://schemas.openxmlformats.org/officeDocument/2006/relationships/hyperlink" Target="https://www.tga.gov.au/artg" TargetMode="External"/><Relationship Id="rId40" Type="http://schemas.openxmlformats.org/officeDocument/2006/relationships/hyperlink" Target="https://www.tga.gov.au/publication/ahmac-scheduling-policy-framework-medicines-and-chemicals" TargetMode="External"/><Relationship Id="rId45" Type="http://schemas.openxmlformats.org/officeDocument/2006/relationships/hyperlink" Target="https://www.tga.gov.au/sites/default/files/scheduling-decisions-1109-final-a.doc" TargetMode="External"/><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gislation.gov.au/Details/F2018L01690" TargetMode="External"/><Relationship Id="rId23" Type="http://schemas.openxmlformats.org/officeDocument/2006/relationships/hyperlink" Target="https://echa.europa.eu/information-on-chemicals/registered-substances?p_p_id=dissregisteredsubstances_WAR_dissregsubsportlet&amp;p_p_lifecycle=1&amp;p_p_state=normal&amp;p_p_mode=view&amp;p_p_col_id=column-1&amp;p_p_col_pos=1&amp;p_p_col_count=2&amp;_dissregisteredsubstances_WAR_dissregsubsportlet_javax.portlet.action=dissRegisteredSubstancesAction" TargetMode="External"/><Relationship Id="rId28" Type="http://schemas.openxmlformats.org/officeDocument/2006/relationships/image" Target="media/image3.png"/><Relationship Id="rId36" Type="http://schemas.openxmlformats.org/officeDocument/2006/relationships/hyperlink" Target="https://www.ebs.tga.gov.au/" TargetMode="External"/><Relationship Id="rId49" Type="http://schemas.openxmlformats.org/officeDocument/2006/relationships/hyperlink" Target="http://pr-rp.hc-sc.gc.ca/pi-ip/index-eng.php" TargetMode="External"/><Relationship Id="rId57" Type="http://schemas.openxmlformats.org/officeDocument/2006/relationships/theme" Target="theme/theme1.xml"/><Relationship Id="rId10" Type="http://schemas.openxmlformats.org/officeDocument/2006/relationships/hyperlink" Target="https://www.tga.gov.au/privacy" TargetMode="External"/><Relationship Id="rId19" Type="http://schemas.openxmlformats.org/officeDocument/2006/relationships/hyperlink" Target="https://www.legislation.gov.au/Details/F2018L01690" TargetMode="External"/><Relationship Id="rId31" Type="http://schemas.openxmlformats.org/officeDocument/2006/relationships/hyperlink" Target="https://www.ebs.tga.gov.au/" TargetMode="External"/><Relationship Id="rId44" Type="http://schemas.openxmlformats.org/officeDocument/2006/relationships/hyperlink" Target="https://www.tga.gov.au/publication/ahmac-scheduling-policy-framework-medicines-and-chemicals" TargetMode="External"/><Relationship Id="rId52"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https://www.tga.gov.au/publication/ahmac-scheduling-policy-framework-medicines-and-chemicals" TargetMode="External"/><Relationship Id="rId14" Type="http://schemas.openxmlformats.org/officeDocument/2006/relationships/hyperlink" Target="https://www.tga.gov.au/publication/ahmac-scheduling-policy-framework-medicines-and-chemicals" TargetMode="External"/><Relationship Id="rId22" Type="http://schemas.openxmlformats.org/officeDocument/2006/relationships/hyperlink" Target="http://pr-rp.hc-sc.gc.ca/pi-ip/index-eng.php" TargetMode="External"/><Relationship Id="rId27" Type="http://schemas.openxmlformats.org/officeDocument/2006/relationships/hyperlink" Target="https://www.tga.gov.au/australian-register-therapeutic-goods" TargetMode="External"/><Relationship Id="rId30" Type="http://schemas.openxmlformats.org/officeDocument/2006/relationships/hyperlink" Target="https://www.legislation.gov.au/Details/F2018L01690" TargetMode="External"/><Relationship Id="rId35" Type="http://schemas.openxmlformats.org/officeDocument/2006/relationships/hyperlink" Target="https://www.legislation.gov.au/Details/F2018L01690" TargetMode="External"/><Relationship Id="rId43" Type="http://schemas.openxmlformats.org/officeDocument/2006/relationships/image" Target="media/image6.png"/><Relationship Id="rId48" Type="http://schemas.openxmlformats.org/officeDocument/2006/relationships/hyperlink" Target="https://iaspub.epa.gov/apex/pesticides/f?p=chemicalsearch:1"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news.agropages.com/News/NewsDetail---9569.htm"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ga.gov.au/publication/ahmac-scheduling-policy-framework-medicines-and-chemicals" TargetMode="External"/><Relationship Id="rId3" Type="http://schemas.openxmlformats.org/officeDocument/2006/relationships/hyperlink" Target="http://www.animalwelfarestandards.net.au/" TargetMode="External"/><Relationship Id="rId7" Type="http://schemas.openxmlformats.org/officeDocument/2006/relationships/hyperlink" Target="https://www.nicnas.gov.au/chemical-information/imap-assessments/imap-group-assessment-report?assessment_id=138" TargetMode="External"/><Relationship Id="rId2" Type="http://schemas.openxmlformats.org/officeDocument/2006/relationships/hyperlink" Target="https://www.tga.gov.au/publication/ahmac-scheduling-policy-framework-medicines-and-chemicals" TargetMode="External"/><Relationship Id="rId1" Type="http://schemas.openxmlformats.org/officeDocument/2006/relationships/hyperlink" Target="https://www.tga.gov.au/publication/ahmac-scheduling-policy-framework-medicines-and-chemicals" TargetMode="External"/><Relationship Id="rId6" Type="http://schemas.openxmlformats.org/officeDocument/2006/relationships/hyperlink" Target="https://www.tga.gov.au/publication/ahmac-scheduling-policy-framework-medicines-and-chemicals" TargetMode="External"/><Relationship Id="rId5" Type="http://schemas.openxmlformats.org/officeDocument/2006/relationships/hyperlink" Target="http://www.animalwelfarestandards.net.au/" TargetMode="External"/><Relationship Id="rId10" Type="http://schemas.openxmlformats.org/officeDocument/2006/relationships/hyperlink" Target="https://www.tga.gov.au/publication/ahmac-scheduling-policy-framework-medicines-and-chemicals" TargetMode="External"/><Relationship Id="rId4" Type="http://schemas.openxmlformats.org/officeDocument/2006/relationships/hyperlink" Target="https://www.tga.gov.au/publication/ahmac-scheduling-policy-framework-medicines-and-chemicals" TargetMode="External"/><Relationship Id="rId9" Type="http://schemas.openxmlformats.org/officeDocument/2006/relationships/hyperlink" Target="https://apvma.gov.au/sites/default/files/publication/13631-prs-butafenaci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znat\AppData\Local\Hewlett-Packard\HP%20TRIM\TEMP\HPTRIM.8184\D18-10488717%20%20Scheduling%20template%20103%20-%20Final%20decisions%20-%20ACCS,%20Joint%20ACCS-ACMS%20and%20ACMS(3).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A344D-2259-4234-8458-86982DB8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D18-10488717  Scheduling template 103 - Final decisions - ACCS, Joint ACCS-ACMS and ACMS(3).DOTX</Template>
  <TotalTime>267</TotalTime>
  <Pages>48</Pages>
  <Words>16910</Words>
  <Characters>95379</Characters>
  <Application>Microsoft Office Word</Application>
  <DocSecurity>0</DocSecurity>
  <Lines>1907</Lines>
  <Paragraphs>1134</Paragraphs>
  <ScaleCrop>false</ScaleCrop>
  <HeadingPairs>
    <vt:vector size="2" baseType="variant">
      <vt:variant>
        <vt:lpstr>Title</vt:lpstr>
      </vt:variant>
      <vt:variant>
        <vt:i4>1</vt:i4>
      </vt:variant>
    </vt:vector>
  </HeadingPairs>
  <TitlesOfParts>
    <vt:vector size="1" baseType="lpstr">
      <vt:lpstr>Final scheduling decisions and reasons, Month 20XX</vt:lpstr>
    </vt:vector>
  </TitlesOfParts>
  <Company>Therapeutic Goods Administration</Company>
  <LinksUpToDate>false</LinksUpToDate>
  <CharactersWithSpaces>111155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Delegate-only final decisions and reasons: Agricultural and veterinary chemicals</dc:title>
  <dc:subject>scheduling medicines and poisons</dc:subject>
  <dc:creator>Therapeutic Goods Administration</dc:creator>
  <cp:lastPrinted>2013-07-26T02:02:00Z</cp:lastPrinted>
  <dcterms:created xsi:type="dcterms:W3CDTF">2019-04-30T00:00:00Z</dcterms:created>
  <dcterms:modified xsi:type="dcterms:W3CDTF">2019-05-14T06:22:00Z</dcterms:modified>
</cp:coreProperties>
</file>