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0F7D2A10" w14:textId="77777777" w:rsidTr="002B29B2">
        <w:tc>
          <w:tcPr>
            <w:tcW w:w="8720" w:type="dxa"/>
          </w:tcPr>
          <w:p w14:paraId="13787715" w14:textId="67F512E2" w:rsidR="00F401EF" w:rsidRPr="00215D48" w:rsidRDefault="00DC7C47" w:rsidP="008A7AA6">
            <w:pPr>
              <w:pStyle w:val="Title"/>
            </w:pPr>
            <w:r>
              <w:t xml:space="preserve">Guidance </w:t>
            </w:r>
            <w:r w:rsidR="00906826">
              <w:t xml:space="preserve">on the </w:t>
            </w:r>
            <w:r w:rsidR="00462A15">
              <w:t>m</w:t>
            </w:r>
            <w:r w:rsidR="00906826">
              <w:t xml:space="preserve">anagement of GMP </w:t>
            </w:r>
            <w:r w:rsidR="00462A15">
              <w:t>c</w:t>
            </w:r>
            <w:r w:rsidR="00906826">
              <w:t xml:space="preserve">ompliance </w:t>
            </w:r>
            <w:r w:rsidR="00462A15" w:rsidRPr="008A7AA6">
              <w:t>s</w:t>
            </w:r>
            <w:r w:rsidR="00906826" w:rsidRPr="008A7AA6">
              <w:t>ignals</w:t>
            </w:r>
          </w:p>
        </w:tc>
      </w:tr>
      <w:tr w:rsidR="002B29B2" w:rsidRPr="00215D48" w14:paraId="77EC8389" w14:textId="77777777" w:rsidTr="002B29B2">
        <w:trPr>
          <w:trHeight w:val="1916"/>
        </w:trPr>
        <w:tc>
          <w:tcPr>
            <w:tcW w:w="8720" w:type="dxa"/>
          </w:tcPr>
          <w:p w14:paraId="149D770A" w14:textId="5CF8D447" w:rsidR="00C50E06" w:rsidRPr="008A7AA6" w:rsidRDefault="006A41F8" w:rsidP="008A7AA6">
            <w:pPr>
              <w:pStyle w:val="Subtitle"/>
              <w:framePr w:hSpace="0" w:wrap="auto" w:vAnchor="margin" w:hAnchor="text" w:yAlign="inline"/>
            </w:pPr>
            <w:proofErr w:type="gramStart"/>
            <w:r>
              <w:t>f</w:t>
            </w:r>
            <w:r w:rsidR="004B500C">
              <w:t>or</w:t>
            </w:r>
            <w:proofErr w:type="gramEnd"/>
            <w:r w:rsidR="00C50E06" w:rsidRPr="00C50E06">
              <w:t xml:space="preserve"> </w:t>
            </w:r>
            <w:r w:rsidR="002D53B0">
              <w:t>d</w:t>
            </w:r>
            <w:r w:rsidR="002D53B0" w:rsidRPr="00C50E06">
              <w:t xml:space="preserve">omestic </w:t>
            </w:r>
            <w:r w:rsidR="00C50E06" w:rsidRPr="00C50E06">
              <w:t xml:space="preserve">and </w:t>
            </w:r>
            <w:r w:rsidR="002D53B0">
              <w:t>o</w:t>
            </w:r>
            <w:r w:rsidR="002D53B0" w:rsidRPr="00C50E06">
              <w:t xml:space="preserve">verseas </w:t>
            </w:r>
            <w:r w:rsidR="002D53B0">
              <w:t>m</w:t>
            </w:r>
            <w:r w:rsidR="002D53B0" w:rsidRPr="00C50E06">
              <w:t xml:space="preserve">anufacturers </w:t>
            </w:r>
            <w:r w:rsidR="00C50E06" w:rsidRPr="00C50E06">
              <w:t xml:space="preserve">of </w:t>
            </w:r>
            <w:r w:rsidR="002D53B0">
              <w:t>m</w:t>
            </w:r>
            <w:r w:rsidR="002D53B0" w:rsidRPr="00C50E06">
              <w:t xml:space="preserve">edicines </w:t>
            </w:r>
            <w:r w:rsidR="00C50E06" w:rsidRPr="00C50E06">
              <w:t xml:space="preserve">and </w:t>
            </w:r>
            <w:r w:rsidR="002D53B0">
              <w:t>b</w:t>
            </w:r>
            <w:r w:rsidR="002D53B0" w:rsidRPr="00C50E06">
              <w:t>iologicals</w:t>
            </w:r>
          </w:p>
        </w:tc>
      </w:tr>
      <w:tr w:rsidR="002B29B2" w:rsidRPr="00215D48" w14:paraId="714FF996" w14:textId="77777777" w:rsidTr="002B29B2">
        <w:tc>
          <w:tcPr>
            <w:tcW w:w="8720" w:type="dxa"/>
          </w:tcPr>
          <w:p w14:paraId="477F14DB" w14:textId="0240A5D2" w:rsidR="002B29B2" w:rsidRPr="0004006C" w:rsidRDefault="002B29B2" w:rsidP="00A472DA">
            <w:pPr>
              <w:pStyle w:val="Date"/>
            </w:pPr>
            <w:r w:rsidRPr="0004006C">
              <w:t xml:space="preserve">Version 1.0, </w:t>
            </w:r>
            <w:r w:rsidR="00A472DA">
              <w:t>May</w:t>
            </w:r>
            <w:r w:rsidR="008F71AD" w:rsidRPr="0004006C">
              <w:t xml:space="preserve"> </w:t>
            </w:r>
            <w:r w:rsidR="0004006C" w:rsidRPr="0004006C">
              <w:t>2021</w:t>
            </w:r>
          </w:p>
        </w:tc>
      </w:tr>
    </w:tbl>
    <w:p w14:paraId="2426DC24" w14:textId="77777777" w:rsidR="00B24FF5" w:rsidRPr="00215D48" w:rsidRDefault="00B24FF5" w:rsidP="00B24FF5">
      <w:pPr>
        <w:pStyle w:val="ListBullet"/>
        <w:numPr>
          <w:ilvl w:val="0"/>
          <w:numId w:val="0"/>
        </w:numPr>
        <w:sectPr w:rsidR="00B24FF5" w:rsidRPr="00215D48" w:rsidSect="00F401EF">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01D8133E" w14:textId="77777777" w:rsidR="005D1689" w:rsidRPr="00E1198B" w:rsidRDefault="005D1689" w:rsidP="00BA0DFC">
      <w:pPr>
        <w:pStyle w:val="LegalSubheading"/>
      </w:pPr>
      <w:r w:rsidRPr="00BA0DFC">
        <w:lastRenderedPageBreak/>
        <w:t>Copyright</w:t>
      </w:r>
    </w:p>
    <w:p w14:paraId="5966F3E9" w14:textId="4CCC66FC" w:rsidR="00F274A2" w:rsidRDefault="005D1689" w:rsidP="0029069E">
      <w:pPr>
        <w:pStyle w:val="LegalCopy"/>
        <w:rPr>
          <w:rFonts w:cs="Arial"/>
        </w:rPr>
      </w:pPr>
      <w:r w:rsidRPr="00215D48">
        <w:rPr>
          <w:rFonts w:cs="Arial"/>
        </w:rPr>
        <w:t>© Commonwealth of Australia 20</w:t>
      </w:r>
      <w:r w:rsidR="009074DB">
        <w:rPr>
          <w:rFonts w:cs="Arial"/>
        </w:rPr>
        <w:t>2</w:t>
      </w:r>
      <w:r w:rsidR="005F67B7">
        <w:rPr>
          <w:rFonts w:cs="Arial"/>
        </w:rPr>
        <w:t>1</w:t>
      </w:r>
      <w:r w:rsidRPr="00215D48">
        <w:rPr>
          <w:rFonts w:cs="Arial"/>
        </w:rPr>
        <w:br/>
      </w:r>
      <w:proofErr w:type="gramStart"/>
      <w:r w:rsidRPr="00215D48">
        <w:rPr>
          <w:rFonts w:cs="Arial"/>
        </w:rPr>
        <w:t>This</w:t>
      </w:r>
      <w:proofErr w:type="gramEnd"/>
      <w:r w:rsidRPr="00215D48">
        <w:rPr>
          <w:rFonts w:cs="Arial"/>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EndPr>
        <w:rPr>
          <w:sz w:val="20"/>
        </w:rPr>
      </w:sdtEndPr>
      <w:sdtContent>
        <w:p w14:paraId="5DA808F0" w14:textId="037CF52A" w:rsidR="00F401EF" w:rsidRPr="00DC2BA1" w:rsidRDefault="00F401EF" w:rsidP="0004006C">
          <w:pPr>
            <w:pStyle w:val="NonTOCheading2"/>
            <w:tabs>
              <w:tab w:val="left" w:pos="5242"/>
            </w:tabs>
            <w:rPr>
              <w:sz w:val="32"/>
            </w:rPr>
          </w:pPr>
          <w:r w:rsidRPr="00DC2BA1">
            <w:rPr>
              <w:sz w:val="32"/>
            </w:rPr>
            <w:t>Contents</w:t>
          </w:r>
        </w:p>
        <w:p w14:paraId="1F706693" w14:textId="745E1E91" w:rsidR="00DC2BA1" w:rsidRPr="00DC2BA1" w:rsidRDefault="00F859D2">
          <w:pPr>
            <w:pStyle w:val="TOC1"/>
            <w:rPr>
              <w:rFonts w:asciiTheme="minorHAnsi" w:eastAsiaTheme="minorEastAsia" w:hAnsiTheme="minorHAnsi" w:cstheme="minorBidi"/>
              <w:b w:val="0"/>
              <w:noProof/>
              <w:sz w:val="20"/>
              <w:szCs w:val="22"/>
              <w:lang w:eastAsia="en-AU"/>
            </w:rPr>
          </w:pPr>
          <w:r w:rsidRPr="00DC2BA1">
            <w:rPr>
              <w:sz w:val="22"/>
            </w:rPr>
            <w:fldChar w:fldCharType="begin"/>
          </w:r>
          <w:r w:rsidR="00F401EF" w:rsidRPr="00DC2BA1">
            <w:rPr>
              <w:sz w:val="22"/>
            </w:rPr>
            <w:instrText xml:space="preserve"> TOC \h \z \u \t "Heading 2,1,Heading 3,2,Heading 4,3" </w:instrText>
          </w:r>
          <w:r w:rsidRPr="00DC2BA1">
            <w:rPr>
              <w:sz w:val="22"/>
            </w:rPr>
            <w:fldChar w:fldCharType="separate"/>
          </w:r>
          <w:hyperlink w:anchor="_Toc69198495" w:history="1">
            <w:r w:rsidR="00DC2BA1" w:rsidRPr="00DC2BA1">
              <w:rPr>
                <w:rStyle w:val="Hyperlink"/>
                <w:noProof/>
                <w:sz w:val="28"/>
              </w:rPr>
              <w:t>About this guidance</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_Toc69198495 \h </w:instrText>
            </w:r>
            <w:r w:rsidR="00DC2BA1" w:rsidRPr="00DC2BA1">
              <w:rPr>
                <w:noProof/>
                <w:webHidden/>
                <w:sz w:val="28"/>
              </w:rPr>
            </w:r>
            <w:r w:rsidR="00DC2BA1" w:rsidRPr="00DC2BA1">
              <w:rPr>
                <w:noProof/>
                <w:webHidden/>
                <w:sz w:val="28"/>
              </w:rPr>
              <w:fldChar w:fldCharType="separate"/>
            </w:r>
            <w:r w:rsidR="00DC2BA1">
              <w:rPr>
                <w:noProof/>
                <w:webHidden/>
                <w:sz w:val="28"/>
              </w:rPr>
              <w:t>4</w:t>
            </w:r>
            <w:r w:rsidR="00DC2BA1" w:rsidRPr="00DC2BA1">
              <w:rPr>
                <w:noProof/>
                <w:webHidden/>
                <w:sz w:val="28"/>
              </w:rPr>
              <w:fldChar w:fldCharType="end"/>
            </w:r>
          </w:hyperlink>
        </w:p>
        <w:p w14:paraId="361BE640" w14:textId="57268F81" w:rsidR="00DC2BA1" w:rsidRPr="00DC2BA1" w:rsidRDefault="005D470B">
          <w:pPr>
            <w:pStyle w:val="TOC1"/>
            <w:rPr>
              <w:rFonts w:asciiTheme="minorHAnsi" w:eastAsiaTheme="minorEastAsia" w:hAnsiTheme="minorHAnsi" w:cstheme="minorBidi"/>
              <w:b w:val="0"/>
              <w:noProof/>
              <w:sz w:val="20"/>
              <w:szCs w:val="22"/>
              <w:lang w:eastAsia="en-AU"/>
            </w:rPr>
          </w:pPr>
          <w:hyperlink w:anchor="_Toc69198496" w:history="1">
            <w:r w:rsidR="00DC2BA1" w:rsidRPr="00DC2BA1">
              <w:rPr>
                <w:rStyle w:val="Hyperlink"/>
                <w:noProof/>
                <w:sz w:val="28"/>
              </w:rPr>
              <w:t>GMP for medicines and biologicals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_Toc69198496 \h </w:instrText>
            </w:r>
            <w:r w:rsidR="00DC2BA1" w:rsidRPr="00DC2BA1">
              <w:rPr>
                <w:noProof/>
                <w:webHidden/>
                <w:sz w:val="28"/>
              </w:rPr>
            </w:r>
            <w:r w:rsidR="00DC2BA1" w:rsidRPr="00DC2BA1">
              <w:rPr>
                <w:noProof/>
                <w:webHidden/>
                <w:sz w:val="28"/>
              </w:rPr>
              <w:fldChar w:fldCharType="separate"/>
            </w:r>
            <w:r w:rsidR="00DC2BA1">
              <w:rPr>
                <w:noProof/>
                <w:webHidden/>
                <w:sz w:val="28"/>
              </w:rPr>
              <w:t>4</w:t>
            </w:r>
            <w:r w:rsidR="00DC2BA1" w:rsidRPr="00DC2BA1">
              <w:rPr>
                <w:noProof/>
                <w:webHidden/>
                <w:sz w:val="28"/>
              </w:rPr>
              <w:fldChar w:fldCharType="end"/>
            </w:r>
          </w:hyperlink>
        </w:p>
        <w:p w14:paraId="675CFEB6" w14:textId="56D87645" w:rsidR="00DC2BA1" w:rsidRPr="00DC2BA1" w:rsidRDefault="005D470B">
          <w:pPr>
            <w:pStyle w:val="TOC1"/>
            <w:rPr>
              <w:rFonts w:asciiTheme="minorHAnsi" w:eastAsiaTheme="minorEastAsia" w:hAnsiTheme="minorHAnsi" w:cstheme="minorBidi"/>
              <w:b w:val="0"/>
              <w:noProof/>
              <w:sz w:val="20"/>
              <w:szCs w:val="22"/>
              <w:lang w:eastAsia="en-AU"/>
            </w:rPr>
          </w:pPr>
          <w:hyperlink w:anchor="_Toc69198497" w:history="1">
            <w:r w:rsidR="00DC2BA1" w:rsidRPr="00DC2BA1">
              <w:rPr>
                <w:rStyle w:val="Hyperlink"/>
                <w:noProof/>
                <w:sz w:val="28"/>
              </w:rPr>
              <w:t>Licensing, GMP certification and clearance requirements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_Toc69198497 \h </w:instrText>
            </w:r>
            <w:r w:rsidR="00DC2BA1" w:rsidRPr="00DC2BA1">
              <w:rPr>
                <w:noProof/>
                <w:webHidden/>
                <w:sz w:val="28"/>
              </w:rPr>
            </w:r>
            <w:r w:rsidR="00DC2BA1" w:rsidRPr="00DC2BA1">
              <w:rPr>
                <w:noProof/>
                <w:webHidden/>
                <w:sz w:val="28"/>
              </w:rPr>
              <w:fldChar w:fldCharType="separate"/>
            </w:r>
            <w:r w:rsidR="00DC2BA1">
              <w:rPr>
                <w:noProof/>
                <w:webHidden/>
                <w:sz w:val="28"/>
              </w:rPr>
              <w:t>5</w:t>
            </w:r>
            <w:r w:rsidR="00DC2BA1" w:rsidRPr="00DC2BA1">
              <w:rPr>
                <w:noProof/>
                <w:webHidden/>
                <w:sz w:val="28"/>
              </w:rPr>
              <w:fldChar w:fldCharType="end"/>
            </w:r>
          </w:hyperlink>
        </w:p>
        <w:p w14:paraId="75A487AC" w14:textId="7072020D" w:rsidR="00DC2BA1" w:rsidRPr="00DC2BA1" w:rsidRDefault="005D470B">
          <w:pPr>
            <w:pStyle w:val="TOC1"/>
            <w:rPr>
              <w:rFonts w:asciiTheme="minorHAnsi" w:eastAsiaTheme="minorEastAsia" w:hAnsiTheme="minorHAnsi" w:cstheme="minorBidi"/>
              <w:b w:val="0"/>
              <w:noProof/>
              <w:sz w:val="20"/>
              <w:szCs w:val="22"/>
              <w:lang w:eastAsia="en-AU"/>
            </w:rPr>
          </w:pPr>
          <w:hyperlink w:anchor="_Toc69198498" w:history="1">
            <w:r w:rsidR="00DC2BA1" w:rsidRPr="00DC2BA1">
              <w:rPr>
                <w:rStyle w:val="Hyperlink"/>
                <w:noProof/>
                <w:sz w:val="28"/>
              </w:rPr>
              <w:t>GMP compliance signals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_Toc69198498 \h </w:instrText>
            </w:r>
            <w:r w:rsidR="00DC2BA1" w:rsidRPr="00DC2BA1">
              <w:rPr>
                <w:noProof/>
                <w:webHidden/>
                <w:sz w:val="28"/>
              </w:rPr>
            </w:r>
            <w:r w:rsidR="00DC2BA1" w:rsidRPr="00DC2BA1">
              <w:rPr>
                <w:noProof/>
                <w:webHidden/>
                <w:sz w:val="28"/>
              </w:rPr>
              <w:fldChar w:fldCharType="separate"/>
            </w:r>
            <w:r w:rsidR="00DC2BA1">
              <w:rPr>
                <w:noProof/>
                <w:webHidden/>
                <w:sz w:val="28"/>
              </w:rPr>
              <w:t>5</w:t>
            </w:r>
            <w:r w:rsidR="00DC2BA1" w:rsidRPr="00DC2BA1">
              <w:rPr>
                <w:noProof/>
                <w:webHidden/>
                <w:sz w:val="28"/>
              </w:rPr>
              <w:fldChar w:fldCharType="end"/>
            </w:r>
          </w:hyperlink>
        </w:p>
        <w:p w14:paraId="43F5BF7B" w14:textId="15D647E8" w:rsidR="00DC2BA1" w:rsidRPr="00DC2BA1" w:rsidRDefault="005D470B">
          <w:pPr>
            <w:pStyle w:val="TOC1"/>
            <w:rPr>
              <w:rFonts w:asciiTheme="minorHAnsi" w:eastAsiaTheme="minorEastAsia" w:hAnsiTheme="minorHAnsi" w:cstheme="minorBidi"/>
              <w:b w:val="0"/>
              <w:noProof/>
              <w:sz w:val="20"/>
              <w:szCs w:val="22"/>
              <w:lang w:eastAsia="en-AU"/>
            </w:rPr>
          </w:pPr>
          <w:hyperlink w:anchor="_Toc69198499" w:history="1">
            <w:r w:rsidR="00DC2BA1" w:rsidRPr="00DC2BA1">
              <w:rPr>
                <w:rStyle w:val="Hyperlink"/>
                <w:noProof/>
                <w:sz w:val="28"/>
              </w:rPr>
              <w:t>GMP compliance signals and sponsor / manufacturer responsibilities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_Toc69198499 \h </w:instrText>
            </w:r>
            <w:r w:rsidR="00DC2BA1" w:rsidRPr="00DC2BA1">
              <w:rPr>
                <w:noProof/>
                <w:webHidden/>
                <w:sz w:val="28"/>
              </w:rPr>
            </w:r>
            <w:r w:rsidR="00DC2BA1" w:rsidRPr="00DC2BA1">
              <w:rPr>
                <w:noProof/>
                <w:webHidden/>
                <w:sz w:val="28"/>
              </w:rPr>
              <w:fldChar w:fldCharType="separate"/>
            </w:r>
            <w:r w:rsidR="00DC2BA1">
              <w:rPr>
                <w:noProof/>
                <w:webHidden/>
                <w:sz w:val="28"/>
              </w:rPr>
              <w:t>5</w:t>
            </w:r>
            <w:r w:rsidR="00DC2BA1" w:rsidRPr="00DC2BA1">
              <w:rPr>
                <w:noProof/>
                <w:webHidden/>
                <w:sz w:val="28"/>
              </w:rPr>
              <w:fldChar w:fldCharType="end"/>
            </w:r>
          </w:hyperlink>
        </w:p>
        <w:p w14:paraId="45BF9E09" w14:textId="5825395D"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00" w:history="1">
            <w:r w:rsidR="00DC2BA1" w:rsidRPr="00DC2BA1">
              <w:rPr>
                <w:rStyle w:val="Hyperlink"/>
                <w:noProof/>
                <w:sz w:val="28"/>
              </w:rPr>
              <w:t>Management of GMP compliance signals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_Toc69198500 \h </w:instrText>
            </w:r>
            <w:r w:rsidR="00DC2BA1" w:rsidRPr="00DC2BA1">
              <w:rPr>
                <w:noProof/>
                <w:webHidden/>
                <w:sz w:val="28"/>
              </w:rPr>
            </w:r>
            <w:r w:rsidR="00DC2BA1" w:rsidRPr="00DC2BA1">
              <w:rPr>
                <w:noProof/>
                <w:webHidden/>
                <w:sz w:val="28"/>
              </w:rPr>
              <w:fldChar w:fldCharType="separate"/>
            </w:r>
            <w:r w:rsidR="00DC2BA1">
              <w:rPr>
                <w:noProof/>
                <w:webHidden/>
                <w:sz w:val="28"/>
              </w:rPr>
              <w:t>6</w:t>
            </w:r>
            <w:r w:rsidR="00DC2BA1" w:rsidRPr="00DC2BA1">
              <w:rPr>
                <w:noProof/>
                <w:webHidden/>
                <w:sz w:val="28"/>
              </w:rPr>
              <w:fldChar w:fldCharType="end"/>
            </w:r>
          </w:hyperlink>
        </w:p>
        <w:p w14:paraId="631E9CA1" w14:textId="2518B0E5"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01" w:history="1">
            <w:r w:rsidR="00DC2BA1" w:rsidRPr="00DC2BA1">
              <w:rPr>
                <w:rStyle w:val="Hyperlink"/>
                <w:noProof/>
                <w:sz w:val="24"/>
              </w:rPr>
              <w:t>Review and investigation of GMP Compliance signals</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_Toc69198501 \h </w:instrText>
            </w:r>
            <w:r w:rsidR="00DC2BA1" w:rsidRPr="00DC2BA1">
              <w:rPr>
                <w:noProof/>
                <w:webHidden/>
                <w:sz w:val="24"/>
              </w:rPr>
            </w:r>
            <w:r w:rsidR="00DC2BA1" w:rsidRPr="00DC2BA1">
              <w:rPr>
                <w:noProof/>
                <w:webHidden/>
                <w:sz w:val="24"/>
              </w:rPr>
              <w:fldChar w:fldCharType="separate"/>
            </w:r>
            <w:r w:rsidR="00DC2BA1">
              <w:rPr>
                <w:noProof/>
                <w:webHidden/>
                <w:sz w:val="24"/>
              </w:rPr>
              <w:t>6</w:t>
            </w:r>
            <w:r w:rsidR="00DC2BA1" w:rsidRPr="00DC2BA1">
              <w:rPr>
                <w:noProof/>
                <w:webHidden/>
                <w:sz w:val="24"/>
              </w:rPr>
              <w:fldChar w:fldCharType="end"/>
            </w:r>
          </w:hyperlink>
        </w:p>
        <w:p w14:paraId="286BB2C4" w14:textId="2180E626" w:rsidR="00DC2BA1" w:rsidRPr="00DC2BA1" w:rsidRDefault="005D470B">
          <w:pPr>
            <w:pStyle w:val="TOC3"/>
            <w:rPr>
              <w:rFonts w:asciiTheme="minorHAnsi" w:eastAsiaTheme="minorEastAsia" w:hAnsiTheme="minorHAnsi" w:cstheme="minorBidi"/>
              <w:b w:val="0"/>
              <w:noProof/>
              <w:sz w:val="20"/>
              <w:szCs w:val="22"/>
              <w:lang w:eastAsia="en-AU"/>
            </w:rPr>
          </w:pPr>
          <w:hyperlink w:anchor="_Toc69198502" w:history="1">
            <w:r w:rsidR="00DC2BA1" w:rsidRPr="00DC2BA1">
              <w:rPr>
                <w:rStyle w:val="Hyperlink"/>
                <w:noProof/>
                <w:sz w:val="20"/>
              </w:rPr>
              <w:t>Risk assessments</w:t>
            </w:r>
            <w:r w:rsidR="00DC2BA1" w:rsidRPr="00DC2BA1">
              <w:rPr>
                <w:noProof/>
                <w:webHidden/>
                <w:sz w:val="20"/>
              </w:rPr>
              <w:tab/>
            </w:r>
            <w:r w:rsidR="00DC2BA1" w:rsidRPr="00DC2BA1">
              <w:rPr>
                <w:noProof/>
                <w:webHidden/>
                <w:sz w:val="20"/>
              </w:rPr>
              <w:fldChar w:fldCharType="begin"/>
            </w:r>
            <w:r w:rsidR="00DC2BA1" w:rsidRPr="00DC2BA1">
              <w:rPr>
                <w:noProof/>
                <w:webHidden/>
                <w:sz w:val="20"/>
              </w:rPr>
              <w:instrText xml:space="preserve"> PAGEREF _Toc69198502 \h </w:instrText>
            </w:r>
            <w:r w:rsidR="00DC2BA1" w:rsidRPr="00DC2BA1">
              <w:rPr>
                <w:noProof/>
                <w:webHidden/>
                <w:sz w:val="20"/>
              </w:rPr>
            </w:r>
            <w:r w:rsidR="00DC2BA1" w:rsidRPr="00DC2BA1">
              <w:rPr>
                <w:noProof/>
                <w:webHidden/>
                <w:sz w:val="20"/>
              </w:rPr>
              <w:fldChar w:fldCharType="separate"/>
            </w:r>
            <w:r w:rsidR="00DC2BA1">
              <w:rPr>
                <w:noProof/>
                <w:webHidden/>
                <w:sz w:val="20"/>
              </w:rPr>
              <w:t>6</w:t>
            </w:r>
            <w:r w:rsidR="00DC2BA1" w:rsidRPr="00DC2BA1">
              <w:rPr>
                <w:noProof/>
                <w:webHidden/>
                <w:sz w:val="20"/>
              </w:rPr>
              <w:fldChar w:fldCharType="end"/>
            </w:r>
          </w:hyperlink>
        </w:p>
        <w:p w14:paraId="46B5E0B8" w14:textId="3DB8837A" w:rsidR="00DC2BA1" w:rsidRPr="00DC2BA1" w:rsidRDefault="005D470B">
          <w:pPr>
            <w:pStyle w:val="TOC3"/>
            <w:rPr>
              <w:rFonts w:asciiTheme="minorHAnsi" w:eastAsiaTheme="minorEastAsia" w:hAnsiTheme="minorHAnsi" w:cstheme="minorBidi"/>
              <w:b w:val="0"/>
              <w:noProof/>
              <w:sz w:val="20"/>
              <w:szCs w:val="22"/>
              <w:lang w:eastAsia="en-AU"/>
            </w:rPr>
          </w:pPr>
          <w:hyperlink w:anchor="_Toc69198503" w:history="1">
            <w:r w:rsidR="00DC2BA1" w:rsidRPr="00DC2BA1">
              <w:rPr>
                <w:rStyle w:val="Hyperlink"/>
                <w:noProof/>
                <w:sz w:val="20"/>
              </w:rPr>
              <w:t>Request for additional information</w:t>
            </w:r>
            <w:r w:rsidR="00DC2BA1" w:rsidRPr="00DC2BA1">
              <w:rPr>
                <w:noProof/>
                <w:webHidden/>
                <w:sz w:val="20"/>
              </w:rPr>
              <w:tab/>
            </w:r>
            <w:r w:rsidR="00DC2BA1" w:rsidRPr="00DC2BA1">
              <w:rPr>
                <w:noProof/>
                <w:webHidden/>
                <w:sz w:val="20"/>
              </w:rPr>
              <w:fldChar w:fldCharType="begin"/>
            </w:r>
            <w:r w:rsidR="00DC2BA1" w:rsidRPr="00DC2BA1">
              <w:rPr>
                <w:noProof/>
                <w:webHidden/>
                <w:sz w:val="20"/>
              </w:rPr>
              <w:instrText xml:space="preserve"> PAGEREF _Toc69198503 \h </w:instrText>
            </w:r>
            <w:r w:rsidR="00DC2BA1" w:rsidRPr="00DC2BA1">
              <w:rPr>
                <w:noProof/>
                <w:webHidden/>
                <w:sz w:val="20"/>
              </w:rPr>
            </w:r>
            <w:r w:rsidR="00DC2BA1" w:rsidRPr="00DC2BA1">
              <w:rPr>
                <w:noProof/>
                <w:webHidden/>
                <w:sz w:val="20"/>
              </w:rPr>
              <w:fldChar w:fldCharType="separate"/>
            </w:r>
            <w:r w:rsidR="00DC2BA1">
              <w:rPr>
                <w:noProof/>
                <w:webHidden/>
                <w:sz w:val="20"/>
              </w:rPr>
              <w:t>7</w:t>
            </w:r>
            <w:r w:rsidR="00DC2BA1" w:rsidRPr="00DC2BA1">
              <w:rPr>
                <w:noProof/>
                <w:webHidden/>
                <w:sz w:val="20"/>
              </w:rPr>
              <w:fldChar w:fldCharType="end"/>
            </w:r>
          </w:hyperlink>
        </w:p>
        <w:p w14:paraId="4A7AD2AD" w14:textId="7D49AAFD"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04" w:history="1">
            <w:r w:rsidR="00DC2BA1" w:rsidRPr="00DC2BA1">
              <w:rPr>
                <w:rStyle w:val="Hyperlink"/>
                <w:noProof/>
                <w:sz w:val="28"/>
              </w:rPr>
              <w:t>Compliance and risk framework for licensed manufacturers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_Toc69198504 \h </w:instrText>
            </w:r>
            <w:r w:rsidR="00DC2BA1" w:rsidRPr="00DC2BA1">
              <w:rPr>
                <w:noProof/>
                <w:webHidden/>
                <w:sz w:val="28"/>
              </w:rPr>
            </w:r>
            <w:r w:rsidR="00DC2BA1" w:rsidRPr="00DC2BA1">
              <w:rPr>
                <w:noProof/>
                <w:webHidden/>
                <w:sz w:val="28"/>
              </w:rPr>
              <w:fldChar w:fldCharType="separate"/>
            </w:r>
            <w:r w:rsidR="00DC2BA1">
              <w:rPr>
                <w:noProof/>
                <w:webHidden/>
                <w:sz w:val="28"/>
              </w:rPr>
              <w:t>7</w:t>
            </w:r>
            <w:r w:rsidR="00DC2BA1" w:rsidRPr="00DC2BA1">
              <w:rPr>
                <w:noProof/>
                <w:webHidden/>
                <w:sz w:val="28"/>
              </w:rPr>
              <w:fldChar w:fldCharType="end"/>
            </w:r>
          </w:hyperlink>
        </w:p>
        <w:p w14:paraId="64F11CE6" w14:textId="232BC048"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05" w:history="1">
            <w:r w:rsidR="00DC2BA1" w:rsidRPr="00DC2BA1">
              <w:rPr>
                <w:rStyle w:val="Hyperlink"/>
                <w:noProof/>
                <w:sz w:val="28"/>
              </w:rPr>
              <w:t>Regulatory actions for domestic licensed manufacturers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_Toc69198505 \h </w:instrText>
            </w:r>
            <w:r w:rsidR="00DC2BA1" w:rsidRPr="00DC2BA1">
              <w:rPr>
                <w:noProof/>
                <w:webHidden/>
                <w:sz w:val="28"/>
              </w:rPr>
            </w:r>
            <w:r w:rsidR="00DC2BA1" w:rsidRPr="00DC2BA1">
              <w:rPr>
                <w:noProof/>
                <w:webHidden/>
                <w:sz w:val="28"/>
              </w:rPr>
              <w:fldChar w:fldCharType="separate"/>
            </w:r>
            <w:r w:rsidR="00DC2BA1">
              <w:rPr>
                <w:noProof/>
                <w:webHidden/>
                <w:sz w:val="28"/>
              </w:rPr>
              <w:t>8</w:t>
            </w:r>
            <w:r w:rsidR="00DC2BA1" w:rsidRPr="00DC2BA1">
              <w:rPr>
                <w:noProof/>
                <w:webHidden/>
                <w:sz w:val="28"/>
              </w:rPr>
              <w:fldChar w:fldCharType="end"/>
            </w:r>
          </w:hyperlink>
        </w:p>
        <w:p w14:paraId="10EE8C88" w14:textId="1B12CD7B"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06" w:history="1">
            <w:r w:rsidR="00DC2BA1" w:rsidRPr="00DC2BA1">
              <w:rPr>
                <w:rStyle w:val="Hyperlink"/>
                <w:noProof/>
                <w:sz w:val="28"/>
              </w:rPr>
              <w:t>Regulatory actions for overseas manufacturers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_Toc69198506 \h </w:instrText>
            </w:r>
            <w:r w:rsidR="00DC2BA1" w:rsidRPr="00DC2BA1">
              <w:rPr>
                <w:noProof/>
                <w:webHidden/>
                <w:sz w:val="28"/>
              </w:rPr>
            </w:r>
            <w:r w:rsidR="00DC2BA1" w:rsidRPr="00DC2BA1">
              <w:rPr>
                <w:noProof/>
                <w:webHidden/>
                <w:sz w:val="28"/>
              </w:rPr>
              <w:fldChar w:fldCharType="separate"/>
            </w:r>
            <w:r w:rsidR="00DC2BA1">
              <w:rPr>
                <w:noProof/>
                <w:webHidden/>
                <w:sz w:val="28"/>
              </w:rPr>
              <w:t>9</w:t>
            </w:r>
            <w:r w:rsidR="00DC2BA1" w:rsidRPr="00DC2BA1">
              <w:rPr>
                <w:noProof/>
                <w:webHidden/>
                <w:sz w:val="28"/>
              </w:rPr>
              <w:fldChar w:fldCharType="end"/>
            </w:r>
          </w:hyperlink>
        </w:p>
        <w:p w14:paraId="2A92033E" w14:textId="2C7B8F32"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07" w:history="1">
            <w:r w:rsidR="00DC2BA1" w:rsidRPr="00DC2BA1">
              <w:rPr>
                <w:rStyle w:val="Hyperlink"/>
                <w:noProof/>
                <w:sz w:val="24"/>
              </w:rPr>
              <w:t>GMP Compliance signal review and investigation</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_Toc69198507 \h </w:instrText>
            </w:r>
            <w:r w:rsidR="00DC2BA1" w:rsidRPr="00DC2BA1">
              <w:rPr>
                <w:noProof/>
                <w:webHidden/>
                <w:sz w:val="24"/>
              </w:rPr>
            </w:r>
            <w:r w:rsidR="00DC2BA1" w:rsidRPr="00DC2BA1">
              <w:rPr>
                <w:noProof/>
                <w:webHidden/>
                <w:sz w:val="24"/>
              </w:rPr>
              <w:fldChar w:fldCharType="separate"/>
            </w:r>
            <w:r w:rsidR="00DC2BA1">
              <w:rPr>
                <w:noProof/>
                <w:webHidden/>
                <w:sz w:val="24"/>
              </w:rPr>
              <w:t>11</w:t>
            </w:r>
            <w:r w:rsidR="00DC2BA1" w:rsidRPr="00DC2BA1">
              <w:rPr>
                <w:noProof/>
                <w:webHidden/>
                <w:sz w:val="24"/>
              </w:rPr>
              <w:fldChar w:fldCharType="end"/>
            </w:r>
          </w:hyperlink>
        </w:p>
        <w:p w14:paraId="3E932017" w14:textId="49AA7E7B"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08" w:history="1">
            <w:r w:rsidR="00DC2BA1" w:rsidRPr="00DC2BA1">
              <w:rPr>
                <w:rStyle w:val="Hyperlink"/>
                <w:noProof/>
                <w:sz w:val="28"/>
              </w:rPr>
              <w:t>Compliance and enforcement tools available to the TGA</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_Toc69198508 \h </w:instrText>
            </w:r>
            <w:r w:rsidR="00DC2BA1" w:rsidRPr="00DC2BA1">
              <w:rPr>
                <w:noProof/>
                <w:webHidden/>
                <w:sz w:val="28"/>
              </w:rPr>
            </w:r>
            <w:r w:rsidR="00DC2BA1" w:rsidRPr="00DC2BA1">
              <w:rPr>
                <w:noProof/>
                <w:webHidden/>
                <w:sz w:val="28"/>
              </w:rPr>
              <w:fldChar w:fldCharType="separate"/>
            </w:r>
            <w:r w:rsidR="00DC2BA1">
              <w:rPr>
                <w:noProof/>
                <w:webHidden/>
                <w:sz w:val="28"/>
              </w:rPr>
              <w:t>12</w:t>
            </w:r>
            <w:r w:rsidR="00DC2BA1" w:rsidRPr="00DC2BA1">
              <w:rPr>
                <w:noProof/>
                <w:webHidden/>
                <w:sz w:val="28"/>
              </w:rPr>
              <w:fldChar w:fldCharType="end"/>
            </w:r>
          </w:hyperlink>
        </w:p>
        <w:p w14:paraId="2D42DF88" w14:textId="50A3ECC6"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09" w:history="1">
            <w:r w:rsidR="00DC2BA1" w:rsidRPr="00DC2BA1">
              <w:rPr>
                <w:rStyle w:val="Hyperlink"/>
                <w:noProof/>
                <w:sz w:val="24"/>
              </w:rPr>
              <w:t>Information or documents</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_Toc69198509 \h </w:instrText>
            </w:r>
            <w:r w:rsidR="00DC2BA1" w:rsidRPr="00DC2BA1">
              <w:rPr>
                <w:noProof/>
                <w:webHidden/>
                <w:sz w:val="24"/>
              </w:rPr>
            </w:r>
            <w:r w:rsidR="00DC2BA1" w:rsidRPr="00DC2BA1">
              <w:rPr>
                <w:noProof/>
                <w:webHidden/>
                <w:sz w:val="24"/>
              </w:rPr>
              <w:fldChar w:fldCharType="separate"/>
            </w:r>
            <w:r w:rsidR="00DC2BA1">
              <w:rPr>
                <w:noProof/>
                <w:webHidden/>
                <w:sz w:val="24"/>
              </w:rPr>
              <w:t>12</w:t>
            </w:r>
            <w:r w:rsidR="00DC2BA1" w:rsidRPr="00DC2BA1">
              <w:rPr>
                <w:noProof/>
                <w:webHidden/>
                <w:sz w:val="24"/>
              </w:rPr>
              <w:fldChar w:fldCharType="end"/>
            </w:r>
          </w:hyperlink>
        </w:p>
        <w:p w14:paraId="798641B0" w14:textId="36EB6A78"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0" w:history="1">
            <w:r w:rsidR="00DC2BA1" w:rsidRPr="00DC2BA1">
              <w:rPr>
                <w:rStyle w:val="Hyperlink"/>
                <w:noProof/>
                <w:sz w:val="24"/>
              </w:rPr>
              <w:t>Recall and public notification powers unaffected</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_Toc69198510 \h </w:instrText>
            </w:r>
            <w:r w:rsidR="00DC2BA1" w:rsidRPr="00DC2BA1">
              <w:rPr>
                <w:noProof/>
                <w:webHidden/>
                <w:sz w:val="24"/>
              </w:rPr>
            </w:r>
            <w:r w:rsidR="00DC2BA1" w:rsidRPr="00DC2BA1">
              <w:rPr>
                <w:noProof/>
                <w:webHidden/>
                <w:sz w:val="24"/>
              </w:rPr>
              <w:fldChar w:fldCharType="separate"/>
            </w:r>
            <w:r w:rsidR="00DC2BA1">
              <w:rPr>
                <w:noProof/>
                <w:webHidden/>
                <w:sz w:val="24"/>
              </w:rPr>
              <w:t>12</w:t>
            </w:r>
            <w:r w:rsidR="00DC2BA1" w:rsidRPr="00DC2BA1">
              <w:rPr>
                <w:noProof/>
                <w:webHidden/>
                <w:sz w:val="24"/>
              </w:rPr>
              <w:fldChar w:fldCharType="end"/>
            </w:r>
          </w:hyperlink>
        </w:p>
        <w:p w14:paraId="2E93029C" w14:textId="06F39DF2"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1" w:history="1">
            <w:r w:rsidR="00DC2BA1" w:rsidRPr="00DC2BA1">
              <w:rPr>
                <w:rStyle w:val="Hyperlink"/>
                <w:noProof/>
                <w:sz w:val="24"/>
              </w:rPr>
              <w:t>Powers to suspend or cancel goods from the ARTG unaffected</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_Toc69198511 \h </w:instrText>
            </w:r>
            <w:r w:rsidR="00DC2BA1" w:rsidRPr="00DC2BA1">
              <w:rPr>
                <w:noProof/>
                <w:webHidden/>
                <w:sz w:val="24"/>
              </w:rPr>
            </w:r>
            <w:r w:rsidR="00DC2BA1" w:rsidRPr="00DC2BA1">
              <w:rPr>
                <w:noProof/>
                <w:webHidden/>
                <w:sz w:val="24"/>
              </w:rPr>
              <w:fldChar w:fldCharType="separate"/>
            </w:r>
            <w:r w:rsidR="00DC2BA1">
              <w:rPr>
                <w:noProof/>
                <w:webHidden/>
                <w:sz w:val="24"/>
              </w:rPr>
              <w:t>12</w:t>
            </w:r>
            <w:r w:rsidR="00DC2BA1" w:rsidRPr="00DC2BA1">
              <w:rPr>
                <w:noProof/>
                <w:webHidden/>
                <w:sz w:val="24"/>
              </w:rPr>
              <w:fldChar w:fldCharType="end"/>
            </w:r>
          </w:hyperlink>
        </w:p>
        <w:p w14:paraId="58D7F64F" w14:textId="33A4FD8B"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2" w:history="1">
            <w:r w:rsidR="00DC2BA1" w:rsidRPr="00DC2BA1">
              <w:rPr>
                <w:rStyle w:val="Hyperlink"/>
                <w:noProof/>
                <w:sz w:val="24"/>
              </w:rPr>
              <w:t>Enforceable undertaking</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_Toc69198512 \h </w:instrText>
            </w:r>
            <w:r w:rsidR="00DC2BA1" w:rsidRPr="00DC2BA1">
              <w:rPr>
                <w:noProof/>
                <w:webHidden/>
                <w:sz w:val="24"/>
              </w:rPr>
            </w:r>
            <w:r w:rsidR="00DC2BA1" w:rsidRPr="00DC2BA1">
              <w:rPr>
                <w:noProof/>
                <w:webHidden/>
                <w:sz w:val="24"/>
              </w:rPr>
              <w:fldChar w:fldCharType="separate"/>
            </w:r>
            <w:r w:rsidR="00DC2BA1">
              <w:rPr>
                <w:noProof/>
                <w:webHidden/>
                <w:sz w:val="24"/>
              </w:rPr>
              <w:t>12</w:t>
            </w:r>
            <w:r w:rsidR="00DC2BA1" w:rsidRPr="00DC2BA1">
              <w:rPr>
                <w:noProof/>
                <w:webHidden/>
                <w:sz w:val="24"/>
              </w:rPr>
              <w:fldChar w:fldCharType="end"/>
            </w:r>
          </w:hyperlink>
        </w:p>
        <w:p w14:paraId="70111428" w14:textId="1139158D"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3" w:history="1">
            <w:r w:rsidR="00DC2BA1" w:rsidRPr="00DC2BA1">
              <w:rPr>
                <w:rStyle w:val="Hyperlink"/>
                <w:noProof/>
                <w:sz w:val="24"/>
              </w:rPr>
              <w:t>Injunction</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_Toc69198513 \h </w:instrText>
            </w:r>
            <w:r w:rsidR="00DC2BA1" w:rsidRPr="00DC2BA1">
              <w:rPr>
                <w:noProof/>
                <w:webHidden/>
                <w:sz w:val="24"/>
              </w:rPr>
            </w:r>
            <w:r w:rsidR="00DC2BA1" w:rsidRPr="00DC2BA1">
              <w:rPr>
                <w:noProof/>
                <w:webHidden/>
                <w:sz w:val="24"/>
              </w:rPr>
              <w:fldChar w:fldCharType="separate"/>
            </w:r>
            <w:r w:rsidR="00DC2BA1">
              <w:rPr>
                <w:noProof/>
                <w:webHidden/>
                <w:sz w:val="24"/>
              </w:rPr>
              <w:t>13</w:t>
            </w:r>
            <w:r w:rsidR="00DC2BA1" w:rsidRPr="00DC2BA1">
              <w:rPr>
                <w:noProof/>
                <w:webHidden/>
                <w:sz w:val="24"/>
              </w:rPr>
              <w:fldChar w:fldCharType="end"/>
            </w:r>
          </w:hyperlink>
        </w:p>
        <w:p w14:paraId="5A3F2C1B" w14:textId="52A93546"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4" w:history="1">
            <w:r w:rsidR="00DC2BA1" w:rsidRPr="00DC2BA1">
              <w:rPr>
                <w:rStyle w:val="Hyperlink"/>
                <w:noProof/>
                <w:sz w:val="24"/>
              </w:rPr>
              <w:t>Infringement notice</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_Toc69198514 \h </w:instrText>
            </w:r>
            <w:r w:rsidR="00DC2BA1" w:rsidRPr="00DC2BA1">
              <w:rPr>
                <w:noProof/>
                <w:webHidden/>
                <w:sz w:val="24"/>
              </w:rPr>
            </w:r>
            <w:r w:rsidR="00DC2BA1" w:rsidRPr="00DC2BA1">
              <w:rPr>
                <w:noProof/>
                <w:webHidden/>
                <w:sz w:val="24"/>
              </w:rPr>
              <w:fldChar w:fldCharType="separate"/>
            </w:r>
            <w:r w:rsidR="00DC2BA1">
              <w:rPr>
                <w:noProof/>
                <w:webHidden/>
                <w:sz w:val="24"/>
              </w:rPr>
              <w:t>13</w:t>
            </w:r>
            <w:r w:rsidR="00DC2BA1" w:rsidRPr="00DC2BA1">
              <w:rPr>
                <w:noProof/>
                <w:webHidden/>
                <w:sz w:val="24"/>
              </w:rPr>
              <w:fldChar w:fldCharType="end"/>
            </w:r>
          </w:hyperlink>
        </w:p>
        <w:p w14:paraId="448BDF1A" w14:textId="497429D9"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5" w:history="1">
            <w:r w:rsidR="00DC2BA1" w:rsidRPr="00DC2BA1">
              <w:rPr>
                <w:rStyle w:val="Hyperlink"/>
                <w:noProof/>
                <w:sz w:val="24"/>
              </w:rPr>
              <w:t>Revocation or suspension of manufacturing licence</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_Toc69198515 \h </w:instrText>
            </w:r>
            <w:r w:rsidR="00DC2BA1" w:rsidRPr="00DC2BA1">
              <w:rPr>
                <w:noProof/>
                <w:webHidden/>
                <w:sz w:val="24"/>
              </w:rPr>
            </w:r>
            <w:r w:rsidR="00DC2BA1" w:rsidRPr="00DC2BA1">
              <w:rPr>
                <w:noProof/>
                <w:webHidden/>
                <w:sz w:val="24"/>
              </w:rPr>
              <w:fldChar w:fldCharType="separate"/>
            </w:r>
            <w:r w:rsidR="00DC2BA1">
              <w:rPr>
                <w:noProof/>
                <w:webHidden/>
                <w:sz w:val="24"/>
              </w:rPr>
              <w:t>13</w:t>
            </w:r>
            <w:r w:rsidR="00DC2BA1" w:rsidRPr="00DC2BA1">
              <w:rPr>
                <w:noProof/>
                <w:webHidden/>
                <w:sz w:val="24"/>
              </w:rPr>
              <w:fldChar w:fldCharType="end"/>
            </w:r>
          </w:hyperlink>
        </w:p>
        <w:p w14:paraId="44FAB360" w14:textId="3BE990D7"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6" w:history="1">
            <w:r w:rsidR="00DC2BA1" w:rsidRPr="00DC2BA1">
              <w:rPr>
                <w:rStyle w:val="Hyperlink"/>
                <w:noProof/>
                <w:sz w:val="24"/>
              </w:rPr>
              <w:t>Civil penalty provisions</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_Toc69198516 \h </w:instrText>
            </w:r>
            <w:r w:rsidR="00DC2BA1" w:rsidRPr="00DC2BA1">
              <w:rPr>
                <w:noProof/>
                <w:webHidden/>
                <w:sz w:val="24"/>
              </w:rPr>
            </w:r>
            <w:r w:rsidR="00DC2BA1" w:rsidRPr="00DC2BA1">
              <w:rPr>
                <w:noProof/>
                <w:webHidden/>
                <w:sz w:val="24"/>
              </w:rPr>
              <w:fldChar w:fldCharType="separate"/>
            </w:r>
            <w:r w:rsidR="00DC2BA1">
              <w:rPr>
                <w:noProof/>
                <w:webHidden/>
                <w:sz w:val="24"/>
              </w:rPr>
              <w:t>13</w:t>
            </w:r>
            <w:r w:rsidR="00DC2BA1" w:rsidRPr="00DC2BA1">
              <w:rPr>
                <w:noProof/>
                <w:webHidden/>
                <w:sz w:val="24"/>
              </w:rPr>
              <w:fldChar w:fldCharType="end"/>
            </w:r>
          </w:hyperlink>
        </w:p>
        <w:p w14:paraId="60C035ED" w14:textId="113EDB54"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7" w:history="1">
            <w:r w:rsidR="00DC2BA1" w:rsidRPr="00DC2BA1">
              <w:rPr>
                <w:rStyle w:val="Hyperlink"/>
                <w:noProof/>
                <w:sz w:val="24"/>
              </w:rPr>
              <w:t>Criminal offences</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_Toc69198517 \h </w:instrText>
            </w:r>
            <w:r w:rsidR="00DC2BA1" w:rsidRPr="00DC2BA1">
              <w:rPr>
                <w:noProof/>
                <w:webHidden/>
                <w:sz w:val="24"/>
              </w:rPr>
            </w:r>
            <w:r w:rsidR="00DC2BA1" w:rsidRPr="00DC2BA1">
              <w:rPr>
                <w:noProof/>
                <w:webHidden/>
                <w:sz w:val="24"/>
              </w:rPr>
              <w:fldChar w:fldCharType="separate"/>
            </w:r>
            <w:r w:rsidR="00DC2BA1">
              <w:rPr>
                <w:noProof/>
                <w:webHidden/>
                <w:sz w:val="24"/>
              </w:rPr>
              <w:t>14</w:t>
            </w:r>
            <w:r w:rsidR="00DC2BA1" w:rsidRPr="00DC2BA1">
              <w:rPr>
                <w:noProof/>
                <w:webHidden/>
                <w:sz w:val="24"/>
              </w:rPr>
              <w:fldChar w:fldCharType="end"/>
            </w:r>
          </w:hyperlink>
        </w:p>
        <w:p w14:paraId="48E1ACF3" w14:textId="0A418575"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18" w:history="1">
            <w:r w:rsidR="00DC2BA1" w:rsidRPr="00DC2BA1">
              <w:rPr>
                <w:rStyle w:val="Hyperlink"/>
                <w:noProof/>
                <w:sz w:val="24"/>
              </w:rPr>
              <w:t>Publication of compliance or enforcement outcomes</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_Toc69198518 \h </w:instrText>
            </w:r>
            <w:r w:rsidR="00DC2BA1" w:rsidRPr="00DC2BA1">
              <w:rPr>
                <w:noProof/>
                <w:webHidden/>
                <w:sz w:val="24"/>
              </w:rPr>
            </w:r>
            <w:r w:rsidR="00DC2BA1" w:rsidRPr="00DC2BA1">
              <w:rPr>
                <w:noProof/>
                <w:webHidden/>
                <w:sz w:val="24"/>
              </w:rPr>
              <w:fldChar w:fldCharType="separate"/>
            </w:r>
            <w:r w:rsidR="00DC2BA1">
              <w:rPr>
                <w:noProof/>
                <w:webHidden/>
                <w:sz w:val="24"/>
              </w:rPr>
              <w:t>14</w:t>
            </w:r>
            <w:r w:rsidR="00DC2BA1" w:rsidRPr="00DC2BA1">
              <w:rPr>
                <w:noProof/>
                <w:webHidden/>
                <w:sz w:val="24"/>
              </w:rPr>
              <w:fldChar w:fldCharType="end"/>
            </w:r>
          </w:hyperlink>
        </w:p>
        <w:p w14:paraId="14B4B6AE" w14:textId="1CBA0684" w:rsidR="00DC2BA1" w:rsidRPr="00DC2BA1" w:rsidRDefault="005D470B">
          <w:pPr>
            <w:pStyle w:val="TOC1"/>
            <w:rPr>
              <w:rFonts w:asciiTheme="minorHAnsi" w:eastAsiaTheme="minorEastAsia" w:hAnsiTheme="minorHAnsi" w:cstheme="minorBidi"/>
              <w:b w:val="0"/>
              <w:noProof/>
              <w:sz w:val="20"/>
              <w:szCs w:val="22"/>
              <w:lang w:eastAsia="en-AU"/>
            </w:rPr>
          </w:pPr>
          <w:hyperlink w:anchor="_Toc69198519" w:history="1">
            <w:r w:rsidR="00DC2BA1" w:rsidRPr="00DC2BA1">
              <w:rPr>
                <w:rStyle w:val="Hyperlink"/>
                <w:noProof/>
                <w:sz w:val="28"/>
              </w:rPr>
              <w:t>GMP Compliance case studies</w:t>
            </w:r>
            <w:r w:rsidR="00DC2BA1" w:rsidRPr="00DC2BA1">
              <w:rPr>
                <w:noProof/>
                <w:webHidden/>
                <w:sz w:val="28"/>
              </w:rPr>
              <w:tab/>
            </w:r>
            <w:r w:rsidR="00DC2BA1" w:rsidRPr="00DC2BA1">
              <w:rPr>
                <w:noProof/>
                <w:webHidden/>
                <w:sz w:val="28"/>
              </w:rPr>
              <w:fldChar w:fldCharType="begin"/>
            </w:r>
            <w:r w:rsidR="00DC2BA1" w:rsidRPr="00DC2BA1">
              <w:rPr>
                <w:noProof/>
                <w:webHidden/>
                <w:sz w:val="28"/>
              </w:rPr>
              <w:instrText xml:space="preserve"> PAGEREF _Toc69198519 \h </w:instrText>
            </w:r>
            <w:r w:rsidR="00DC2BA1" w:rsidRPr="00DC2BA1">
              <w:rPr>
                <w:noProof/>
                <w:webHidden/>
                <w:sz w:val="28"/>
              </w:rPr>
            </w:r>
            <w:r w:rsidR="00DC2BA1" w:rsidRPr="00DC2BA1">
              <w:rPr>
                <w:noProof/>
                <w:webHidden/>
                <w:sz w:val="28"/>
              </w:rPr>
              <w:fldChar w:fldCharType="separate"/>
            </w:r>
            <w:r w:rsidR="00DC2BA1">
              <w:rPr>
                <w:noProof/>
                <w:webHidden/>
                <w:sz w:val="28"/>
              </w:rPr>
              <w:t>14</w:t>
            </w:r>
            <w:r w:rsidR="00DC2BA1" w:rsidRPr="00DC2BA1">
              <w:rPr>
                <w:noProof/>
                <w:webHidden/>
                <w:sz w:val="28"/>
              </w:rPr>
              <w:fldChar w:fldCharType="end"/>
            </w:r>
          </w:hyperlink>
        </w:p>
        <w:p w14:paraId="73D0E0DD" w14:textId="2B461D7B"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20" w:history="1">
            <w:r w:rsidR="00DC2BA1" w:rsidRPr="00DC2BA1">
              <w:rPr>
                <w:rStyle w:val="Hyperlink"/>
                <w:noProof/>
                <w:sz w:val="24"/>
              </w:rPr>
              <w:t>Suspension of EDQM Certificate of Suitability (CEP)</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_Toc69198520 \h </w:instrText>
            </w:r>
            <w:r w:rsidR="00DC2BA1" w:rsidRPr="00DC2BA1">
              <w:rPr>
                <w:noProof/>
                <w:webHidden/>
                <w:sz w:val="24"/>
              </w:rPr>
            </w:r>
            <w:r w:rsidR="00DC2BA1" w:rsidRPr="00DC2BA1">
              <w:rPr>
                <w:noProof/>
                <w:webHidden/>
                <w:sz w:val="24"/>
              </w:rPr>
              <w:fldChar w:fldCharType="separate"/>
            </w:r>
            <w:r w:rsidR="00DC2BA1">
              <w:rPr>
                <w:noProof/>
                <w:webHidden/>
                <w:sz w:val="24"/>
              </w:rPr>
              <w:t>14</w:t>
            </w:r>
            <w:r w:rsidR="00DC2BA1" w:rsidRPr="00DC2BA1">
              <w:rPr>
                <w:noProof/>
                <w:webHidden/>
                <w:sz w:val="24"/>
              </w:rPr>
              <w:fldChar w:fldCharType="end"/>
            </w:r>
          </w:hyperlink>
        </w:p>
        <w:p w14:paraId="2F4F6C35" w14:textId="79B53E15"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21" w:history="1">
            <w:r w:rsidR="00DC2BA1" w:rsidRPr="00DC2BA1">
              <w:rPr>
                <w:rStyle w:val="Hyperlink"/>
                <w:noProof/>
                <w:sz w:val="24"/>
              </w:rPr>
              <w:t>Anonymous Tip-off</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_Toc69198521 \h </w:instrText>
            </w:r>
            <w:r w:rsidR="00DC2BA1" w:rsidRPr="00DC2BA1">
              <w:rPr>
                <w:noProof/>
                <w:webHidden/>
                <w:sz w:val="24"/>
              </w:rPr>
            </w:r>
            <w:r w:rsidR="00DC2BA1" w:rsidRPr="00DC2BA1">
              <w:rPr>
                <w:noProof/>
                <w:webHidden/>
                <w:sz w:val="24"/>
              </w:rPr>
              <w:fldChar w:fldCharType="separate"/>
            </w:r>
            <w:r w:rsidR="00DC2BA1">
              <w:rPr>
                <w:noProof/>
                <w:webHidden/>
                <w:sz w:val="24"/>
              </w:rPr>
              <w:t>15</w:t>
            </w:r>
            <w:r w:rsidR="00DC2BA1" w:rsidRPr="00DC2BA1">
              <w:rPr>
                <w:noProof/>
                <w:webHidden/>
                <w:sz w:val="24"/>
              </w:rPr>
              <w:fldChar w:fldCharType="end"/>
            </w:r>
          </w:hyperlink>
        </w:p>
        <w:p w14:paraId="14F6F2B7" w14:textId="750F0289"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22" w:history="1">
            <w:r w:rsidR="00DC2BA1" w:rsidRPr="00DC2BA1">
              <w:rPr>
                <w:rStyle w:val="Hyperlink"/>
                <w:noProof/>
                <w:sz w:val="24"/>
              </w:rPr>
              <w:t>USFDA Warning Letter</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_Toc69198522 \h </w:instrText>
            </w:r>
            <w:r w:rsidR="00DC2BA1" w:rsidRPr="00DC2BA1">
              <w:rPr>
                <w:noProof/>
                <w:webHidden/>
                <w:sz w:val="24"/>
              </w:rPr>
            </w:r>
            <w:r w:rsidR="00DC2BA1" w:rsidRPr="00DC2BA1">
              <w:rPr>
                <w:noProof/>
                <w:webHidden/>
                <w:sz w:val="24"/>
              </w:rPr>
              <w:fldChar w:fldCharType="separate"/>
            </w:r>
            <w:r w:rsidR="00DC2BA1">
              <w:rPr>
                <w:noProof/>
                <w:webHidden/>
                <w:sz w:val="24"/>
              </w:rPr>
              <w:t>15</w:t>
            </w:r>
            <w:r w:rsidR="00DC2BA1" w:rsidRPr="00DC2BA1">
              <w:rPr>
                <w:noProof/>
                <w:webHidden/>
                <w:sz w:val="24"/>
              </w:rPr>
              <w:fldChar w:fldCharType="end"/>
            </w:r>
          </w:hyperlink>
        </w:p>
        <w:p w14:paraId="60CA1891" w14:textId="697678C1" w:rsidR="00DC2BA1" w:rsidRPr="00DC2BA1" w:rsidRDefault="005D470B">
          <w:pPr>
            <w:pStyle w:val="TOC2"/>
            <w:rPr>
              <w:rFonts w:asciiTheme="minorHAnsi" w:eastAsiaTheme="minorEastAsia" w:hAnsiTheme="minorHAnsi" w:cstheme="minorBidi"/>
              <w:b w:val="0"/>
              <w:noProof/>
              <w:sz w:val="20"/>
              <w:szCs w:val="22"/>
              <w:lang w:eastAsia="en-AU"/>
            </w:rPr>
          </w:pPr>
          <w:hyperlink w:anchor="_Toc69198523" w:history="1">
            <w:r w:rsidR="00DC2BA1" w:rsidRPr="00DC2BA1">
              <w:rPr>
                <w:rStyle w:val="Hyperlink"/>
                <w:noProof/>
                <w:sz w:val="24"/>
              </w:rPr>
              <w:t>Hazard alerts for missing donor related medical history</w:t>
            </w:r>
            <w:r w:rsidR="00DC2BA1" w:rsidRPr="00DC2BA1">
              <w:rPr>
                <w:noProof/>
                <w:webHidden/>
                <w:sz w:val="24"/>
              </w:rPr>
              <w:tab/>
            </w:r>
            <w:r w:rsidR="00DC2BA1" w:rsidRPr="00DC2BA1">
              <w:rPr>
                <w:noProof/>
                <w:webHidden/>
                <w:sz w:val="24"/>
              </w:rPr>
              <w:fldChar w:fldCharType="begin"/>
            </w:r>
            <w:r w:rsidR="00DC2BA1" w:rsidRPr="00DC2BA1">
              <w:rPr>
                <w:noProof/>
                <w:webHidden/>
                <w:sz w:val="24"/>
              </w:rPr>
              <w:instrText xml:space="preserve"> PAGEREF _Toc69198523 \h </w:instrText>
            </w:r>
            <w:r w:rsidR="00DC2BA1" w:rsidRPr="00DC2BA1">
              <w:rPr>
                <w:noProof/>
                <w:webHidden/>
                <w:sz w:val="24"/>
              </w:rPr>
            </w:r>
            <w:r w:rsidR="00DC2BA1" w:rsidRPr="00DC2BA1">
              <w:rPr>
                <w:noProof/>
                <w:webHidden/>
                <w:sz w:val="24"/>
              </w:rPr>
              <w:fldChar w:fldCharType="separate"/>
            </w:r>
            <w:r w:rsidR="00DC2BA1">
              <w:rPr>
                <w:noProof/>
                <w:webHidden/>
                <w:sz w:val="24"/>
              </w:rPr>
              <w:t>16</w:t>
            </w:r>
            <w:r w:rsidR="00DC2BA1" w:rsidRPr="00DC2BA1">
              <w:rPr>
                <w:noProof/>
                <w:webHidden/>
                <w:sz w:val="24"/>
              </w:rPr>
              <w:fldChar w:fldCharType="end"/>
            </w:r>
          </w:hyperlink>
        </w:p>
        <w:p w14:paraId="5B87FBFE" w14:textId="7FDEBFC8" w:rsidR="00F401EF" w:rsidRPr="00DC2BA1" w:rsidRDefault="00F859D2" w:rsidP="00F401EF">
          <w:pPr>
            <w:rPr>
              <w:sz w:val="20"/>
            </w:rPr>
          </w:pPr>
          <w:r w:rsidRPr="00DC2BA1">
            <w:rPr>
              <w:sz w:val="16"/>
            </w:rPr>
            <w:fldChar w:fldCharType="end"/>
          </w:r>
        </w:p>
      </w:sdtContent>
    </w:sdt>
    <w:p w14:paraId="12456060" w14:textId="244AF32F" w:rsidR="001525B4" w:rsidRDefault="000C32E9" w:rsidP="005F67B7">
      <w:pPr>
        <w:pStyle w:val="Heading2"/>
      </w:pPr>
      <w:bookmarkStart w:id="0" w:name="_Toc69198495"/>
      <w:r w:rsidRPr="005F67B7">
        <w:lastRenderedPageBreak/>
        <w:t>About</w:t>
      </w:r>
      <w:r>
        <w:t xml:space="preserve"> this guidance</w:t>
      </w:r>
      <w:bookmarkEnd w:id="0"/>
    </w:p>
    <w:p w14:paraId="681E46E0" w14:textId="77777777" w:rsidR="00A70E30" w:rsidRDefault="00A70E30" w:rsidP="005F67B7">
      <w:r>
        <w:t>The guidance outlines the</w:t>
      </w:r>
      <w:r w:rsidRPr="0085725A">
        <w:t xml:space="preserve"> Good Manufacturing Practice (GMP) </w:t>
      </w:r>
      <w:r>
        <w:t xml:space="preserve">compliance requirements </w:t>
      </w:r>
      <w:r>
        <w:rPr>
          <w:szCs w:val="22"/>
        </w:rPr>
        <w:t xml:space="preserve">(according to the </w:t>
      </w:r>
      <w:hyperlink r:id="rId13" w:history="1">
        <w:r w:rsidRPr="009B7F90">
          <w:rPr>
            <w:rStyle w:val="Hyperlink"/>
            <w:szCs w:val="22"/>
          </w:rPr>
          <w:t>Manufacturing Principles</w:t>
        </w:r>
      </w:hyperlink>
      <w:r>
        <w:rPr>
          <w:szCs w:val="22"/>
        </w:rPr>
        <w:t>)</w:t>
      </w:r>
      <w:r>
        <w:t xml:space="preserve"> for manufacturing </w:t>
      </w:r>
      <w:r w:rsidRPr="00192C48">
        <w:rPr>
          <w:b/>
        </w:rPr>
        <w:t>biologicals</w:t>
      </w:r>
      <w:r>
        <w:t xml:space="preserve"> and </w:t>
      </w:r>
      <w:r w:rsidRPr="00192C48">
        <w:rPr>
          <w:b/>
        </w:rPr>
        <w:t>medicines</w:t>
      </w:r>
      <w:r>
        <w:t xml:space="preserve"> intended for supply in Australia and our framework for managing GMP compliance signals.</w:t>
      </w:r>
    </w:p>
    <w:p w14:paraId="6C91E174" w14:textId="77777777" w:rsidR="00A70E30" w:rsidRDefault="005D470B" w:rsidP="005F67B7">
      <w:hyperlink r:id="rId14" w:history="1">
        <w:r w:rsidR="00A70E30" w:rsidRPr="00FD4404">
          <w:rPr>
            <w:rStyle w:val="Hyperlink"/>
          </w:rPr>
          <w:t>GMP</w:t>
        </w:r>
      </w:hyperlink>
      <w:r w:rsidR="00A70E30" w:rsidRPr="00720CA5">
        <w:t xml:space="preserve"> is used internationally to describe a set of principles and procedures which, when followed by manufacturers of therapeutic goods, helps ensure that each batch of a therapeutic good is safe, reliable and of consistent high quality</w:t>
      </w:r>
      <w:r w:rsidR="00A70E30" w:rsidRPr="00D701A5">
        <w:t>.</w:t>
      </w:r>
    </w:p>
    <w:p w14:paraId="5708155B" w14:textId="77777777" w:rsidR="000C32E9" w:rsidRDefault="000C32E9" w:rsidP="005F67B7">
      <w:r>
        <w:t>This guidance applies to:</w:t>
      </w:r>
    </w:p>
    <w:p w14:paraId="6C2817D3" w14:textId="6038EE89" w:rsidR="000C32E9" w:rsidRDefault="000C32E9" w:rsidP="005F67B7">
      <w:pPr>
        <w:pStyle w:val="ListBullet"/>
      </w:pPr>
      <w:r>
        <w:t>lice</w:t>
      </w:r>
      <w:r w:rsidR="005F67B7">
        <w:t>nsed manufacturers in Australia</w:t>
      </w:r>
    </w:p>
    <w:p w14:paraId="2BC1008A" w14:textId="569ABD1B" w:rsidR="000C32E9" w:rsidRDefault="00D76FB1" w:rsidP="005F67B7">
      <w:pPr>
        <w:pStyle w:val="ListBullet"/>
      </w:pPr>
      <w:proofErr w:type="gramStart"/>
      <w:r>
        <w:t>sponsors</w:t>
      </w:r>
      <w:proofErr w:type="gramEnd"/>
      <w:r>
        <w:t xml:space="preserve"> responsible for any overseas site in the manufacture </w:t>
      </w:r>
      <w:r w:rsidR="00464697">
        <w:t xml:space="preserve">of </w:t>
      </w:r>
      <w:r>
        <w:t xml:space="preserve">a </w:t>
      </w:r>
      <w:hyperlink r:id="rId15" w:anchor="id_1142" w:history="1">
        <w:r w:rsidRPr="00983CA6">
          <w:rPr>
            <w:rStyle w:val="Hyperlink"/>
          </w:rPr>
          <w:t>medicine</w:t>
        </w:r>
      </w:hyperlink>
      <w:r>
        <w:t xml:space="preserve"> or </w:t>
      </w:r>
      <w:hyperlink r:id="rId16" w:anchor="id_898" w:history="1">
        <w:r w:rsidRPr="00FD7704">
          <w:rPr>
            <w:rStyle w:val="Hyperlink"/>
          </w:rPr>
          <w:t>active pharmaceutical ingredient (API)</w:t>
        </w:r>
        <w:r>
          <w:rPr>
            <w:rStyle w:val="Hyperlink"/>
          </w:rPr>
          <w:t xml:space="preserve"> supplied to Australia</w:t>
        </w:r>
        <w:r w:rsidRPr="00280863">
          <w:t>.</w:t>
        </w:r>
      </w:hyperlink>
    </w:p>
    <w:tbl>
      <w:tblPr>
        <w:tblW w:w="9038" w:type="dxa"/>
        <w:tblLayout w:type="fixed"/>
        <w:tblCellMar>
          <w:left w:w="0" w:type="dxa"/>
          <w:right w:w="0" w:type="dxa"/>
        </w:tblCellMar>
        <w:tblLook w:val="04A0" w:firstRow="1" w:lastRow="0" w:firstColumn="1" w:lastColumn="0" w:noHBand="0" w:noVBand="1"/>
      </w:tblPr>
      <w:tblGrid>
        <w:gridCol w:w="1276"/>
        <w:gridCol w:w="7762"/>
      </w:tblGrid>
      <w:tr w:rsidR="00A70E30" w:rsidRPr="009401F6" w14:paraId="66EE5D09" w14:textId="77777777" w:rsidTr="00A70E30">
        <w:tc>
          <w:tcPr>
            <w:tcW w:w="1276" w:type="dxa"/>
            <w:vAlign w:val="center"/>
          </w:tcPr>
          <w:p w14:paraId="27E53C26" w14:textId="77777777" w:rsidR="00A70E30" w:rsidRPr="009401F6" w:rsidRDefault="00A70E30" w:rsidP="00A70E30">
            <w:pPr>
              <w:spacing w:before="0"/>
              <w:rPr>
                <w:sz w:val="20"/>
              </w:rPr>
            </w:pPr>
            <w:r w:rsidRPr="009401F6">
              <w:rPr>
                <w:noProof/>
                <w:sz w:val="20"/>
                <w:lang w:eastAsia="en-AU"/>
              </w:rPr>
              <w:drawing>
                <wp:inline distT="0" distB="0" distL="0" distR="0" wp14:anchorId="6174210C" wp14:editId="3F24C717">
                  <wp:extent cx="487681" cy="487681"/>
                  <wp:effectExtent l="19050" t="0" r="7619" b="0"/>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2A74AD4" w14:textId="1BA3D330" w:rsidR="00A70E30" w:rsidRPr="00A70E30" w:rsidRDefault="00A70E30" w:rsidP="005F67B7">
            <w:r w:rsidRPr="00A70E30">
              <w:t>This guidance is not intended for manufacturers and sponsors of medical devices.</w:t>
            </w:r>
          </w:p>
        </w:tc>
      </w:tr>
    </w:tbl>
    <w:p w14:paraId="5F47AFAC" w14:textId="77777777" w:rsidR="000C32E9" w:rsidRDefault="000C32E9" w:rsidP="005F67B7">
      <w:pPr>
        <w:pStyle w:val="Heading2"/>
      </w:pPr>
      <w:bookmarkStart w:id="1" w:name="_Toc59549014"/>
      <w:bookmarkStart w:id="2" w:name="_Toc69198496"/>
      <w:r>
        <w:t xml:space="preserve">GMP for </w:t>
      </w:r>
      <w:r w:rsidRPr="005F67B7">
        <w:t>medicines</w:t>
      </w:r>
      <w:r>
        <w:t xml:space="preserve"> and biologicals</w:t>
      </w:r>
      <w:bookmarkEnd w:id="1"/>
      <w:bookmarkEnd w:id="2"/>
    </w:p>
    <w:p w14:paraId="216B42BF" w14:textId="04B6DF5E" w:rsidR="000C32E9" w:rsidRDefault="000C32E9" w:rsidP="005F67B7">
      <w:r>
        <w:t>For medicinal</w:t>
      </w:r>
      <w:r w:rsidRPr="009B7F90">
        <w:t xml:space="preserve"> products supplied in Australia</w:t>
      </w:r>
      <w:r>
        <w:t>, a</w:t>
      </w:r>
      <w:r w:rsidRPr="0091546D">
        <w:t xml:space="preserve">ll steps of manufacture </w:t>
      </w:r>
      <w:r>
        <w:t>must</w:t>
      </w:r>
      <w:r w:rsidRPr="0091546D">
        <w:t xml:space="preserve"> be compliant</w:t>
      </w:r>
      <w:r>
        <w:t xml:space="preserve"> with GMP</w:t>
      </w:r>
      <w:r w:rsidRPr="0091546D">
        <w:t xml:space="preserve"> unless they are exempt.</w:t>
      </w:r>
    </w:p>
    <w:p w14:paraId="021781DA" w14:textId="6F5C734B" w:rsidR="00430725" w:rsidRPr="0091546D" w:rsidRDefault="000C32E9" w:rsidP="005F67B7">
      <w:r>
        <w:t>Manufacturers of medicines or biologicals must comply with eithe</w:t>
      </w:r>
      <w:r w:rsidR="00430725">
        <w:t>r the:</w:t>
      </w:r>
    </w:p>
    <w:p w14:paraId="532FDCA6" w14:textId="2B3BCFFC" w:rsidR="00430725" w:rsidRPr="00430725" w:rsidRDefault="005D470B" w:rsidP="00E964F3">
      <w:pPr>
        <w:pStyle w:val="ListBullet"/>
        <w:rPr>
          <w:szCs w:val="22"/>
        </w:rPr>
      </w:pPr>
      <w:hyperlink r:id="rId18" w:history="1">
        <w:r w:rsidR="0044547A" w:rsidRPr="002F43BE">
          <w:rPr>
            <w:rStyle w:val="Hyperlink"/>
            <w:szCs w:val="22"/>
          </w:rPr>
          <w:t>Good Manufacturing Practice for Medicines</w:t>
        </w:r>
      </w:hyperlink>
    </w:p>
    <w:p w14:paraId="4B09FAA2" w14:textId="1AA7873C" w:rsidR="00C07B97" w:rsidRDefault="005D470B" w:rsidP="00E964F3">
      <w:pPr>
        <w:pStyle w:val="ListBullet"/>
        <w:rPr>
          <w:rFonts w:cs="Cambria"/>
          <w:color w:val="000000"/>
          <w:szCs w:val="22"/>
          <w:lang w:eastAsia="en-AU"/>
        </w:rPr>
      </w:pPr>
      <w:hyperlink r:id="rId19" w:history="1">
        <w:r w:rsidR="0044547A" w:rsidRPr="002F43BE">
          <w:rPr>
            <w:rStyle w:val="Hyperlink"/>
            <w:szCs w:val="22"/>
          </w:rPr>
          <w:t>Good Manufacturing Practice for Human Blood and Tissues</w:t>
        </w:r>
      </w:hyperlink>
    </w:p>
    <w:p w14:paraId="609B2381" w14:textId="2642B569" w:rsidR="00BD0BC8" w:rsidRDefault="0044547A" w:rsidP="005F67B7">
      <w:r>
        <w:t xml:space="preserve">Evidence of acceptable GMP Compliance is required to be supplied for </w:t>
      </w:r>
      <w:hyperlink r:id="rId20" w:history="1">
        <w:r w:rsidR="00BD0BC8" w:rsidRPr="00423CFA">
          <w:rPr>
            <w:rStyle w:val="Hyperlink"/>
          </w:rPr>
          <w:t>registration</w:t>
        </w:r>
      </w:hyperlink>
      <w:r>
        <w:t xml:space="preserve"> and</w:t>
      </w:r>
      <w:r w:rsidRPr="00AE2EBB">
        <w:t xml:space="preserve"> </w:t>
      </w:r>
      <w:hyperlink r:id="rId21" w:history="1">
        <w:r w:rsidR="00BD0BC8" w:rsidRPr="00423CFA">
          <w:rPr>
            <w:rStyle w:val="Hyperlink"/>
          </w:rPr>
          <w:t>listing</w:t>
        </w:r>
      </w:hyperlink>
      <w:r w:rsidRPr="00AE2EBB">
        <w:t xml:space="preserve"> </w:t>
      </w:r>
      <w:r w:rsidR="00A4090C">
        <w:t xml:space="preserve">(including Registered Over the counter and Complementary Medicines) </w:t>
      </w:r>
      <w:r>
        <w:t xml:space="preserve">of </w:t>
      </w:r>
      <w:r w:rsidRPr="00AE2EBB">
        <w:t xml:space="preserve">products </w:t>
      </w:r>
      <w:r>
        <w:t>to be supplied in Australia</w:t>
      </w:r>
      <w:r w:rsidR="00BD0BC8">
        <w:t xml:space="preserve"> on the </w:t>
      </w:r>
      <w:hyperlink r:id="rId22" w:history="1">
        <w:r w:rsidR="00BD0BC8" w:rsidRPr="009606FC">
          <w:rPr>
            <w:rStyle w:val="Hyperlink"/>
          </w:rPr>
          <w:t>Australian Register of Therapeutic Goods (ARTG)</w:t>
        </w:r>
      </w:hyperlink>
      <w:r>
        <w:t xml:space="preserve"> and </w:t>
      </w:r>
      <w:r w:rsidR="00BD0BC8" w:rsidRPr="005547A1">
        <w:t>must</w:t>
      </w:r>
      <w:r>
        <w:t xml:space="preserve"> be maintained for ongoing supply of such products</w:t>
      </w:r>
      <w:r w:rsidRPr="00AE2EBB">
        <w:t>.</w:t>
      </w:r>
    </w:p>
    <w:p w14:paraId="431D560C" w14:textId="4B568245" w:rsidR="0044547A" w:rsidRDefault="00BD0BC8" w:rsidP="005F67B7">
      <w:r>
        <w:t xml:space="preserve">More information is available at </w:t>
      </w:r>
      <w:hyperlink r:id="rId23" w:anchor="during" w:history="1">
        <w:r w:rsidR="008002E7">
          <w:rPr>
            <w:rStyle w:val="Hyperlink"/>
          </w:rPr>
          <w:t>R</w:t>
        </w:r>
        <w:r w:rsidRPr="00364161">
          <w:rPr>
            <w:rStyle w:val="Hyperlink"/>
          </w:rPr>
          <w:t>esponsibilities of manufacturers of medicines and biologicals</w:t>
        </w:r>
      </w:hyperlink>
      <w:r>
        <w:t>.</w:t>
      </w:r>
    </w:p>
    <w:tbl>
      <w:tblPr>
        <w:tblW w:w="9038" w:type="dxa"/>
        <w:tblLayout w:type="fixed"/>
        <w:tblCellMar>
          <w:left w:w="0" w:type="dxa"/>
          <w:right w:w="0" w:type="dxa"/>
        </w:tblCellMar>
        <w:tblLook w:val="04A0" w:firstRow="1" w:lastRow="0" w:firstColumn="1" w:lastColumn="0" w:noHBand="0" w:noVBand="1"/>
      </w:tblPr>
      <w:tblGrid>
        <w:gridCol w:w="9038"/>
      </w:tblGrid>
      <w:tr w:rsidR="00A4090C" w:rsidRPr="00215D48" w14:paraId="1C3B2FB2" w14:textId="77777777" w:rsidTr="00A4090C">
        <w:tc>
          <w:tcPr>
            <w:tcW w:w="9018" w:type="dxa"/>
            <w:shd w:val="clear" w:color="auto" w:fill="EAEAEA"/>
            <w:tcMar>
              <w:top w:w="170" w:type="dxa"/>
              <w:left w:w="170" w:type="dxa"/>
              <w:bottom w:w="170" w:type="dxa"/>
              <w:right w:w="170" w:type="dxa"/>
            </w:tcMar>
            <w:vAlign w:val="center"/>
          </w:tcPr>
          <w:p w14:paraId="39D785F7" w14:textId="14B80BB1" w:rsidR="00A4090C" w:rsidRPr="00215D48" w:rsidRDefault="00A70E30" w:rsidP="005F67B7">
            <w:r>
              <w:t>Sponsors of R</w:t>
            </w:r>
            <w:r w:rsidR="00DF48B7">
              <w:t>egistered O</w:t>
            </w:r>
            <w:r w:rsidR="00A4090C">
              <w:t>ver the Counter (OTC), Listed and Complementary Medicines</w:t>
            </w:r>
            <w:r>
              <w:t xml:space="preserve"> are expected to</w:t>
            </w:r>
            <w:r w:rsidR="00A4090C">
              <w:t xml:space="preserve"> advise the TGA when they become aware of potential or actual GMP issue</w:t>
            </w:r>
            <w:r w:rsidR="00D77365">
              <w:t xml:space="preserve">s at a manufacturing site.  The sponsor oversight of </w:t>
            </w:r>
            <w:r w:rsidR="00DF48B7">
              <w:t xml:space="preserve">the </w:t>
            </w:r>
            <w:r w:rsidR="00D77365">
              <w:t>GMP compliance status of the manufacturing site</w:t>
            </w:r>
            <w:r w:rsidR="00A4090C">
              <w:t xml:space="preserve"> should be </w:t>
            </w:r>
            <w:r w:rsidR="00D77365">
              <w:t>stipulated</w:t>
            </w:r>
            <w:r w:rsidR="00A4090C">
              <w:t xml:space="preserve"> in the GMP Agreement betwee</w:t>
            </w:r>
            <w:r w:rsidR="005F67B7">
              <w:t>n the sponsor and manufacturer.</w:t>
            </w:r>
          </w:p>
        </w:tc>
      </w:tr>
    </w:tbl>
    <w:p w14:paraId="0CF3FA0C" w14:textId="59DED656" w:rsidR="004B4D55" w:rsidRDefault="00D76FB1" w:rsidP="005F67B7">
      <w:pPr>
        <w:pStyle w:val="Heading2"/>
        <w:pageBreakBefore/>
      </w:pPr>
      <w:bookmarkStart w:id="3" w:name="_Licencing_and_GMP"/>
      <w:bookmarkStart w:id="4" w:name="_Toc69198497"/>
      <w:bookmarkEnd w:id="3"/>
      <w:r>
        <w:lastRenderedPageBreak/>
        <w:t xml:space="preserve">Licensing, </w:t>
      </w:r>
      <w:r w:rsidR="008A6DF9">
        <w:t xml:space="preserve">GMP certification </w:t>
      </w:r>
      <w:r w:rsidR="00C268CB">
        <w:t xml:space="preserve">and clearance </w:t>
      </w:r>
      <w:r w:rsidR="008A6DF9">
        <w:t>requirements</w:t>
      </w:r>
      <w:bookmarkEnd w:id="4"/>
    </w:p>
    <w:p w14:paraId="48F2303C" w14:textId="4CD6386D" w:rsidR="004B4D55" w:rsidRDefault="00143523" w:rsidP="005F67B7">
      <w:r w:rsidRPr="00143523">
        <w:t xml:space="preserve">The </w:t>
      </w:r>
      <w:hyperlink r:id="rId24" w:history="1">
        <w:r w:rsidRPr="0090077D">
          <w:rPr>
            <w:rStyle w:val="Hyperlink"/>
            <w:i/>
            <w:szCs w:val="22"/>
          </w:rPr>
          <w:t>Therapeutic Goods Act 1989</w:t>
        </w:r>
      </w:hyperlink>
      <w:r>
        <w:t xml:space="preserve"> </w:t>
      </w:r>
      <w:r w:rsidRPr="00143523">
        <w:t xml:space="preserve">requires all sites that manufacture therapeutic goods in Australia </w:t>
      </w:r>
      <w:r>
        <w:t xml:space="preserve">to </w:t>
      </w:r>
      <w:r w:rsidRPr="00143523">
        <w:t>hold a GMP licence unless either the therapeutic goods, or the person manufacturing the therapeutic goods are exempt. Under Section 35 of the Act it is an offence to manufacture therapeutic goods at a site in Australia unless either (1) the goods are exempt, (2) the person is exempt or (3) the person</w:t>
      </w:r>
      <w:r w:rsidR="005F67B7">
        <w:t xml:space="preserve"> holds a manufacturing licence.</w:t>
      </w:r>
    </w:p>
    <w:p w14:paraId="6C501B6A" w14:textId="59617796" w:rsidR="00495388" w:rsidRDefault="00495388" w:rsidP="005F67B7">
      <w:r>
        <w:t xml:space="preserve">For more information </w:t>
      </w:r>
      <w:r w:rsidR="00523ED0">
        <w:t>on licensing</w:t>
      </w:r>
      <w:r w:rsidR="00280863">
        <w:t xml:space="preserve">, </w:t>
      </w:r>
      <w:r w:rsidR="0080002D">
        <w:t>certification</w:t>
      </w:r>
      <w:r w:rsidR="00523ED0">
        <w:t xml:space="preserve"> and GMP clearances </w:t>
      </w:r>
      <w:r w:rsidR="005F67B7">
        <w:t>see:</w:t>
      </w:r>
    </w:p>
    <w:p w14:paraId="6B068C12" w14:textId="3FB9A403" w:rsidR="009860FD" w:rsidRDefault="005D470B" w:rsidP="001904F5">
      <w:pPr>
        <w:pStyle w:val="ListBullet"/>
      </w:pPr>
      <w:hyperlink r:id="rId25" w:history="1">
        <w:r w:rsidR="004B4D55" w:rsidRPr="009C22DD">
          <w:rPr>
            <w:rStyle w:val="Hyperlink"/>
          </w:rPr>
          <w:t>GMP-an overview</w:t>
        </w:r>
      </w:hyperlink>
    </w:p>
    <w:p w14:paraId="027B52A6" w14:textId="1A6C3740" w:rsidR="00333065" w:rsidRDefault="005D470B" w:rsidP="001904F5">
      <w:pPr>
        <w:pStyle w:val="ListBullet"/>
      </w:pPr>
      <w:hyperlink r:id="rId26" w:history="1">
        <w:r w:rsidR="004B4D55" w:rsidRPr="001904F5">
          <w:rPr>
            <w:rStyle w:val="Hyperlink"/>
          </w:rPr>
          <w:t xml:space="preserve">Australian </w:t>
        </w:r>
        <w:r w:rsidR="001904F5" w:rsidRPr="001904F5">
          <w:rPr>
            <w:rStyle w:val="Hyperlink"/>
          </w:rPr>
          <w:t>licen</w:t>
        </w:r>
        <w:r w:rsidR="008A5ED8">
          <w:rPr>
            <w:rStyle w:val="Hyperlink"/>
          </w:rPr>
          <w:t>s</w:t>
        </w:r>
        <w:r w:rsidR="001904F5" w:rsidRPr="001904F5">
          <w:rPr>
            <w:rStyle w:val="Hyperlink"/>
          </w:rPr>
          <w:t>ing</w:t>
        </w:r>
        <w:r w:rsidR="004B4D55" w:rsidRPr="001904F5">
          <w:rPr>
            <w:rStyle w:val="Hyperlink"/>
          </w:rPr>
          <w:t xml:space="preserve"> and overseas GMP certification </w:t>
        </w:r>
        <w:r w:rsidR="001904F5" w:rsidRPr="001904F5">
          <w:rPr>
            <w:rStyle w:val="Hyperlink"/>
          </w:rPr>
          <w:t>process</w:t>
        </w:r>
      </w:hyperlink>
    </w:p>
    <w:p w14:paraId="0E3149AA" w14:textId="527E0FB7" w:rsidR="004B4D55" w:rsidRPr="00342BCD" w:rsidRDefault="005D470B" w:rsidP="001904F5">
      <w:pPr>
        <w:pStyle w:val="ListBullet"/>
      </w:pPr>
      <w:hyperlink r:id="rId27" w:history="1">
        <w:r w:rsidR="00333065" w:rsidRPr="00333065">
          <w:rPr>
            <w:rStyle w:val="Hyperlink"/>
          </w:rPr>
          <w:t>GMP clearance guidance</w:t>
        </w:r>
      </w:hyperlink>
    </w:p>
    <w:p w14:paraId="65785A4E" w14:textId="1F84DEE5" w:rsidR="004B500C" w:rsidRDefault="005D470B" w:rsidP="007E7634">
      <w:pPr>
        <w:pStyle w:val="ListBullet"/>
      </w:pPr>
      <w:hyperlink r:id="rId28" w:history="1">
        <w:r w:rsidR="004C7E3E" w:rsidRPr="00E55667">
          <w:rPr>
            <w:rStyle w:val="Hyperlink"/>
          </w:rPr>
          <w:t>Sponsor responsibilities related to GMP clearance and certification</w:t>
        </w:r>
      </w:hyperlink>
    </w:p>
    <w:p w14:paraId="652FDC87" w14:textId="77777777" w:rsidR="00D20077" w:rsidRPr="00215D48" w:rsidRDefault="00D20077" w:rsidP="005F67B7">
      <w:pPr>
        <w:pStyle w:val="Heading2"/>
      </w:pPr>
      <w:bookmarkStart w:id="5" w:name="_Toc69198498"/>
      <w:r>
        <w:t>GMP compliance signals</w:t>
      </w:r>
      <w:bookmarkEnd w:id="5"/>
    </w:p>
    <w:p w14:paraId="782C15C9" w14:textId="6052E3E2" w:rsidR="00D20077" w:rsidRDefault="00D20077" w:rsidP="005F67B7">
      <w:r>
        <w:t xml:space="preserve">GMP compliance signals (that, is </w:t>
      </w:r>
      <w:hyperlink r:id="rId29" w:history="1">
        <w:r w:rsidRPr="0015245D">
          <w:rPr>
            <w:rStyle w:val="Hyperlink"/>
          </w:rPr>
          <w:t>non-compliance</w:t>
        </w:r>
      </w:hyperlink>
      <w:r>
        <w:t xml:space="preserve"> alerts) include but are not limited to, intelligence, data and information that w</w:t>
      </w:r>
      <w:r w:rsidRPr="0044547A">
        <w:t xml:space="preserve">e </w:t>
      </w:r>
      <w:r>
        <w:t>receive</w:t>
      </w:r>
      <w:r w:rsidRPr="0044547A">
        <w:t xml:space="preserve"> from various internal and external </w:t>
      </w:r>
      <w:r>
        <w:t xml:space="preserve">intelligence </w:t>
      </w:r>
      <w:r w:rsidRPr="0044547A">
        <w:t>sources</w:t>
      </w:r>
      <w:r>
        <w:t>, as well as our inspections and routine compliance monitoring process</w:t>
      </w:r>
      <w:r w:rsidR="00BB3196">
        <w:t xml:space="preserve"> which indicate a departure from the manufacturing principles (or equivalent overseas standards) by a manufacturer</w:t>
      </w:r>
      <w:r w:rsidR="005F67B7">
        <w:t>.</w:t>
      </w:r>
    </w:p>
    <w:p w14:paraId="4E4CABB1" w14:textId="65DAB6F4" w:rsidR="00D20077" w:rsidRDefault="00D20077" w:rsidP="005F67B7">
      <w:r>
        <w:t>In addition, for overseas manufacturing sites we perform routine monitoring of overseas compliance systems and databases published by other o</w:t>
      </w:r>
      <w:r w:rsidR="005F67B7">
        <w:t>verseas regulatory authorities.</w:t>
      </w:r>
    </w:p>
    <w:p w14:paraId="3B92883A" w14:textId="35F3E70F" w:rsidR="004C7E3E" w:rsidRPr="00215D48" w:rsidRDefault="004C7E3E" w:rsidP="005F67B7">
      <w:pPr>
        <w:pStyle w:val="Heading2"/>
      </w:pPr>
      <w:bookmarkStart w:id="6" w:name="_Toc69198499"/>
      <w:r>
        <w:t xml:space="preserve">GMP </w:t>
      </w:r>
      <w:r w:rsidR="00C07B97">
        <w:t>c</w:t>
      </w:r>
      <w:r>
        <w:t xml:space="preserve">ompliance </w:t>
      </w:r>
      <w:r w:rsidR="00C07B97">
        <w:t>s</w:t>
      </w:r>
      <w:r>
        <w:t xml:space="preserve">ignals and </w:t>
      </w:r>
      <w:r w:rsidR="00C07B97">
        <w:t>s</w:t>
      </w:r>
      <w:r>
        <w:t>ponsor</w:t>
      </w:r>
      <w:r w:rsidR="00D20077">
        <w:t xml:space="preserve"> </w:t>
      </w:r>
      <w:r w:rsidR="001304C5">
        <w:t xml:space="preserve">/ manufacturer </w:t>
      </w:r>
      <w:r w:rsidR="00C07B97" w:rsidRPr="005F67B7">
        <w:t>r</w:t>
      </w:r>
      <w:r w:rsidRPr="005F67B7">
        <w:t>esponsibilities</w:t>
      </w:r>
      <w:bookmarkEnd w:id="6"/>
    </w:p>
    <w:p w14:paraId="7F810005" w14:textId="725164EC" w:rsidR="004C7E3E" w:rsidRDefault="0038246D" w:rsidP="005F67B7">
      <w:r>
        <w:t>Sponsors</w:t>
      </w:r>
      <w:r w:rsidR="00A4090C">
        <w:t xml:space="preserve"> and manufacturers</w:t>
      </w:r>
      <w:r>
        <w:t xml:space="preserve"> </w:t>
      </w:r>
      <w:r w:rsidR="00FD4404" w:rsidRPr="008F71AD">
        <w:rPr>
          <w:b/>
        </w:rPr>
        <w:t>are expected to</w:t>
      </w:r>
      <w:r w:rsidR="00FD4404">
        <w:t xml:space="preserve"> </w:t>
      </w:r>
      <w:r w:rsidR="004C7E3E">
        <w:t xml:space="preserve">report potential or known GMP </w:t>
      </w:r>
      <w:r w:rsidR="00D20077" w:rsidRPr="00D20077">
        <w:t xml:space="preserve">compliance </w:t>
      </w:r>
      <w:r w:rsidR="0015245D">
        <w:t xml:space="preserve">signals </w:t>
      </w:r>
      <w:r w:rsidR="004C7E3E">
        <w:t>at their manufacturing sites and provide this information to the TGA when they become aware of such information.</w:t>
      </w:r>
    </w:p>
    <w:p w14:paraId="19A17709" w14:textId="77777777" w:rsidR="004C7E3E" w:rsidRDefault="004C7E3E" w:rsidP="004C7E3E">
      <w:r>
        <w:t>These potential compliance signals include, though are not limited to:</w:t>
      </w:r>
    </w:p>
    <w:p w14:paraId="5FF3E7DC" w14:textId="77777777" w:rsidR="00A4090C" w:rsidRDefault="004C7E3E" w:rsidP="005F67B7">
      <w:pPr>
        <w:pStyle w:val="ListBullet"/>
      </w:pPr>
      <w:proofErr w:type="gramStart"/>
      <w:r>
        <w:t>concerns</w:t>
      </w:r>
      <w:proofErr w:type="gramEnd"/>
      <w:r>
        <w:t xml:space="preserve"> raised by the manufacturers </w:t>
      </w:r>
      <w:r w:rsidR="00A4090C">
        <w:t xml:space="preserve">where it is identified there is a potential or actual breach of the Good </w:t>
      </w:r>
      <w:r w:rsidR="00A4090C" w:rsidRPr="005F67B7">
        <w:t>Manufacturing</w:t>
      </w:r>
      <w:r w:rsidR="00A4090C">
        <w:t xml:space="preserve"> Practices for medicines, blood or biologicals, particularly where this may lead to a risk to products.</w:t>
      </w:r>
    </w:p>
    <w:p w14:paraId="12EAAFB0" w14:textId="74544CC3" w:rsidR="004C7E3E" w:rsidRDefault="004C7E3E" w:rsidP="00C5534D">
      <w:pPr>
        <w:pStyle w:val="ListBullet"/>
      </w:pPr>
      <w:proofErr w:type="gramStart"/>
      <w:r>
        <w:t>any</w:t>
      </w:r>
      <w:proofErr w:type="gramEnd"/>
      <w:r>
        <w:t xml:space="preserve"> regulatory actions by any competent authori</w:t>
      </w:r>
      <w:r w:rsidR="005F67B7">
        <w:t>ty for the manufacturing sites.</w:t>
      </w:r>
    </w:p>
    <w:p w14:paraId="430F783F" w14:textId="5C480186" w:rsidR="004C7E3E" w:rsidRDefault="004C7E3E" w:rsidP="005F67B7">
      <w:r>
        <w:t xml:space="preserve">We may request </w:t>
      </w:r>
      <w:hyperlink w:anchor="_Request_for_additional" w:history="1">
        <w:r w:rsidRPr="00B50A23">
          <w:rPr>
            <w:rStyle w:val="Hyperlink"/>
          </w:rPr>
          <w:t>further information</w:t>
        </w:r>
      </w:hyperlink>
      <w:r>
        <w:t xml:space="preserve"> from you after we have reviewed/investigated potential or known GMP signals reported to us.</w:t>
      </w:r>
    </w:p>
    <w:p w14:paraId="4384ED37" w14:textId="56ABF303" w:rsidR="004C7E3E" w:rsidRDefault="00FD4404" w:rsidP="005F67B7">
      <w:r>
        <w:t xml:space="preserve">Additional </w:t>
      </w:r>
      <w:r w:rsidR="004C7E3E">
        <w:t xml:space="preserve">information related to your regulatory reporting requirements is available at </w:t>
      </w:r>
      <w:hyperlink r:id="rId30" w:history="1">
        <w:r w:rsidR="004C7E3E" w:rsidRPr="00D334BA">
          <w:rPr>
            <w:rStyle w:val="Hyperlink"/>
          </w:rPr>
          <w:t>Pharmacovigilance responsibilities of medicines sponsors</w:t>
        </w:r>
      </w:hyperlink>
      <w:r w:rsidR="004C7E3E">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70E30" w:rsidRPr="009401F6" w14:paraId="386654EA" w14:textId="77777777" w:rsidTr="00A70E30">
        <w:tc>
          <w:tcPr>
            <w:tcW w:w="1276" w:type="dxa"/>
            <w:vAlign w:val="center"/>
          </w:tcPr>
          <w:p w14:paraId="776F84CC" w14:textId="77777777" w:rsidR="00A70E30" w:rsidRPr="009401F6" w:rsidRDefault="00A70E30" w:rsidP="00A70E30">
            <w:pPr>
              <w:spacing w:before="0"/>
              <w:rPr>
                <w:sz w:val="20"/>
              </w:rPr>
            </w:pPr>
            <w:r w:rsidRPr="009401F6">
              <w:rPr>
                <w:noProof/>
                <w:sz w:val="20"/>
                <w:lang w:eastAsia="en-AU"/>
              </w:rPr>
              <w:lastRenderedPageBreak/>
              <w:drawing>
                <wp:inline distT="0" distB="0" distL="0" distR="0" wp14:anchorId="48D4639B" wp14:editId="16FE1FE8">
                  <wp:extent cx="487681" cy="487681"/>
                  <wp:effectExtent l="19050" t="0" r="7619" b="0"/>
                  <wp:docPr id="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5CD5EB5" w14:textId="77777777" w:rsidR="00A70E30" w:rsidRDefault="00A70E30" w:rsidP="00A70E30">
            <w:pPr>
              <w:rPr>
                <w:b/>
              </w:rPr>
            </w:pPr>
            <w:r w:rsidRPr="00F52086">
              <w:rPr>
                <w:b/>
              </w:rPr>
              <w:t xml:space="preserve">Anyone can report suspected GMP compliance </w:t>
            </w:r>
            <w:r>
              <w:rPr>
                <w:b/>
              </w:rPr>
              <w:t>signals</w:t>
            </w:r>
            <w:r w:rsidRPr="00F52086">
              <w:rPr>
                <w:b/>
              </w:rPr>
              <w:t>.</w:t>
            </w:r>
          </w:p>
          <w:p w14:paraId="08DD99EA" w14:textId="177A2168" w:rsidR="00A70E30" w:rsidRPr="009401F6" w:rsidRDefault="00A70E30" w:rsidP="005F67B7">
            <w:r w:rsidRPr="00DC2EB3">
              <w:t xml:space="preserve">You can </w:t>
            </w:r>
            <w:hyperlink r:id="rId31" w:history="1">
              <w:r w:rsidRPr="000E63E6">
                <w:rPr>
                  <w:rStyle w:val="Hyperlink"/>
                </w:rPr>
                <w:t>contact</w:t>
              </w:r>
            </w:hyperlink>
            <w:r w:rsidRPr="000E63E6">
              <w:t xml:space="preserve"> GMP compliance</w:t>
            </w:r>
            <w:r w:rsidR="005F67B7">
              <w:t xml:space="preserve"> </w:t>
            </w:r>
            <w:r>
              <w:t>to report a potential compliance issue or concern related to GMP manufacturing of medicines and/or biologicals.</w:t>
            </w:r>
          </w:p>
        </w:tc>
      </w:tr>
    </w:tbl>
    <w:p w14:paraId="720E0DD8" w14:textId="2D20F8EA" w:rsidR="00455C62" w:rsidRPr="00215D48" w:rsidRDefault="00455C62" w:rsidP="005F67B7">
      <w:pPr>
        <w:pStyle w:val="Heading2"/>
      </w:pPr>
      <w:bookmarkStart w:id="7" w:name="_Toc69198500"/>
      <w:r>
        <w:t xml:space="preserve">Management of </w:t>
      </w:r>
      <w:r w:rsidRPr="005F67B7">
        <w:t>GMP</w:t>
      </w:r>
      <w:r>
        <w:t xml:space="preserve"> </w:t>
      </w:r>
      <w:r w:rsidR="00C07B97">
        <w:t>c</w:t>
      </w:r>
      <w:r>
        <w:t xml:space="preserve">ompliance </w:t>
      </w:r>
      <w:r w:rsidR="00C07B97">
        <w:t>s</w:t>
      </w:r>
      <w:r>
        <w:t>ignal</w:t>
      </w:r>
      <w:r w:rsidR="00B06AF3">
        <w:t>s</w:t>
      </w:r>
      <w:bookmarkEnd w:id="7"/>
    </w:p>
    <w:p w14:paraId="39212B8F" w14:textId="13FBB38A" w:rsidR="00455C62" w:rsidRDefault="00A70E30" w:rsidP="005F67B7">
      <w:r>
        <w:t>The TGA manages</w:t>
      </w:r>
      <w:r w:rsidR="00455C62">
        <w:t xml:space="preserve"> GMP compliance signals related to the manufacturing of medicines and biologicals from licensed domestic manufacturing sites and overseas manufacturing sites for products</w:t>
      </w:r>
      <w:r w:rsidR="00455C62" w:rsidRPr="00076FAE">
        <w:t xml:space="preserve"> intended for supply in Australia</w:t>
      </w:r>
      <w:r w:rsidR="00455C62">
        <w:t>. We also manage signals relating to licen</w:t>
      </w:r>
      <w:r w:rsidR="00684616">
        <w:t>c</w:t>
      </w:r>
      <w:r w:rsidR="00455C62">
        <w:t>e</w:t>
      </w:r>
      <w:r w:rsidR="00BB3196">
        <w:t>,</w:t>
      </w:r>
      <w:r w:rsidR="00455C62">
        <w:t xml:space="preserve"> certification </w:t>
      </w:r>
      <w:r w:rsidR="00BB3196">
        <w:t xml:space="preserve">and clearance </w:t>
      </w:r>
      <w:r w:rsidR="00455C62">
        <w:t>applications.</w:t>
      </w:r>
    </w:p>
    <w:p w14:paraId="203614D3" w14:textId="492076C6" w:rsidR="00455C62" w:rsidRDefault="00455C62" w:rsidP="005F67B7">
      <w:r>
        <w:t xml:space="preserve">Information on the criteria we use to triage and manage GMP compliance signals is available at </w:t>
      </w:r>
      <w:hyperlink r:id="rId32" w:anchor="rcf" w:history="1">
        <w:r w:rsidRPr="00477F85">
          <w:rPr>
            <w:rStyle w:val="Hyperlink"/>
            <w:szCs w:val="22"/>
          </w:rPr>
          <w:t>Regulatory compliance frame work – prioritisation</w:t>
        </w:r>
      </w:hyperlink>
      <w:r w:rsidR="003452B0" w:rsidRPr="003452B0">
        <w:t>.</w:t>
      </w:r>
    </w:p>
    <w:p w14:paraId="1D46C873" w14:textId="0BBAE26F" w:rsidR="00455C62" w:rsidRDefault="00455C62" w:rsidP="005F67B7">
      <w:r>
        <w:t>When triaging and managing GMP</w:t>
      </w:r>
      <w:r w:rsidR="005E705F">
        <w:t xml:space="preserve"> compliance</w:t>
      </w:r>
      <w:r>
        <w:t xml:space="preserve"> signals relating to </w:t>
      </w:r>
      <w:r w:rsidRPr="002C6C6F">
        <w:rPr>
          <w:b/>
        </w:rPr>
        <w:t>overseas</w:t>
      </w:r>
      <w:r w:rsidRPr="002C6C6F">
        <w:t xml:space="preserve"> manufacturers</w:t>
      </w:r>
      <w:r>
        <w:t>, we also take into account:</w:t>
      </w:r>
    </w:p>
    <w:p w14:paraId="3F849741" w14:textId="4E22C78B" w:rsidR="00455C62" w:rsidRPr="005F67B7" w:rsidRDefault="00455C62" w:rsidP="005F67B7">
      <w:pPr>
        <w:pStyle w:val="ListBullet"/>
      </w:pPr>
      <w:r w:rsidRPr="001B58DB">
        <w:t xml:space="preserve">the </w:t>
      </w:r>
      <w:r w:rsidRPr="005F67B7">
        <w:t xml:space="preserve">impacts on products supplied and/or intended to be supplied </w:t>
      </w:r>
      <w:r w:rsidR="005F67B7" w:rsidRPr="005F67B7">
        <w:t>in Australia</w:t>
      </w:r>
    </w:p>
    <w:p w14:paraId="5CAB6A49" w14:textId="77777777" w:rsidR="00455C62" w:rsidRPr="005F67B7" w:rsidRDefault="00455C62" w:rsidP="005F67B7">
      <w:pPr>
        <w:pStyle w:val="ListBullet"/>
      </w:pPr>
      <w:r w:rsidRPr="005F67B7">
        <w:t>the outcome of the risk assessment provided by applicable sponsors</w:t>
      </w:r>
    </w:p>
    <w:p w14:paraId="521E71B6" w14:textId="4B4BD214" w:rsidR="00684616" w:rsidRDefault="00455C62" w:rsidP="005F67B7">
      <w:pPr>
        <w:pStyle w:val="ListBullet"/>
      </w:pPr>
      <w:r w:rsidRPr="005F67B7">
        <w:t>any other relevant information</w:t>
      </w:r>
      <w:r w:rsidRPr="006D7225">
        <w:t xml:space="preserve"> </w:t>
      </w:r>
      <w:r w:rsidR="00684616">
        <w:t>such as:</w:t>
      </w:r>
    </w:p>
    <w:p w14:paraId="25B120C5" w14:textId="1AE34244" w:rsidR="00684616" w:rsidRPr="005F67B7" w:rsidRDefault="00455C62" w:rsidP="005F67B7">
      <w:pPr>
        <w:pStyle w:val="ListBullet2"/>
      </w:pPr>
      <w:r w:rsidRPr="006D7225">
        <w:t xml:space="preserve">site </w:t>
      </w:r>
      <w:r w:rsidRPr="005F67B7">
        <w:t>master files</w:t>
      </w:r>
    </w:p>
    <w:p w14:paraId="3254CBD0" w14:textId="1B71DEC8" w:rsidR="00684616" w:rsidRPr="005F67B7" w:rsidRDefault="00455C62" w:rsidP="005F67B7">
      <w:pPr>
        <w:pStyle w:val="ListBullet2"/>
      </w:pPr>
      <w:r w:rsidRPr="005F67B7">
        <w:t>GMP agreements</w:t>
      </w:r>
    </w:p>
    <w:p w14:paraId="37194BE9" w14:textId="78DF8741" w:rsidR="00455C62" w:rsidRPr="0084429B" w:rsidRDefault="00455C62" w:rsidP="005F67B7">
      <w:pPr>
        <w:pStyle w:val="ListBullet2"/>
      </w:pPr>
      <w:proofErr w:type="gramStart"/>
      <w:r w:rsidRPr="005F67B7">
        <w:t>corrective</w:t>
      </w:r>
      <w:proofErr w:type="gramEnd"/>
      <w:r w:rsidRPr="005F67B7">
        <w:t xml:space="preserve"> and preventative actions (CAPAs</w:t>
      </w:r>
      <w:r>
        <w:t>).</w:t>
      </w:r>
    </w:p>
    <w:p w14:paraId="44248A37" w14:textId="725DE6A0" w:rsidR="00455C62" w:rsidRDefault="00946E57" w:rsidP="005F67B7">
      <w:pPr>
        <w:pStyle w:val="Heading3"/>
      </w:pPr>
      <w:bookmarkStart w:id="8" w:name="_Toc69198501"/>
      <w:r>
        <w:t>Review and investigation of GMP</w:t>
      </w:r>
      <w:r w:rsidR="005E705F">
        <w:t xml:space="preserve"> Compliance</w:t>
      </w:r>
      <w:r>
        <w:t xml:space="preserve"> signals</w:t>
      </w:r>
      <w:bookmarkEnd w:id="8"/>
    </w:p>
    <w:p w14:paraId="101A5834" w14:textId="1A9F98D7" w:rsidR="00455C62" w:rsidRDefault="008A69D1" w:rsidP="005F67B7">
      <w:r>
        <w:t>Once we receive</w:t>
      </w:r>
      <w:r w:rsidR="005E705F">
        <w:t xml:space="preserve"> and triage</w:t>
      </w:r>
      <w:r>
        <w:t xml:space="preserve"> a</w:t>
      </w:r>
      <w:r w:rsidR="005E705F">
        <w:t xml:space="preserve"> GMP</w:t>
      </w:r>
      <w:r>
        <w:t xml:space="preserve"> compliance signal</w:t>
      </w:r>
      <w:r w:rsidR="0080002D">
        <w:t>,</w:t>
      </w:r>
      <w:r>
        <w:t xml:space="preserve"> it undergoes a r</w:t>
      </w:r>
      <w:r w:rsidR="004071C4">
        <w:t>eview and investigation process to determine if compliance action is required to address the signal</w:t>
      </w:r>
      <w:r w:rsidR="0080002D">
        <w:t>.</w:t>
      </w:r>
    </w:p>
    <w:p w14:paraId="04C66AE9" w14:textId="241651ED" w:rsidR="00647F05" w:rsidRDefault="00647F05" w:rsidP="005F67B7">
      <w:pPr>
        <w:pStyle w:val="Heading4"/>
      </w:pPr>
      <w:bookmarkStart w:id="9" w:name="_Risk_assessments"/>
      <w:bookmarkStart w:id="10" w:name="_Toc69198502"/>
      <w:bookmarkEnd w:id="9"/>
      <w:r>
        <w:t xml:space="preserve">Risk </w:t>
      </w:r>
      <w:r w:rsidRPr="005F67B7">
        <w:t>assessments</w:t>
      </w:r>
      <w:bookmarkEnd w:id="10"/>
    </w:p>
    <w:p w14:paraId="51472F9F" w14:textId="371881AA" w:rsidR="008A69D1" w:rsidRDefault="008A69D1" w:rsidP="005F67B7">
      <w:r>
        <w:t>We may ask sponsors</w:t>
      </w:r>
      <w:r w:rsidR="00455C62" w:rsidRPr="00916752">
        <w:t xml:space="preserve"> to provide </w:t>
      </w:r>
      <w:r w:rsidR="00455C62" w:rsidRPr="00E136F2">
        <w:t>risk assessments</w:t>
      </w:r>
      <w:r w:rsidR="00455C62" w:rsidRPr="00916752">
        <w:t xml:space="preserve"> to support the </w:t>
      </w:r>
      <w:r w:rsidR="00455C62" w:rsidRPr="00916752">
        <w:rPr>
          <w:b/>
        </w:rPr>
        <w:t>continued and/or intended</w:t>
      </w:r>
      <w:r w:rsidR="00455C62" w:rsidRPr="00916752">
        <w:t xml:space="preserve"> supply of products on the </w:t>
      </w:r>
      <w:bookmarkStart w:id="11" w:name="_Further_information"/>
      <w:bookmarkEnd w:id="11"/>
      <w:r>
        <w:rPr>
          <w:sz w:val="20"/>
        </w:rPr>
        <w:fldChar w:fldCharType="begin"/>
      </w:r>
      <w:r w:rsidR="000544F8">
        <w:instrText>HYPERLINK "https://www.tga.gov.au/australian-register-therapeutic-goods"</w:instrText>
      </w:r>
      <w:r>
        <w:rPr>
          <w:sz w:val="20"/>
        </w:rPr>
        <w:fldChar w:fldCharType="separate"/>
      </w:r>
      <w:r w:rsidRPr="00AF19A3">
        <w:rPr>
          <w:rStyle w:val="Hyperlink"/>
        </w:rPr>
        <w:t>Australian Register of Therapeutic Goods (</w:t>
      </w:r>
      <w:proofErr w:type="spellStart"/>
      <w:r w:rsidRPr="00AF19A3">
        <w:rPr>
          <w:rStyle w:val="Hyperlink"/>
        </w:rPr>
        <w:t>ARTG</w:t>
      </w:r>
      <w:proofErr w:type="spellEnd"/>
      <w:r w:rsidRPr="00AF19A3">
        <w:rPr>
          <w:rStyle w:val="Hyperlink"/>
        </w:rPr>
        <w:t>)</w:t>
      </w:r>
      <w:r>
        <w:rPr>
          <w:rStyle w:val="Hyperlink"/>
        </w:rPr>
        <w:fldChar w:fldCharType="end"/>
      </w:r>
      <w:r w:rsidR="00455C62" w:rsidRPr="00916752">
        <w:t xml:space="preserve"> from manufacturing sites that are identified to have GMP compliance signals.</w:t>
      </w:r>
    </w:p>
    <w:p w14:paraId="7731066E" w14:textId="513B611C" w:rsidR="00647F05" w:rsidRDefault="00647F05" w:rsidP="005F67B7">
      <w:r w:rsidRPr="00916752">
        <w:t xml:space="preserve">Where the risk assessment does not </w:t>
      </w:r>
      <w:r w:rsidR="005E705F">
        <w:t>support ongoing or intended supply</w:t>
      </w:r>
      <w:r w:rsidRPr="00916752">
        <w:t xml:space="preserve">, or does not provide information relevant to support the </w:t>
      </w:r>
      <w:r>
        <w:t xml:space="preserve">quality and </w:t>
      </w:r>
      <w:r w:rsidRPr="00916752">
        <w:t xml:space="preserve">safety of products supplied to the </w:t>
      </w:r>
      <w:r w:rsidR="00F254BE">
        <w:t xml:space="preserve">Australian </w:t>
      </w:r>
      <w:r w:rsidRPr="00916752">
        <w:t xml:space="preserve">market, </w:t>
      </w:r>
      <w:r>
        <w:t>we</w:t>
      </w:r>
      <w:r w:rsidRPr="00916752">
        <w:t xml:space="preserve"> will investigate further regulatory actions </w:t>
      </w:r>
      <w:r>
        <w:t xml:space="preserve">as outlined in this </w:t>
      </w:r>
      <w:r w:rsidR="007904FA">
        <w:t>g</w:t>
      </w:r>
      <w:r>
        <w:t>uidance.</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8A69D1" w:rsidRPr="00215D48" w14:paraId="49227D9A" w14:textId="77777777" w:rsidTr="00C5534D">
        <w:tc>
          <w:tcPr>
            <w:tcW w:w="20" w:type="dxa"/>
            <w:vAlign w:val="center"/>
          </w:tcPr>
          <w:p w14:paraId="797B21E0" w14:textId="4232EA49" w:rsidR="008A69D1" w:rsidRPr="00215D48" w:rsidRDefault="008A69D1" w:rsidP="00CD2D21">
            <w:pPr>
              <w:spacing w:before="0"/>
              <w:rPr>
                <w:sz w:val="20"/>
              </w:rPr>
            </w:pPr>
          </w:p>
        </w:tc>
        <w:tc>
          <w:tcPr>
            <w:tcW w:w="9018" w:type="dxa"/>
            <w:shd w:val="clear" w:color="auto" w:fill="EAEAEA"/>
            <w:tcMar>
              <w:top w:w="170" w:type="dxa"/>
              <w:left w:w="170" w:type="dxa"/>
              <w:bottom w:w="170" w:type="dxa"/>
              <w:right w:w="170" w:type="dxa"/>
            </w:tcMar>
            <w:vAlign w:val="center"/>
          </w:tcPr>
          <w:p w14:paraId="03CF775B" w14:textId="071E9B39" w:rsidR="008A69D1" w:rsidRPr="00406955" w:rsidRDefault="0038246D" w:rsidP="003718DF">
            <w:pPr>
              <w:rPr>
                <w:rFonts w:asciiTheme="minorHAnsi" w:hAnsiTheme="minorHAnsi"/>
              </w:rPr>
            </w:pPr>
            <w:r>
              <w:t>Your</w:t>
            </w:r>
            <w:r w:rsidR="008A69D1" w:rsidRPr="00916752">
              <w:t xml:space="preserve"> risk assessment should provide enough detail for </w:t>
            </w:r>
            <w:r w:rsidR="008A69D1">
              <w:t>us</w:t>
            </w:r>
            <w:r w:rsidR="008A69D1" w:rsidRPr="00916752">
              <w:t xml:space="preserve"> to make a</w:t>
            </w:r>
            <w:r w:rsidR="008A69D1">
              <w:t>n</w:t>
            </w:r>
            <w:r w:rsidR="008A69D1" w:rsidRPr="00916752">
              <w:t xml:space="preserve"> unbiased decision regarding supply from the site in question, and should be prepared in accordance with </w:t>
            </w:r>
            <w:hyperlink r:id="rId33" w:history="1">
              <w:r w:rsidR="008A69D1" w:rsidRPr="00916752">
                <w:rPr>
                  <w:rStyle w:val="Hyperlink"/>
                  <w:rFonts w:asciiTheme="minorHAnsi" w:hAnsiTheme="minorHAnsi"/>
                  <w:szCs w:val="22"/>
                </w:rPr>
                <w:t>ICH Q9 Quality Risk Management</w:t>
              </w:r>
            </w:hyperlink>
            <w:r w:rsidR="008A69D1" w:rsidRPr="00916752">
              <w:rPr>
                <w:rFonts w:asciiTheme="minorHAnsi" w:hAnsiTheme="minorHAnsi"/>
              </w:rPr>
              <w:t xml:space="preserve"> / </w:t>
            </w:r>
            <w:hyperlink r:id="rId34" w:history="1">
              <w:r w:rsidR="008A69D1" w:rsidRPr="00916752">
                <w:rPr>
                  <w:rStyle w:val="Hyperlink"/>
                  <w:rFonts w:asciiTheme="minorHAnsi" w:hAnsiTheme="minorHAnsi"/>
                  <w:szCs w:val="22"/>
                </w:rPr>
                <w:t>PICS GMP Guide: Annex 20</w:t>
              </w:r>
            </w:hyperlink>
            <w:r w:rsidR="008A69D1" w:rsidRPr="00916752">
              <w:rPr>
                <w:rFonts w:asciiTheme="minorHAnsi" w:hAnsiTheme="minorHAnsi"/>
              </w:rPr>
              <w:t>.</w:t>
            </w:r>
          </w:p>
        </w:tc>
      </w:tr>
    </w:tbl>
    <w:p w14:paraId="5557F04D" w14:textId="27EC24BD" w:rsidR="00647F05" w:rsidRDefault="00684616" w:rsidP="003718DF">
      <w:pPr>
        <w:pStyle w:val="Heading4"/>
      </w:pPr>
      <w:bookmarkStart w:id="12" w:name="_Request_for_additional"/>
      <w:bookmarkStart w:id="13" w:name="_Toc69198503"/>
      <w:bookmarkEnd w:id="12"/>
      <w:r>
        <w:lastRenderedPageBreak/>
        <w:t>Request for additional</w:t>
      </w:r>
      <w:r w:rsidR="00647F05">
        <w:t xml:space="preserve"> </w:t>
      </w:r>
      <w:r w:rsidR="00647F05" w:rsidRPr="003718DF">
        <w:t>information</w:t>
      </w:r>
      <w:bookmarkEnd w:id="13"/>
    </w:p>
    <w:p w14:paraId="3FA7DAA0" w14:textId="182E8844" w:rsidR="00455C62" w:rsidRDefault="00455C62" w:rsidP="003718DF">
      <w:pPr>
        <w:rPr>
          <w:highlight w:val="cyan"/>
        </w:rPr>
      </w:pPr>
      <w:r>
        <w:t>W</w:t>
      </w:r>
      <w:r w:rsidR="00647F05">
        <w:t>e may also ask</w:t>
      </w:r>
      <w:r>
        <w:t xml:space="preserve"> sponsors to provide additional information that may be relevant to </w:t>
      </w:r>
      <w:r w:rsidR="005E705F">
        <w:t xml:space="preserve">the GMP compliance </w:t>
      </w:r>
      <w:r>
        <w:t>signal investigation and risk assessment process</w:t>
      </w:r>
      <w:r w:rsidR="00647F05">
        <w:t>.</w:t>
      </w:r>
      <w:r>
        <w:t xml:space="preserve"> </w:t>
      </w:r>
      <w:r w:rsidR="004B4297">
        <w:t>For example, we may request</w:t>
      </w:r>
      <w:r w:rsidR="00E06A7C">
        <w:t xml:space="preserve"> the</w:t>
      </w:r>
      <w:r>
        <w:t>:</w:t>
      </w:r>
    </w:p>
    <w:p w14:paraId="257B0A29" w14:textId="1944FA6E" w:rsidR="00455C62" w:rsidRDefault="00455C62" w:rsidP="003718DF">
      <w:pPr>
        <w:pStyle w:val="ListBullet"/>
      </w:pPr>
      <w:r w:rsidRPr="00916752">
        <w:t>inspection rep</w:t>
      </w:r>
      <w:r w:rsidR="003718DF">
        <w:t>ort</w:t>
      </w:r>
    </w:p>
    <w:p w14:paraId="56619084" w14:textId="0FE13E99" w:rsidR="00647F05" w:rsidRPr="003718DF" w:rsidRDefault="005D470B" w:rsidP="003718DF">
      <w:pPr>
        <w:pStyle w:val="ListBullet"/>
      </w:pPr>
      <w:hyperlink r:id="rId35" w:history="1">
        <w:r w:rsidR="00647F05" w:rsidRPr="002B7976">
          <w:rPr>
            <w:rStyle w:val="Hyperlink"/>
          </w:rPr>
          <w:t>post-inspection letter (PIL)</w:t>
        </w:r>
      </w:hyperlink>
    </w:p>
    <w:p w14:paraId="7C419F28" w14:textId="6B99A336" w:rsidR="00455C62" w:rsidRPr="003718DF" w:rsidRDefault="00455C62" w:rsidP="003718DF">
      <w:pPr>
        <w:pStyle w:val="ListBullet"/>
      </w:pPr>
      <w:r w:rsidRPr="003718DF">
        <w:t>manufacturer’s responses to the regulatory authority</w:t>
      </w:r>
    </w:p>
    <w:p w14:paraId="7C83C0AE" w14:textId="7CC55343" w:rsidR="00455C62" w:rsidRPr="00916752" w:rsidRDefault="00455C62" w:rsidP="003718DF">
      <w:pPr>
        <w:pStyle w:val="ListBullet"/>
      </w:pPr>
      <w:r w:rsidRPr="003718DF">
        <w:t>evidence of corrective and preventative</w:t>
      </w:r>
      <w:r w:rsidRPr="00916752">
        <w:t xml:space="preserve"> actions (CAPAs)</w:t>
      </w:r>
    </w:p>
    <w:p w14:paraId="45CD9C19" w14:textId="77777777" w:rsidR="00647F05" w:rsidRPr="003718DF" w:rsidRDefault="005D470B" w:rsidP="003718DF">
      <w:pPr>
        <w:pStyle w:val="ListBullet"/>
      </w:pPr>
      <w:hyperlink r:id="rId36" w:history="1">
        <w:r w:rsidR="00647F05" w:rsidRPr="002B7976">
          <w:rPr>
            <w:rStyle w:val="Hyperlink"/>
          </w:rPr>
          <w:t>Site Master Files (SMF)</w:t>
        </w:r>
      </w:hyperlink>
    </w:p>
    <w:p w14:paraId="0EBC8AF6" w14:textId="6C7D73AF" w:rsidR="00455C62" w:rsidRPr="003718DF" w:rsidRDefault="00455C62" w:rsidP="003718DF">
      <w:pPr>
        <w:pStyle w:val="ListBullet"/>
      </w:pPr>
      <w:r w:rsidRPr="003718DF">
        <w:t>GMP or Quality agreements (or equivalent), where appropriate</w:t>
      </w:r>
    </w:p>
    <w:p w14:paraId="722BCB31" w14:textId="75BE5037" w:rsidR="00455C62" w:rsidRPr="003718DF" w:rsidRDefault="00455C62" w:rsidP="003718DF">
      <w:pPr>
        <w:pStyle w:val="ListBullet"/>
      </w:pPr>
      <w:r w:rsidRPr="003718DF">
        <w:t>TGA manufacturer questionnaire</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BB754A" w:rsidRPr="00215D48" w14:paraId="0FF66291" w14:textId="77777777" w:rsidTr="00BB754A">
        <w:tc>
          <w:tcPr>
            <w:tcW w:w="20" w:type="dxa"/>
            <w:vAlign w:val="center"/>
          </w:tcPr>
          <w:p w14:paraId="3F9B775B" w14:textId="4DC5E7DD" w:rsidR="00BB754A" w:rsidRPr="00215D48" w:rsidRDefault="00BB754A" w:rsidP="003B395E">
            <w:pPr>
              <w:spacing w:before="0"/>
              <w:rPr>
                <w:sz w:val="20"/>
              </w:rPr>
            </w:pPr>
          </w:p>
        </w:tc>
        <w:tc>
          <w:tcPr>
            <w:tcW w:w="9018" w:type="dxa"/>
            <w:shd w:val="clear" w:color="auto" w:fill="EAEAEA"/>
            <w:tcMar>
              <w:top w:w="170" w:type="dxa"/>
              <w:left w:w="170" w:type="dxa"/>
              <w:bottom w:w="170" w:type="dxa"/>
              <w:right w:w="170" w:type="dxa"/>
            </w:tcMar>
            <w:vAlign w:val="center"/>
          </w:tcPr>
          <w:p w14:paraId="61AEF4E8" w14:textId="1AD174DE" w:rsidR="00BB754A" w:rsidRPr="00215D48" w:rsidRDefault="00E76041" w:rsidP="003718DF">
            <w:r>
              <w:t>Your</w:t>
            </w:r>
            <w:r w:rsidR="00BB754A" w:rsidRPr="00D45FB9">
              <w:t xml:space="preserve"> CAPA report or inspection response </w:t>
            </w:r>
            <w:r w:rsidR="00BB754A" w:rsidRPr="00C07B97">
              <w:rPr>
                <w:b/>
              </w:rPr>
              <w:t xml:space="preserve">should </w:t>
            </w:r>
            <w:r w:rsidR="00BB754A" w:rsidRPr="00735744">
              <w:t>indicate</w:t>
            </w:r>
            <w:r>
              <w:t xml:space="preserve"> the specifics of how it</w:t>
            </w:r>
            <w:r w:rsidR="00BB754A" w:rsidRPr="00D45FB9">
              <w:t xml:space="preserve"> relates to the compliance signal</w:t>
            </w:r>
            <w:r w:rsidR="0038246D">
              <w:t xml:space="preserve"> under investigation</w:t>
            </w:r>
            <w:r w:rsidR="00BB754A">
              <w:t>.</w:t>
            </w:r>
          </w:p>
        </w:tc>
      </w:tr>
    </w:tbl>
    <w:p w14:paraId="3D3B5617" w14:textId="2A821716" w:rsidR="00F06686" w:rsidRDefault="00F06686" w:rsidP="003718DF">
      <w:pPr>
        <w:pStyle w:val="Heading2"/>
      </w:pPr>
      <w:bookmarkStart w:id="14" w:name="_Toc69198504"/>
      <w:r>
        <w:t xml:space="preserve">Compliance </w:t>
      </w:r>
      <w:r w:rsidR="009947EF">
        <w:t>a</w:t>
      </w:r>
      <w:r>
        <w:t xml:space="preserve">nd </w:t>
      </w:r>
      <w:r w:rsidR="009947EF" w:rsidRPr="003718DF">
        <w:t>r</w:t>
      </w:r>
      <w:r w:rsidRPr="003718DF">
        <w:t>isk</w:t>
      </w:r>
      <w:r>
        <w:t xml:space="preserve"> </w:t>
      </w:r>
      <w:r w:rsidR="009947EF">
        <w:t>f</w:t>
      </w:r>
      <w:r>
        <w:t xml:space="preserve">ramework for </w:t>
      </w:r>
      <w:r w:rsidR="0080002D">
        <w:t xml:space="preserve">licensed </w:t>
      </w:r>
      <w:r w:rsidR="009947EF">
        <w:t>m</w:t>
      </w:r>
      <w:r>
        <w:t>anufacturers</w:t>
      </w:r>
      <w:bookmarkEnd w:id="14"/>
    </w:p>
    <w:p w14:paraId="32FC8AB8" w14:textId="4BFB01FB" w:rsidR="00BB754A" w:rsidRDefault="00BB754A" w:rsidP="003718DF">
      <w:r>
        <w:t>Our approach to managing compliance issues according to risk and th</w:t>
      </w:r>
      <w:r w:rsidR="00A70E30">
        <w:t xml:space="preserve">e approach </w:t>
      </w:r>
      <w:r>
        <w:t>of manufacturers</w:t>
      </w:r>
      <w:r w:rsidR="00A70E30">
        <w:t xml:space="preserve"> to compliance obligations</w:t>
      </w:r>
      <w:r>
        <w:t xml:space="preserve"> is detailed in the table below.</w:t>
      </w:r>
    </w:p>
    <w:p w14:paraId="20582FFE" w14:textId="4C1DEC3C" w:rsidR="009947EF" w:rsidRDefault="009947EF" w:rsidP="003718DF">
      <w:r>
        <w:t>In using our powers, we deal with compliance signals in a manner proportionate to the risk posed to public health.</w:t>
      </w:r>
    </w:p>
    <w:p w14:paraId="72024FA0" w14:textId="1BC5A583" w:rsidR="00F06686" w:rsidRDefault="00A31A7E" w:rsidP="003718DF">
      <w:pPr>
        <w:pStyle w:val="Tabletitle"/>
      </w:pPr>
      <w:r>
        <w:t>H</w:t>
      </w:r>
      <w:r w:rsidR="009947EF">
        <w:t>ow licen</w:t>
      </w:r>
      <w:r w:rsidR="0080002D">
        <w:t>s</w:t>
      </w:r>
      <w:r w:rsidR="009947EF">
        <w:t xml:space="preserve">ed manufacturers comply </w:t>
      </w:r>
      <w:r w:rsidR="009947EF" w:rsidRPr="003718DF">
        <w:t>with</w:t>
      </w:r>
      <w:r w:rsidR="009947EF">
        <w:t xml:space="preserve"> licen</w:t>
      </w:r>
      <w:r w:rsidR="0080002D">
        <w:t>s</w:t>
      </w:r>
      <w:r w:rsidR="009947EF">
        <w:t>ing obligations</w:t>
      </w:r>
      <w:r>
        <w:t xml:space="preserve"> and</w:t>
      </w:r>
      <w:r w:rsidRPr="00A31A7E">
        <w:t xml:space="preserve"> </w:t>
      </w:r>
      <w:r>
        <w:t>how the TGA manages compliance risks</w:t>
      </w:r>
    </w:p>
    <w:tbl>
      <w:tblPr>
        <w:tblStyle w:val="TableTGAblue"/>
        <w:tblW w:w="0" w:type="auto"/>
        <w:tblLook w:val="04A0" w:firstRow="1" w:lastRow="0" w:firstColumn="1" w:lastColumn="0" w:noHBand="0" w:noVBand="1"/>
        <w:tblCaption w:val="Low, medium, high and critical compliance risks and"/>
        <w:tblDescription w:val="Rows 1 and 2 identify the levl of compliance risk as low, medium, high and critical"/>
      </w:tblPr>
      <w:tblGrid>
        <w:gridCol w:w="1975"/>
        <w:gridCol w:w="3402"/>
        <w:gridCol w:w="3673"/>
      </w:tblGrid>
      <w:tr w:rsidR="00F72A10" w14:paraId="0833908C" w14:textId="77777777" w:rsidTr="007C6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01295D7" w14:textId="19BC647D" w:rsidR="00F72A10" w:rsidRDefault="00F72A10" w:rsidP="00FD7852">
            <w:r>
              <w:t>Compliance risk</w:t>
            </w:r>
          </w:p>
        </w:tc>
        <w:tc>
          <w:tcPr>
            <w:tcW w:w="3402" w:type="dxa"/>
          </w:tcPr>
          <w:p w14:paraId="040B1FFE" w14:textId="7D598E3B" w:rsidR="00F72A10" w:rsidRDefault="00F72A10" w:rsidP="00FD7852">
            <w:pPr>
              <w:cnfStyle w:val="100000000000" w:firstRow="1" w:lastRow="0" w:firstColumn="0" w:lastColumn="0" w:oddVBand="0" w:evenVBand="0" w:oddHBand="0" w:evenHBand="0" w:firstRowFirstColumn="0" w:firstRowLastColumn="0" w:lastRowFirstColumn="0" w:lastRowLastColumn="0"/>
            </w:pPr>
            <w:r>
              <w:t>Manufacturers</w:t>
            </w:r>
            <w:r w:rsidR="000D43B6">
              <w:t>’</w:t>
            </w:r>
            <w:r>
              <w:t xml:space="preserve"> approach to compliance with licensing obligations</w:t>
            </w:r>
          </w:p>
        </w:tc>
        <w:tc>
          <w:tcPr>
            <w:tcW w:w="3673" w:type="dxa"/>
          </w:tcPr>
          <w:p w14:paraId="39D7004E" w14:textId="58F36459" w:rsidR="00F72A10" w:rsidRDefault="00F72A10" w:rsidP="00F72A10">
            <w:pPr>
              <w:cnfStyle w:val="100000000000" w:firstRow="1" w:lastRow="0" w:firstColumn="0" w:lastColumn="0" w:oddVBand="0" w:evenVBand="0" w:oddHBand="0" w:evenHBand="0" w:firstRowFirstColumn="0" w:firstRowLastColumn="0" w:lastRowFirstColumn="0" w:lastRowLastColumn="0"/>
            </w:pPr>
            <w:r>
              <w:t>TGA approach to managing compliance risk</w:t>
            </w:r>
          </w:p>
        </w:tc>
      </w:tr>
      <w:tr w:rsidR="00F72A10" w14:paraId="5687BACD" w14:textId="77777777" w:rsidTr="007C6E5D">
        <w:tc>
          <w:tcPr>
            <w:cnfStyle w:val="001000000000" w:firstRow="0" w:lastRow="0" w:firstColumn="1" w:lastColumn="0" w:oddVBand="0" w:evenVBand="0" w:oddHBand="0" w:evenHBand="0" w:firstRowFirstColumn="0" w:firstRowLastColumn="0" w:lastRowFirstColumn="0" w:lastRowLastColumn="0"/>
            <w:tcW w:w="1975" w:type="dxa"/>
          </w:tcPr>
          <w:p w14:paraId="3D3D0707" w14:textId="11609601" w:rsidR="00F72A10" w:rsidRPr="007C6E5D" w:rsidRDefault="00F72A10" w:rsidP="00F72A10">
            <w:pPr>
              <w:rPr>
                <w:b/>
              </w:rPr>
            </w:pPr>
            <w:r w:rsidRPr="007C6E5D">
              <w:rPr>
                <w:b/>
              </w:rPr>
              <w:t>Low</w:t>
            </w:r>
          </w:p>
        </w:tc>
        <w:tc>
          <w:tcPr>
            <w:tcW w:w="3402" w:type="dxa"/>
          </w:tcPr>
          <w:p w14:paraId="11B7DCD7" w14:textId="77777777" w:rsidR="00FD7852" w:rsidRDefault="00F72A10" w:rsidP="00F72A1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b/>
                <w:bCs/>
              </w:rPr>
            </w:pPr>
            <w:r w:rsidRPr="006716AA">
              <w:rPr>
                <w:b/>
                <w:bCs/>
              </w:rPr>
              <w:t>Voluntary compliance</w:t>
            </w:r>
          </w:p>
          <w:p w14:paraId="6705D1EC" w14:textId="46E31C0C" w:rsidR="00F72A10" w:rsidRPr="006716AA" w:rsidRDefault="00F72A10" w:rsidP="00FD7852">
            <w:pPr>
              <w:pStyle w:val="ListBullet"/>
              <w:cnfStyle w:val="000000000000" w:firstRow="0" w:lastRow="0" w:firstColumn="0" w:lastColumn="0" w:oddVBand="0" w:evenVBand="0" w:oddHBand="0" w:evenHBand="0" w:firstRowFirstColumn="0" w:firstRowLastColumn="0" w:lastRowFirstColumn="0" w:lastRowLastColumn="0"/>
              <w:rPr>
                <w:b/>
                <w:bCs/>
              </w:rPr>
            </w:pPr>
            <w:r w:rsidRPr="006716AA">
              <w:t>Committed to doing the right thing</w:t>
            </w:r>
          </w:p>
          <w:p w14:paraId="4549A390" w14:textId="1CB4981A" w:rsidR="00F72A10" w:rsidRDefault="00F72A10" w:rsidP="00FD7852">
            <w:pPr>
              <w:pStyle w:val="ListBullet"/>
              <w:cnfStyle w:val="000000000000" w:firstRow="0" w:lastRow="0" w:firstColumn="0" w:lastColumn="0" w:oddVBand="0" w:evenVBand="0" w:oddHBand="0" w:evenHBand="0" w:firstRowFirstColumn="0" w:firstRowLastColumn="0" w:lastRowFirstColumn="0" w:lastRowLastColumn="0"/>
            </w:pPr>
            <w:r>
              <w:t>Effective quality management systems in place</w:t>
            </w:r>
          </w:p>
          <w:p w14:paraId="69436BE9" w14:textId="74C530EE" w:rsidR="00F72A10" w:rsidRPr="00661054" w:rsidRDefault="00F72A10" w:rsidP="00661054">
            <w:pPr>
              <w:pStyle w:val="ListBullet"/>
              <w:cnfStyle w:val="000000000000" w:firstRow="0" w:lastRow="0" w:firstColumn="0" w:lastColumn="0" w:oddVBand="0" w:evenVBand="0" w:oddHBand="0" w:evenHBand="0" w:firstRowFirstColumn="0" w:firstRowLastColumn="0" w:lastRowFirstColumn="0" w:lastRowLastColumn="0"/>
            </w:pPr>
            <w:r>
              <w:t xml:space="preserve">Management </w:t>
            </w:r>
            <w:r w:rsidR="00FD7852">
              <w:t>is</w:t>
            </w:r>
            <w:r>
              <w:t xml:space="preserve"> compliance oriented</w:t>
            </w:r>
          </w:p>
        </w:tc>
        <w:tc>
          <w:tcPr>
            <w:tcW w:w="3673" w:type="dxa"/>
          </w:tcPr>
          <w:p w14:paraId="37B7CF22" w14:textId="77777777" w:rsidR="00FD7852" w:rsidRPr="00661054" w:rsidRDefault="00661054" w:rsidP="00661054">
            <w:pPr>
              <w:cnfStyle w:val="000000000000" w:firstRow="0" w:lastRow="0" w:firstColumn="0" w:lastColumn="0" w:oddVBand="0" w:evenVBand="0" w:oddHBand="0" w:evenHBand="0" w:firstRowFirstColumn="0" w:firstRowLastColumn="0" w:lastRowFirstColumn="0" w:lastRowLastColumn="0"/>
              <w:rPr>
                <w:b/>
              </w:rPr>
            </w:pPr>
            <w:r w:rsidRPr="00661054">
              <w:rPr>
                <w:b/>
              </w:rPr>
              <w:t>Help and support</w:t>
            </w:r>
          </w:p>
          <w:p w14:paraId="5A8FB7B7" w14:textId="24E6E97C" w:rsidR="00661054" w:rsidRPr="00FD7852" w:rsidRDefault="00661054" w:rsidP="00661054">
            <w:pPr>
              <w:pStyle w:val="ListBullet"/>
              <w:cnfStyle w:val="000000000000" w:firstRow="0" w:lastRow="0" w:firstColumn="0" w:lastColumn="0" w:oddVBand="0" w:evenVBand="0" w:oddHBand="0" w:evenHBand="0" w:firstRowFirstColumn="0" w:firstRowLastColumn="0" w:lastRowFirstColumn="0" w:lastRowLastColumn="0"/>
            </w:pPr>
            <w:r>
              <w:t>Make on-going compliance easy through clear education and guidance material</w:t>
            </w:r>
          </w:p>
        </w:tc>
      </w:tr>
      <w:tr w:rsidR="00F72A10" w14:paraId="2687EF8B" w14:textId="77777777" w:rsidTr="007C6E5D">
        <w:tc>
          <w:tcPr>
            <w:cnfStyle w:val="001000000000" w:firstRow="0" w:lastRow="0" w:firstColumn="1" w:lastColumn="0" w:oddVBand="0" w:evenVBand="0" w:oddHBand="0" w:evenHBand="0" w:firstRowFirstColumn="0" w:firstRowLastColumn="0" w:lastRowFirstColumn="0" w:lastRowLastColumn="0"/>
            <w:tcW w:w="1975" w:type="dxa"/>
          </w:tcPr>
          <w:p w14:paraId="301623B7" w14:textId="473A8FEA" w:rsidR="00F72A10" w:rsidRPr="007C6E5D" w:rsidRDefault="00F72A10" w:rsidP="00F72A10">
            <w:pPr>
              <w:rPr>
                <w:b/>
              </w:rPr>
            </w:pPr>
            <w:r w:rsidRPr="007C6E5D">
              <w:rPr>
                <w:b/>
              </w:rPr>
              <w:lastRenderedPageBreak/>
              <w:t>Medium</w:t>
            </w:r>
          </w:p>
        </w:tc>
        <w:tc>
          <w:tcPr>
            <w:tcW w:w="3402" w:type="dxa"/>
          </w:tcPr>
          <w:p w14:paraId="5F9EF968" w14:textId="57E42E09" w:rsidR="00F72A10" w:rsidRPr="00661054" w:rsidRDefault="00FD7852" w:rsidP="00F72A10">
            <w:pPr>
              <w:cnfStyle w:val="000000000000" w:firstRow="0" w:lastRow="0" w:firstColumn="0" w:lastColumn="0" w:oddVBand="0" w:evenVBand="0" w:oddHBand="0" w:evenHBand="0" w:firstRowFirstColumn="0" w:firstRowLastColumn="0" w:lastRowFirstColumn="0" w:lastRowLastColumn="0"/>
              <w:rPr>
                <w:b/>
              </w:rPr>
            </w:pPr>
            <w:r w:rsidRPr="00661054">
              <w:rPr>
                <w:b/>
              </w:rPr>
              <w:t xml:space="preserve">Accidental </w:t>
            </w:r>
            <w:r w:rsidR="00DF48B7">
              <w:rPr>
                <w:b/>
              </w:rPr>
              <w:t>non-</w:t>
            </w:r>
            <w:r w:rsidRPr="00661054">
              <w:rPr>
                <w:b/>
              </w:rPr>
              <w:t>compliance</w:t>
            </w:r>
          </w:p>
          <w:p w14:paraId="4B2FC988" w14:textId="77777777" w:rsidR="00FD7852" w:rsidRDefault="00FD7852" w:rsidP="00FD7852">
            <w:pPr>
              <w:pStyle w:val="ListBullet"/>
              <w:cnfStyle w:val="000000000000" w:firstRow="0" w:lastRow="0" w:firstColumn="0" w:lastColumn="0" w:oddVBand="0" w:evenVBand="0" w:oddHBand="0" w:evenHBand="0" w:firstRowFirstColumn="0" w:firstRowLastColumn="0" w:lastRowFirstColumn="0" w:lastRowLastColumn="0"/>
            </w:pPr>
            <w:r>
              <w:t>Trying to do the right thing but don’t always succeed</w:t>
            </w:r>
          </w:p>
          <w:p w14:paraId="1CB717B2" w14:textId="77777777" w:rsidR="00FD7852" w:rsidRDefault="00FD7852" w:rsidP="00FD7852">
            <w:pPr>
              <w:pStyle w:val="ListBullet"/>
              <w:cnfStyle w:val="000000000000" w:firstRow="0" w:lastRow="0" w:firstColumn="0" w:lastColumn="0" w:oddVBand="0" w:evenVBand="0" w:oddHBand="0" w:evenHBand="0" w:firstRowFirstColumn="0" w:firstRowLastColumn="0" w:lastRowFirstColumn="0" w:lastRowLastColumn="0"/>
            </w:pPr>
            <w:r>
              <w:t>Ineffective compliance and/or developing compliance systems</w:t>
            </w:r>
          </w:p>
          <w:p w14:paraId="5C64E3C4" w14:textId="1036F68B" w:rsidR="00FD7852" w:rsidRDefault="00FD7852" w:rsidP="00FD7852">
            <w:pPr>
              <w:pStyle w:val="ListBullet"/>
              <w:cnfStyle w:val="000000000000" w:firstRow="0" w:lastRow="0" w:firstColumn="0" w:lastColumn="0" w:oddVBand="0" w:evenVBand="0" w:oddHBand="0" w:evenHBand="0" w:firstRowFirstColumn="0" w:firstRowLastColumn="0" w:lastRowFirstColumn="0" w:lastRowLastColumn="0"/>
            </w:pPr>
            <w:r>
              <w:t>Management compliance orientation but lacks capability</w:t>
            </w:r>
          </w:p>
        </w:tc>
        <w:tc>
          <w:tcPr>
            <w:tcW w:w="3673" w:type="dxa"/>
          </w:tcPr>
          <w:p w14:paraId="46D51C73" w14:textId="77777777" w:rsidR="00F72A10" w:rsidRPr="00FD7852" w:rsidRDefault="00F72A10" w:rsidP="00F72A10">
            <w:pPr>
              <w:cnfStyle w:val="000000000000" w:firstRow="0" w:lastRow="0" w:firstColumn="0" w:lastColumn="0" w:oddVBand="0" w:evenVBand="0" w:oddHBand="0" w:evenHBand="0" w:firstRowFirstColumn="0" w:firstRowLastColumn="0" w:lastRowFirstColumn="0" w:lastRowLastColumn="0"/>
              <w:rPr>
                <w:b/>
              </w:rPr>
            </w:pPr>
            <w:r w:rsidRPr="00FD7852">
              <w:rPr>
                <w:b/>
              </w:rPr>
              <w:t>Inform and advise</w:t>
            </w:r>
          </w:p>
          <w:p w14:paraId="2582D090" w14:textId="1B45D00F" w:rsidR="00FD7852" w:rsidRDefault="00FD7852" w:rsidP="00FD7852">
            <w:pPr>
              <w:pStyle w:val="ListBullet"/>
              <w:cnfStyle w:val="000000000000" w:firstRow="0" w:lastRow="0" w:firstColumn="0" w:lastColumn="0" w:oddVBand="0" w:evenVBand="0" w:oddHBand="0" w:evenHBand="0" w:firstRowFirstColumn="0" w:firstRowLastColumn="0" w:lastRowFirstColumn="0" w:lastRowLastColumn="0"/>
            </w:pPr>
            <w:r w:rsidRPr="00003626">
              <w:t>Direct education and guidance in a legal obligations letter to help the manufacturer become and stay compliant</w:t>
            </w:r>
          </w:p>
        </w:tc>
      </w:tr>
      <w:tr w:rsidR="00F72A10" w14:paraId="40787095" w14:textId="77777777" w:rsidTr="007C6E5D">
        <w:tc>
          <w:tcPr>
            <w:cnfStyle w:val="001000000000" w:firstRow="0" w:lastRow="0" w:firstColumn="1" w:lastColumn="0" w:oddVBand="0" w:evenVBand="0" w:oddHBand="0" w:evenHBand="0" w:firstRowFirstColumn="0" w:firstRowLastColumn="0" w:lastRowFirstColumn="0" w:lastRowLastColumn="0"/>
            <w:tcW w:w="1975" w:type="dxa"/>
          </w:tcPr>
          <w:p w14:paraId="47FD690F" w14:textId="429B0AEB" w:rsidR="00F72A10" w:rsidRPr="007C6E5D" w:rsidRDefault="00F72A10" w:rsidP="00F72A10">
            <w:pPr>
              <w:rPr>
                <w:b/>
              </w:rPr>
            </w:pPr>
            <w:r w:rsidRPr="007C6E5D">
              <w:rPr>
                <w:b/>
              </w:rPr>
              <w:t>High</w:t>
            </w:r>
          </w:p>
        </w:tc>
        <w:tc>
          <w:tcPr>
            <w:tcW w:w="3402" w:type="dxa"/>
          </w:tcPr>
          <w:p w14:paraId="14AB37A7" w14:textId="77777777" w:rsidR="00F72A10" w:rsidRPr="00661054" w:rsidRDefault="00FD7852" w:rsidP="00F72A10">
            <w:pPr>
              <w:cnfStyle w:val="000000000000" w:firstRow="0" w:lastRow="0" w:firstColumn="0" w:lastColumn="0" w:oddVBand="0" w:evenVBand="0" w:oddHBand="0" w:evenHBand="0" w:firstRowFirstColumn="0" w:firstRowLastColumn="0" w:lastRowFirstColumn="0" w:lastRowLastColumn="0"/>
              <w:rPr>
                <w:b/>
              </w:rPr>
            </w:pPr>
            <w:r w:rsidRPr="00661054">
              <w:rPr>
                <w:b/>
              </w:rPr>
              <w:t>Opportunistic non-compliance</w:t>
            </w:r>
          </w:p>
          <w:p w14:paraId="35B7233A"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Don’t want to comply but will if made to</w:t>
            </w:r>
          </w:p>
          <w:p w14:paraId="2A0242BD"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Resistant to compliance</w:t>
            </w:r>
          </w:p>
          <w:p w14:paraId="058A77A4"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Limited or poor compliance systems</w:t>
            </w:r>
          </w:p>
          <w:p w14:paraId="5FB43BD0" w14:textId="4D1ED195"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Management not compliance orientated</w:t>
            </w:r>
          </w:p>
        </w:tc>
        <w:tc>
          <w:tcPr>
            <w:tcW w:w="3673" w:type="dxa"/>
          </w:tcPr>
          <w:p w14:paraId="65E55EA7" w14:textId="77777777" w:rsidR="00F72A10" w:rsidRPr="00661054" w:rsidRDefault="00F72A10" w:rsidP="00F72A10">
            <w:pPr>
              <w:cnfStyle w:val="000000000000" w:firstRow="0" w:lastRow="0" w:firstColumn="0" w:lastColumn="0" w:oddVBand="0" w:evenVBand="0" w:oddHBand="0" w:evenHBand="0" w:firstRowFirstColumn="0" w:firstRowLastColumn="0" w:lastRowFirstColumn="0" w:lastRowLastColumn="0"/>
              <w:rPr>
                <w:b/>
              </w:rPr>
            </w:pPr>
            <w:r w:rsidRPr="00661054">
              <w:rPr>
                <w:b/>
              </w:rPr>
              <w:t>Correct non-compliant behaviour</w:t>
            </w:r>
          </w:p>
          <w:p w14:paraId="60BFF928" w14:textId="77777777" w:rsidR="00FD7852" w:rsidRP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rPr>
                <w:szCs w:val="22"/>
              </w:rPr>
            </w:pPr>
            <w:r w:rsidRPr="00FD7852">
              <w:rPr>
                <w:szCs w:val="22"/>
              </w:rPr>
              <w:t>Send a formal warning letter and schedule a follow up inspection</w:t>
            </w:r>
          </w:p>
          <w:p w14:paraId="37144152" w14:textId="5646170D" w:rsidR="00FD7852" w:rsidRP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rPr>
                <w:szCs w:val="22"/>
              </w:rPr>
            </w:pPr>
            <w:r w:rsidRPr="00FD7852">
              <w:rPr>
                <w:szCs w:val="22"/>
              </w:rPr>
              <w:t>Giving notice of available compliance and enforcement options available to the TGA</w:t>
            </w:r>
          </w:p>
          <w:p w14:paraId="1E178882" w14:textId="77777777" w:rsidR="00FD7852" w:rsidRPr="00661054" w:rsidRDefault="00FD7852" w:rsidP="00661054">
            <w:pPr>
              <w:pStyle w:val="ListBullet"/>
              <w:cnfStyle w:val="000000000000" w:firstRow="0" w:lastRow="0" w:firstColumn="0" w:lastColumn="0" w:oddVBand="0" w:evenVBand="0" w:oddHBand="0" w:evenHBand="0" w:firstRowFirstColumn="0" w:firstRowLastColumn="0" w:lastRowFirstColumn="0" w:lastRowLastColumn="0"/>
              <w:rPr>
                <w:szCs w:val="22"/>
              </w:rPr>
            </w:pPr>
            <w:r w:rsidRPr="00661054">
              <w:rPr>
                <w:szCs w:val="22"/>
              </w:rPr>
              <w:t>Impose licence conditions to ensure compliance</w:t>
            </w:r>
          </w:p>
          <w:p w14:paraId="19FD16E0" w14:textId="5835AC15" w:rsidR="00FD7852" w:rsidRPr="00661054" w:rsidRDefault="00FD7852" w:rsidP="00661054">
            <w:pPr>
              <w:pStyle w:val="ListBullet"/>
              <w:cnfStyle w:val="000000000000" w:firstRow="0" w:lastRow="0" w:firstColumn="0" w:lastColumn="0" w:oddVBand="0" w:evenVBand="0" w:oddHBand="0" w:evenHBand="0" w:firstRowFirstColumn="0" w:firstRowLastColumn="0" w:lastRowFirstColumn="0" w:lastRowLastColumn="0"/>
              <w:rPr>
                <w:szCs w:val="22"/>
              </w:rPr>
            </w:pPr>
            <w:r w:rsidRPr="00661054">
              <w:rPr>
                <w:szCs w:val="22"/>
              </w:rPr>
              <w:t>Enforceable undertakings</w:t>
            </w:r>
          </w:p>
          <w:p w14:paraId="206792D3" w14:textId="1578B54B"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rsidRPr="00661054">
              <w:rPr>
                <w:szCs w:val="22"/>
              </w:rPr>
              <w:t>Infringement notices</w:t>
            </w:r>
          </w:p>
        </w:tc>
      </w:tr>
      <w:tr w:rsidR="00F72A10" w14:paraId="6DCE785F" w14:textId="77777777" w:rsidTr="007C6E5D">
        <w:tc>
          <w:tcPr>
            <w:cnfStyle w:val="001000000000" w:firstRow="0" w:lastRow="0" w:firstColumn="1" w:lastColumn="0" w:oddVBand="0" w:evenVBand="0" w:oddHBand="0" w:evenHBand="0" w:firstRowFirstColumn="0" w:firstRowLastColumn="0" w:lastRowFirstColumn="0" w:lastRowLastColumn="0"/>
            <w:tcW w:w="1975" w:type="dxa"/>
          </w:tcPr>
          <w:p w14:paraId="6783EC5A" w14:textId="31E7EBF9" w:rsidR="00F72A10" w:rsidRPr="007C6E5D" w:rsidRDefault="00F72A10" w:rsidP="00F72A10">
            <w:pPr>
              <w:rPr>
                <w:b/>
              </w:rPr>
            </w:pPr>
            <w:r w:rsidRPr="007C6E5D">
              <w:rPr>
                <w:b/>
              </w:rPr>
              <w:t>Critical</w:t>
            </w:r>
          </w:p>
        </w:tc>
        <w:tc>
          <w:tcPr>
            <w:tcW w:w="3402" w:type="dxa"/>
          </w:tcPr>
          <w:p w14:paraId="1C715C34" w14:textId="77777777" w:rsidR="00F72A10" w:rsidRPr="00661054" w:rsidRDefault="00FD7852" w:rsidP="00F72A10">
            <w:pPr>
              <w:cnfStyle w:val="000000000000" w:firstRow="0" w:lastRow="0" w:firstColumn="0" w:lastColumn="0" w:oddVBand="0" w:evenVBand="0" w:oddHBand="0" w:evenHBand="0" w:firstRowFirstColumn="0" w:firstRowLastColumn="0" w:lastRowFirstColumn="0" w:lastRowLastColumn="0"/>
              <w:rPr>
                <w:b/>
              </w:rPr>
            </w:pPr>
            <w:r w:rsidRPr="00661054">
              <w:rPr>
                <w:b/>
              </w:rPr>
              <w:t>Intentional non-compliance</w:t>
            </w:r>
          </w:p>
          <w:p w14:paraId="2D312682"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Decision to be non-compliant</w:t>
            </w:r>
          </w:p>
          <w:p w14:paraId="42D4C9B8"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No or ineffective compliance systems</w:t>
            </w:r>
          </w:p>
          <w:p w14:paraId="4B0F2BEF" w14:textId="76D6695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Reckless attitude to manufacturing licence obligations</w:t>
            </w:r>
          </w:p>
        </w:tc>
        <w:tc>
          <w:tcPr>
            <w:tcW w:w="3673" w:type="dxa"/>
          </w:tcPr>
          <w:p w14:paraId="3CE9C77E" w14:textId="77777777" w:rsidR="00F72A10" w:rsidRPr="00661054" w:rsidRDefault="00F72A10" w:rsidP="00F72A10">
            <w:pPr>
              <w:cnfStyle w:val="000000000000" w:firstRow="0" w:lastRow="0" w:firstColumn="0" w:lastColumn="0" w:oddVBand="0" w:evenVBand="0" w:oddHBand="0" w:evenHBand="0" w:firstRowFirstColumn="0" w:firstRowLastColumn="0" w:lastRowFirstColumn="0" w:lastRowLastColumn="0"/>
              <w:rPr>
                <w:b/>
              </w:rPr>
            </w:pPr>
            <w:r w:rsidRPr="00661054">
              <w:rPr>
                <w:b/>
              </w:rPr>
              <w:t>Enforce penalties</w:t>
            </w:r>
          </w:p>
          <w:p w14:paraId="67556C46"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Criminal offences</w:t>
            </w:r>
          </w:p>
          <w:p w14:paraId="44DF974E" w14:textId="7777777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Civil penalties</w:t>
            </w:r>
          </w:p>
          <w:p w14:paraId="2015579A" w14:textId="793E8DA7" w:rsidR="00FD7852" w:rsidRDefault="00FD7852" w:rsidP="00661054">
            <w:pPr>
              <w:pStyle w:val="ListBullet"/>
              <w:cnfStyle w:val="000000000000" w:firstRow="0" w:lastRow="0" w:firstColumn="0" w:lastColumn="0" w:oddVBand="0" w:evenVBand="0" w:oddHBand="0" w:evenHBand="0" w:firstRowFirstColumn="0" w:firstRowLastColumn="0" w:lastRowFirstColumn="0" w:lastRowLastColumn="0"/>
            </w:pPr>
            <w:r>
              <w:t>Infringement notice</w:t>
            </w:r>
          </w:p>
        </w:tc>
      </w:tr>
    </w:tbl>
    <w:p w14:paraId="15C9C25E" w14:textId="77777777" w:rsidR="00D20077" w:rsidRDefault="00D20077" w:rsidP="003718DF">
      <w:pPr>
        <w:pStyle w:val="Heading2"/>
      </w:pPr>
      <w:bookmarkStart w:id="15" w:name="_Toc69198505"/>
      <w:r w:rsidRPr="00E403D2">
        <w:t xml:space="preserve">Regulatory </w:t>
      </w:r>
      <w:r w:rsidRPr="003718DF">
        <w:t>actions</w:t>
      </w:r>
      <w:r w:rsidRPr="00E403D2">
        <w:t xml:space="preserve"> for domestic licensed manufacturers</w:t>
      </w:r>
      <w:bookmarkEnd w:id="15"/>
    </w:p>
    <w:p w14:paraId="78325933" w14:textId="7DA7E453" w:rsidR="00D20077" w:rsidRDefault="00D20077" w:rsidP="003718DF">
      <w:r>
        <w:t>A</w:t>
      </w:r>
      <w:r w:rsidRPr="00C14887">
        <w:t xml:space="preserve"> range of </w:t>
      </w:r>
      <w:hyperlink w:anchor="_Compliance_and_enforcement" w:history="1">
        <w:r w:rsidRPr="00F454C1">
          <w:rPr>
            <w:rStyle w:val="Hyperlink"/>
            <w:szCs w:val="22"/>
          </w:rPr>
          <w:t>compliance and enforcement tools</w:t>
        </w:r>
      </w:hyperlink>
      <w:r w:rsidRPr="00C14887">
        <w:t xml:space="preserve"> are employed </w:t>
      </w:r>
      <w:r>
        <w:t xml:space="preserve">by us </w:t>
      </w:r>
      <w:r w:rsidRPr="00C14887">
        <w:t xml:space="preserve">to address alleged non-compliance, either individually or in combination, and to encourage compliance with the </w:t>
      </w:r>
      <w:hyperlink r:id="rId37" w:history="1">
        <w:r w:rsidRPr="0090077D">
          <w:rPr>
            <w:rStyle w:val="Hyperlink"/>
            <w:i/>
            <w:szCs w:val="22"/>
          </w:rPr>
          <w:t>Therapeutic Goods Act 1989</w:t>
        </w:r>
      </w:hyperlink>
      <w:r w:rsidRPr="00C14887">
        <w:t xml:space="preserve">. </w:t>
      </w:r>
      <w:r>
        <w:t>These tools are illustrated in the diagram below.</w:t>
      </w:r>
    </w:p>
    <w:p w14:paraId="3E94FD8D" w14:textId="374F85EC" w:rsidR="00D20077" w:rsidRDefault="00D20077" w:rsidP="00CF6CC1">
      <w:pPr>
        <w:pStyle w:val="Figuretitle"/>
        <w:keepNext/>
      </w:pPr>
      <w:r>
        <w:lastRenderedPageBreak/>
        <w:t>GMP compliance and enforcement tools</w:t>
      </w:r>
    </w:p>
    <w:p w14:paraId="00D16E21" w14:textId="16448AC0" w:rsidR="00A42A16" w:rsidRPr="00A42A16" w:rsidRDefault="00A42A16" w:rsidP="00A42A16">
      <w:r w:rsidRPr="00A42A16">
        <w:rPr>
          <w:noProof/>
          <w:lang w:eastAsia="en-AU"/>
        </w:rPr>
        <w:drawing>
          <wp:inline distT="0" distB="0" distL="0" distR="0" wp14:anchorId="01AAFB67" wp14:editId="4DC4F424">
            <wp:extent cx="4403750" cy="3101274"/>
            <wp:effectExtent l="0" t="0" r="0" b="4445"/>
            <wp:docPr id="1" name="Picture 1" descr="The GMP compliance and enforcement tools are depicted in a triangle with the least serious intervention at the base and the most serious at the apex. Starting from the base of the triangle the tools are:&#10;Line 1- Education and guidance&#10;Line 2 - Directly inform and advise&#10;Line 3 - Warning letters&#10;Line 4 - Suspension from the ARTG&#10;Line 5 - Cancellation from the ARTG&#10;Line 6 - Enforceable undertakings&#10;Line 7 - Injunctions&#10;Line 8 - Infringement notices&#10;Line 9 - Suspension of manufacturirng licence&#10;Line 10 - Revocation of manufacturing licence&#10;Line 11 - Civil penalties&#10;Line 12 - Criminal prosecutions" title="Diagram of the GMP compliance and enforce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Reg Action Triangle visio v2 jpg.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8104" cy="3139552"/>
                    </a:xfrm>
                    <a:prstGeom prst="rect">
                      <a:avLst/>
                    </a:prstGeom>
                    <a:noFill/>
                    <a:ln>
                      <a:noFill/>
                    </a:ln>
                  </pic:spPr>
                </pic:pic>
              </a:graphicData>
            </a:graphic>
          </wp:inline>
        </w:drawing>
      </w:r>
    </w:p>
    <w:p w14:paraId="66BD87DC" w14:textId="77777777" w:rsidR="00D20077" w:rsidRDefault="00D20077" w:rsidP="003718DF">
      <w:r>
        <w:t xml:space="preserve">For further information on the regulatory actions and enforcements, see </w:t>
      </w:r>
      <w:hyperlink r:id="rId39" w:history="1">
        <w:r w:rsidRPr="00C14887">
          <w:rPr>
            <w:rStyle w:val="Hyperlink"/>
          </w:rPr>
          <w:t>Compliance actions and outcomes</w:t>
        </w:r>
      </w:hyperlink>
      <w:r>
        <w:t>.</w:t>
      </w:r>
    </w:p>
    <w:p w14:paraId="07387BC5" w14:textId="18E8A16A" w:rsidR="004E7CBC" w:rsidRDefault="004E7CBC" w:rsidP="003718DF">
      <w:pPr>
        <w:pStyle w:val="Heading2"/>
      </w:pPr>
      <w:bookmarkStart w:id="16" w:name="_Toc69198506"/>
      <w:r>
        <w:t xml:space="preserve">Regulatory </w:t>
      </w:r>
      <w:r w:rsidR="00C07B97">
        <w:t>a</w:t>
      </w:r>
      <w:r>
        <w:t xml:space="preserve">ctions for </w:t>
      </w:r>
      <w:r w:rsidR="00C07B97" w:rsidRPr="003718DF">
        <w:t>overseas</w:t>
      </w:r>
      <w:r w:rsidR="00C07B97">
        <w:t xml:space="preserve"> </w:t>
      </w:r>
      <w:r w:rsidR="00523ED0">
        <w:t>manufacturers</w:t>
      </w:r>
      <w:bookmarkEnd w:id="16"/>
    </w:p>
    <w:p w14:paraId="1CF0FA8D" w14:textId="308F89B9" w:rsidR="004E7CBC" w:rsidRDefault="004E7CBC" w:rsidP="003718DF">
      <w:r w:rsidRPr="00987DAB">
        <w:t>Overseas manufacturers of medicines supplied to Australia are also required to meet an acceptable standard of GMP</w:t>
      </w:r>
      <w:r>
        <w:t xml:space="preserve"> </w:t>
      </w:r>
      <w:r w:rsidRPr="00A04870">
        <w:t xml:space="preserve">(the </w:t>
      </w:r>
      <w:hyperlink r:id="rId40" w:history="1">
        <w:r w:rsidRPr="00A04870">
          <w:rPr>
            <w:rStyle w:val="Hyperlink"/>
            <w:szCs w:val="22"/>
          </w:rPr>
          <w:t>Manufacturing Principles</w:t>
        </w:r>
      </w:hyperlink>
      <w:r w:rsidRPr="00A04870">
        <w:t xml:space="preserve"> or equivalent standards).</w:t>
      </w:r>
    </w:p>
    <w:p w14:paraId="56367320" w14:textId="4F5E1DA6" w:rsidR="00647F05" w:rsidRDefault="00647F05" w:rsidP="003718DF">
      <w:bookmarkStart w:id="17" w:name="_Toc323739591"/>
      <w:bookmarkStart w:id="18" w:name="_Toc356305218"/>
      <w:r w:rsidRPr="006D7225">
        <w:t xml:space="preserve">The process </w:t>
      </w:r>
      <w:r w:rsidR="00C56A3E">
        <w:t xml:space="preserve">for </w:t>
      </w:r>
      <w:r w:rsidR="006D5D91">
        <w:t xml:space="preserve">managing </w:t>
      </w:r>
      <w:r w:rsidR="008B737F">
        <w:t xml:space="preserve">GMP </w:t>
      </w:r>
      <w:r w:rsidR="006D5D91">
        <w:t xml:space="preserve">compliance signals relating to </w:t>
      </w:r>
      <w:r w:rsidR="00C56A3E">
        <w:t>overseas manufactur</w:t>
      </w:r>
      <w:r w:rsidR="006D5D91">
        <w:t>ing sites</w:t>
      </w:r>
      <w:r w:rsidR="00C56A3E">
        <w:t xml:space="preserve"> </w:t>
      </w:r>
      <w:r w:rsidRPr="006D7225">
        <w:t>is illustrated in the flow chart below.</w:t>
      </w:r>
    </w:p>
    <w:p w14:paraId="01BFE062" w14:textId="61F0524E" w:rsidR="003C19D4" w:rsidRDefault="00C56A3E" w:rsidP="00CF6CC1">
      <w:pPr>
        <w:pStyle w:val="Figuretitle"/>
        <w:keepNext/>
      </w:pPr>
      <w:r>
        <w:lastRenderedPageBreak/>
        <w:t xml:space="preserve">Compliance </w:t>
      </w:r>
      <w:r w:rsidR="00566BBB">
        <w:t xml:space="preserve">signal </w:t>
      </w:r>
      <w:r>
        <w:t>process flow chart for overseas manufacturing sites</w:t>
      </w:r>
    </w:p>
    <w:p w14:paraId="699CCC4D" w14:textId="45C8111D" w:rsidR="000544F8" w:rsidRPr="00A31A7E" w:rsidRDefault="00CF6CC1" w:rsidP="008F71AD">
      <w:pPr>
        <w:ind w:left="1440"/>
      </w:pPr>
      <w:r w:rsidRPr="00CF6CC1">
        <w:rPr>
          <w:noProof/>
          <w:lang w:eastAsia="en-AU"/>
        </w:rPr>
        <w:drawing>
          <wp:inline distT="0" distB="0" distL="0" distR="0" wp14:anchorId="2BF4594D" wp14:editId="6468DF4D">
            <wp:extent cx="3217527" cy="8712000"/>
            <wp:effectExtent l="0" t="0" r="2540" b="0"/>
            <wp:docPr id="2" name="Picture 2" descr="Compliance signal process flow chart for overseas manufacturing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1\Higgdo\Desktop\GMP flowchart for Kim v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17527" cy="8712000"/>
                    </a:xfrm>
                    <a:prstGeom prst="rect">
                      <a:avLst/>
                    </a:prstGeom>
                    <a:noFill/>
                    <a:ln>
                      <a:noFill/>
                    </a:ln>
                  </pic:spPr>
                </pic:pic>
              </a:graphicData>
            </a:graphic>
          </wp:inline>
        </w:drawing>
      </w:r>
    </w:p>
    <w:p w14:paraId="44254932" w14:textId="4EA85525" w:rsidR="008C278D" w:rsidRPr="001574BC" w:rsidRDefault="005E705F" w:rsidP="003718DF">
      <w:pPr>
        <w:pStyle w:val="Heading3"/>
      </w:pPr>
      <w:bookmarkStart w:id="19" w:name="_Toc69198507"/>
      <w:r>
        <w:lastRenderedPageBreak/>
        <w:t>GMP Compliance s</w:t>
      </w:r>
      <w:r w:rsidR="005C2BB5" w:rsidRPr="001574BC">
        <w:t xml:space="preserve">ignal review and </w:t>
      </w:r>
      <w:r w:rsidR="005C2BB5" w:rsidRPr="003718DF">
        <w:t>investigation</w:t>
      </w:r>
      <w:bookmarkEnd w:id="19"/>
    </w:p>
    <w:p w14:paraId="747205C9" w14:textId="2AD74229" w:rsidR="00016F04" w:rsidRDefault="00C56A3E" w:rsidP="003718DF">
      <w:r>
        <w:t xml:space="preserve">During the </w:t>
      </w:r>
      <w:r w:rsidR="005E705F">
        <w:t xml:space="preserve">GMP Compliance </w:t>
      </w:r>
      <w:r w:rsidR="00752154" w:rsidRPr="00752154">
        <w:t>signal review</w:t>
      </w:r>
      <w:r w:rsidR="005E705F">
        <w:t xml:space="preserve"> and </w:t>
      </w:r>
      <w:r w:rsidR="00752154" w:rsidRPr="00752154">
        <w:t>investigation</w:t>
      </w:r>
      <w:r>
        <w:t xml:space="preserve"> phase, all</w:t>
      </w:r>
      <w:r w:rsidR="005E705F">
        <w:t xml:space="preserve"> GMP</w:t>
      </w:r>
      <w:r>
        <w:t xml:space="preserve"> clearance applications related to the site are placed on hold pending the outcome of the assessment. </w:t>
      </w:r>
      <w:r w:rsidR="00016F04">
        <w:t>N</w:t>
      </w:r>
      <w:r>
        <w:t xml:space="preserve">o further assessment is conducted until requested documentation </w:t>
      </w:r>
      <w:r w:rsidR="00016F04">
        <w:t xml:space="preserve">to support supply </w:t>
      </w:r>
      <w:r>
        <w:t>is provided</w:t>
      </w:r>
      <w:r w:rsidR="00016F04">
        <w:t xml:space="preserve"> from the site in question.</w:t>
      </w:r>
    </w:p>
    <w:p w14:paraId="532381BE" w14:textId="3BC51C22" w:rsidR="00C56A3E" w:rsidRDefault="00C56A3E" w:rsidP="003718DF">
      <w:r>
        <w:t xml:space="preserve">Sponsors will be requested to provide </w:t>
      </w:r>
      <w:hyperlink w:anchor="_Risk_assessments" w:history="1">
        <w:r w:rsidRPr="00293194">
          <w:rPr>
            <w:rStyle w:val="Hyperlink"/>
            <w:szCs w:val="22"/>
          </w:rPr>
          <w:t>risk assessment</w:t>
        </w:r>
      </w:hyperlink>
      <w:r w:rsidR="005E705F">
        <w:rPr>
          <w:rStyle w:val="Hyperlink"/>
          <w:szCs w:val="22"/>
        </w:rPr>
        <w:t>s</w:t>
      </w:r>
      <w:r>
        <w:t xml:space="preserve"> for products supplied (or intended to be supplied) in Australia. Additional </w:t>
      </w:r>
      <w:hyperlink w:anchor="_Request_for_additional" w:history="1">
        <w:r w:rsidRPr="00293194">
          <w:rPr>
            <w:rStyle w:val="Hyperlink"/>
            <w:szCs w:val="22"/>
          </w:rPr>
          <w:t>further information</w:t>
        </w:r>
      </w:hyperlink>
      <w:r>
        <w:t xml:space="preserve"> may als</w:t>
      </w:r>
      <w:r w:rsidR="003718DF">
        <w:t>o be requested where warranted.</w:t>
      </w:r>
    </w:p>
    <w:p w14:paraId="2D58DAEE" w14:textId="1F11F0F1" w:rsidR="00697317" w:rsidRDefault="00697317" w:rsidP="003718DF">
      <w:r>
        <w:t>If you require an extension</w:t>
      </w:r>
      <w:r w:rsidRPr="00A01ACD">
        <w:t xml:space="preserve"> for the provision of the risk assessment</w:t>
      </w:r>
      <w:r w:rsidR="00F254BE">
        <w:t xml:space="preserve"> and information</w:t>
      </w:r>
      <w:r w:rsidRPr="00A01ACD">
        <w:t xml:space="preserve">, please notify </w:t>
      </w:r>
      <w:hyperlink r:id="rId42" w:anchor="contacts" w:history="1">
        <w:r w:rsidRPr="00EF6AFE">
          <w:rPr>
            <w:rStyle w:val="Hyperlink"/>
            <w:szCs w:val="22"/>
          </w:rPr>
          <w:t>GMP Compliance</w:t>
        </w:r>
        <w:r w:rsidRPr="00752154">
          <w:rPr>
            <w:rStyle w:val="Hyperlink"/>
            <w:szCs w:val="22"/>
          </w:rPr>
          <w:t xml:space="preserve"> </w:t>
        </w:r>
      </w:hyperlink>
      <w:r w:rsidR="00EF6AFE">
        <w:t>a</w:t>
      </w:r>
      <w:r w:rsidRPr="00A01ACD">
        <w:t xml:space="preserve">s soon as practicable and provide an estimated timeframe and justification for the extension. </w:t>
      </w:r>
      <w:r>
        <w:t>Extensions</w:t>
      </w:r>
      <w:r w:rsidRPr="00A01ACD">
        <w:t xml:space="preserve"> will delay any </w:t>
      </w:r>
      <w:r w:rsidR="005E705F">
        <w:t>determinations</w:t>
      </w:r>
      <w:r w:rsidRPr="00A01ACD">
        <w:t xml:space="preserve"> made by </w:t>
      </w:r>
      <w:r>
        <w:t>us</w:t>
      </w:r>
      <w:r w:rsidRPr="00A01ACD">
        <w:t xml:space="preserve"> for the </w:t>
      </w:r>
      <w:r w:rsidR="005E705F">
        <w:t xml:space="preserve">GMP Compliance </w:t>
      </w:r>
      <w:r w:rsidRPr="00A01ACD">
        <w:t xml:space="preserve">signal. If the requested information is not provided by the specified due date, the assessment will progress and </w:t>
      </w:r>
      <w:r>
        <w:t xml:space="preserve">we may take </w:t>
      </w:r>
      <w:r w:rsidRPr="00A01ACD">
        <w:t>further regulator</w:t>
      </w:r>
      <w:r>
        <w:t>y action.</w:t>
      </w:r>
    </w:p>
    <w:p w14:paraId="14352C92" w14:textId="69E3A3FC" w:rsidR="00C56A3E" w:rsidRPr="009947EF" w:rsidRDefault="00C56A3E" w:rsidP="003718DF">
      <w:r>
        <w:t xml:space="preserve">Sponsors will be notified of the </w:t>
      </w:r>
      <w:r w:rsidR="0029376A" w:rsidRPr="0029376A">
        <w:t>outcome</w:t>
      </w:r>
      <w:r>
        <w:t xml:space="preserve"> of the compliance review and investigation including any further compliance regulatory action that is required to </w:t>
      </w:r>
      <w:r w:rsidR="003718DF">
        <w:t>be taken to address the signal.</w:t>
      </w:r>
    </w:p>
    <w:p w14:paraId="5C7473E3" w14:textId="43E80CE5" w:rsidR="00D45FB9" w:rsidRPr="0072576F" w:rsidRDefault="00D45FB9" w:rsidP="003718DF">
      <w:bookmarkStart w:id="20" w:name="_Compliance_signal_investigation"/>
      <w:bookmarkEnd w:id="20"/>
      <w:r w:rsidRPr="0072576F">
        <w:t xml:space="preserve">The outcome of a compliance signal investigation may determine that action is required against a </w:t>
      </w:r>
      <w:hyperlink w:anchor="_Licencing_and_GMP" w:history="1">
        <w:r w:rsidR="00B62E6A">
          <w:rPr>
            <w:rStyle w:val="Hyperlink"/>
            <w:rFonts w:asciiTheme="minorHAnsi" w:hAnsiTheme="minorHAnsi"/>
            <w:szCs w:val="22"/>
          </w:rPr>
          <w:t>GMP clearance</w:t>
        </w:r>
      </w:hyperlink>
      <w:r w:rsidRPr="0072576F">
        <w:t>. The action taken may be</w:t>
      </w:r>
      <w:r>
        <w:t xml:space="preserve"> one or a combination of the following</w:t>
      </w:r>
      <w:r w:rsidRPr="0072576F">
        <w:t>:</w:t>
      </w:r>
    </w:p>
    <w:p w14:paraId="7A8EB69C" w14:textId="5B367FE7" w:rsidR="00D45FB9" w:rsidRPr="003718DF" w:rsidRDefault="00D45FB9" w:rsidP="003718DF">
      <w:pPr>
        <w:pStyle w:val="ListBullet"/>
      </w:pPr>
      <w:r w:rsidRPr="003718DF">
        <w:t>reduction of clearance validity</w:t>
      </w:r>
    </w:p>
    <w:p w14:paraId="50007522" w14:textId="065DA919" w:rsidR="00D45FB9" w:rsidRPr="003718DF" w:rsidRDefault="00D45FB9" w:rsidP="003718DF">
      <w:pPr>
        <w:pStyle w:val="ListBullet"/>
      </w:pPr>
      <w:r w:rsidRPr="003718DF">
        <w:t>reduction of the clearance scope</w:t>
      </w:r>
    </w:p>
    <w:p w14:paraId="3C9A79EF" w14:textId="511AA619" w:rsidR="00D45FB9" w:rsidRPr="003718DF" w:rsidRDefault="00D45FB9" w:rsidP="003718DF">
      <w:pPr>
        <w:pStyle w:val="ListBullet"/>
      </w:pPr>
      <w:r w:rsidRPr="003718DF">
        <w:t xml:space="preserve">addition of a condition or restriction to the clearance </w:t>
      </w:r>
    </w:p>
    <w:p w14:paraId="0D44A4D6" w14:textId="05C8D4E3" w:rsidR="00D45FB9" w:rsidRPr="003718DF" w:rsidRDefault="00D45FB9" w:rsidP="003718DF">
      <w:pPr>
        <w:pStyle w:val="ListBullet"/>
      </w:pPr>
      <w:r w:rsidRPr="003718DF">
        <w:t>suspension of clearance</w:t>
      </w:r>
    </w:p>
    <w:p w14:paraId="1D746582" w14:textId="458F123E" w:rsidR="00D45FB9" w:rsidRDefault="00D45FB9" w:rsidP="003718DF">
      <w:pPr>
        <w:pStyle w:val="ListBullet"/>
      </w:pPr>
      <w:r w:rsidRPr="003718DF">
        <w:t>cancellation of clearanc</w:t>
      </w:r>
      <w:r w:rsidRPr="0072576F">
        <w:t>e</w:t>
      </w:r>
    </w:p>
    <w:p w14:paraId="4579EB3D" w14:textId="77777777" w:rsidR="00D45FB9" w:rsidRPr="00D734A3" w:rsidRDefault="00D45FB9" w:rsidP="003718DF">
      <w:pPr>
        <w:pStyle w:val="ListBullet"/>
      </w:pPr>
      <w:r>
        <w:t xml:space="preserve">TGA </w:t>
      </w:r>
      <w:hyperlink r:id="rId43" w:history="1">
        <w:r w:rsidRPr="008F5DBE">
          <w:rPr>
            <w:rStyle w:val="Hyperlink"/>
            <w:rFonts w:asciiTheme="minorHAnsi" w:hAnsiTheme="minorHAnsi"/>
          </w:rPr>
          <w:t>compliance inspection</w:t>
        </w:r>
      </w:hyperlink>
      <w:r>
        <w:rPr>
          <w:rFonts w:asciiTheme="minorHAnsi" w:hAnsiTheme="minorHAnsi"/>
        </w:rPr>
        <w:t xml:space="preserve"> (on site, remote or hybrid </w:t>
      </w:r>
      <w:r w:rsidRPr="003718DF">
        <w:t>inspection</w:t>
      </w:r>
      <w:r>
        <w:rPr>
          <w:rFonts w:asciiTheme="minorHAnsi" w:hAnsiTheme="minorHAnsi"/>
        </w:rPr>
        <w:t>)</w:t>
      </w:r>
    </w:p>
    <w:p w14:paraId="460B40EB" w14:textId="485B01A0" w:rsidR="00D45FB9" w:rsidRPr="008F71AD" w:rsidRDefault="008226B3" w:rsidP="00A8136D">
      <w:pPr>
        <w:pStyle w:val="ListBullet"/>
        <w:rPr>
          <w:rStyle w:val="Hyperlink"/>
          <w:color w:val="auto"/>
          <w:u w:val="none"/>
        </w:rPr>
      </w:pPr>
      <w:r>
        <w:t xml:space="preserve">product </w:t>
      </w:r>
      <w:hyperlink r:id="rId44" w:history="1">
        <w:r w:rsidRPr="00F454C1">
          <w:rPr>
            <w:rStyle w:val="Hyperlink"/>
          </w:rPr>
          <w:t>recalls</w:t>
        </w:r>
      </w:hyperlink>
    </w:p>
    <w:p w14:paraId="665A2E0A" w14:textId="2BCD7074" w:rsidR="000A7931" w:rsidRPr="008226B3" w:rsidRDefault="000A7931" w:rsidP="00A8136D">
      <w:pPr>
        <w:pStyle w:val="ListBullet"/>
        <w:rPr>
          <w:rStyle w:val="Hyperlink"/>
          <w:color w:val="auto"/>
          <w:u w:val="none"/>
        </w:rPr>
      </w:pPr>
      <w:r>
        <w:rPr>
          <w:rStyle w:val="Hyperlink"/>
        </w:rPr>
        <w:t>action against the ARTGs</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8226B3" w:rsidRPr="00215D48" w14:paraId="2319D2CC" w14:textId="77777777" w:rsidTr="00C07B97">
        <w:tc>
          <w:tcPr>
            <w:tcW w:w="20" w:type="dxa"/>
            <w:vAlign w:val="center"/>
          </w:tcPr>
          <w:p w14:paraId="198FA530" w14:textId="77777777" w:rsidR="008226B3" w:rsidRPr="00215D48" w:rsidRDefault="008226B3" w:rsidP="00A8136D">
            <w:pPr>
              <w:pStyle w:val="ListBullet"/>
              <w:numPr>
                <w:ilvl w:val="0"/>
                <w:numId w:val="0"/>
              </w:numPr>
              <w:ind w:left="360"/>
              <w:rPr>
                <w:sz w:val="20"/>
              </w:rPr>
            </w:pPr>
          </w:p>
        </w:tc>
        <w:tc>
          <w:tcPr>
            <w:tcW w:w="9018" w:type="dxa"/>
            <w:shd w:val="clear" w:color="auto" w:fill="EAEAEA"/>
            <w:tcMar>
              <w:top w:w="170" w:type="dxa"/>
              <w:left w:w="170" w:type="dxa"/>
              <w:bottom w:w="170" w:type="dxa"/>
              <w:right w:w="170" w:type="dxa"/>
            </w:tcMar>
            <w:vAlign w:val="center"/>
          </w:tcPr>
          <w:p w14:paraId="6854B144" w14:textId="31A1B533" w:rsidR="008226B3" w:rsidRPr="00916752" w:rsidRDefault="008226B3" w:rsidP="008226B3">
            <w:r w:rsidRPr="00916752">
              <w:t xml:space="preserve">Where an issued </w:t>
            </w:r>
            <w:r w:rsidR="005E705F">
              <w:t xml:space="preserve">GMP </w:t>
            </w:r>
            <w:r w:rsidRPr="00916752">
              <w:t xml:space="preserve">clearance includes </w:t>
            </w:r>
            <w:r w:rsidR="005E705F">
              <w:t>dosage forms</w:t>
            </w:r>
            <w:r w:rsidR="00A70E30">
              <w:t xml:space="preserve"> that</w:t>
            </w:r>
            <w:r w:rsidRPr="00916752">
              <w:t xml:space="preserve"> are </w:t>
            </w:r>
            <w:r w:rsidRPr="005A2DC5">
              <w:rPr>
                <w:b/>
              </w:rPr>
              <w:t>not supplied</w:t>
            </w:r>
            <w:r w:rsidRPr="00916752">
              <w:t xml:space="preserve"> or </w:t>
            </w:r>
            <w:r w:rsidRPr="005A2DC5">
              <w:rPr>
                <w:b/>
              </w:rPr>
              <w:t>not included</w:t>
            </w:r>
            <w:r w:rsidRPr="00916752">
              <w:t xml:space="preserve"> in the requested risk assessment, </w:t>
            </w:r>
            <w:r>
              <w:t>we</w:t>
            </w:r>
            <w:r w:rsidRPr="00916752">
              <w:t xml:space="preserve"> may take action including, but not limited to, </w:t>
            </w:r>
            <w:proofErr w:type="gramStart"/>
            <w:r w:rsidRPr="00916752">
              <w:t>removing</w:t>
            </w:r>
            <w:proofErr w:type="gramEnd"/>
            <w:r w:rsidRPr="00916752">
              <w:t xml:space="preserve"> these </w:t>
            </w:r>
            <w:r w:rsidR="005E705F">
              <w:t>dosage forms</w:t>
            </w:r>
            <w:r w:rsidRPr="00916752">
              <w:t xml:space="preserve">/manufacturing steps from an issued </w:t>
            </w:r>
            <w:r w:rsidR="005E705F">
              <w:t xml:space="preserve">GMP </w:t>
            </w:r>
            <w:r w:rsidRPr="00916752">
              <w:t>clearance.</w:t>
            </w:r>
          </w:p>
          <w:p w14:paraId="36C0F23D" w14:textId="1D3C85CF" w:rsidR="008226B3" w:rsidRPr="00215D48" w:rsidRDefault="008226B3" w:rsidP="00473869">
            <w:r w:rsidRPr="00916752">
              <w:t>Any product submissions related to the non-compliant manufacturing site may als</w:t>
            </w:r>
            <w:r>
              <w:t>o be impacted. Please ensure</w:t>
            </w:r>
            <w:r w:rsidRPr="00916752">
              <w:t xml:space="preserve"> </w:t>
            </w:r>
            <w:r w:rsidR="005E705F">
              <w:t xml:space="preserve">the </w:t>
            </w:r>
            <w:r w:rsidRPr="00916752">
              <w:t>requested risk assessment</w:t>
            </w:r>
            <w:r>
              <w:t>s</w:t>
            </w:r>
            <w:r w:rsidRPr="00916752">
              <w:t xml:space="preserve"> take into consideration the products </w:t>
            </w:r>
            <w:r>
              <w:t>under pre-market</w:t>
            </w:r>
            <w:r w:rsidRPr="00916752">
              <w:t xml:space="preserve"> submission</w:t>
            </w:r>
            <w:r>
              <w:t>s</w:t>
            </w:r>
            <w:r w:rsidRPr="00916752">
              <w:t xml:space="preserve"> in order for </w:t>
            </w:r>
            <w:r w:rsidR="0038246D">
              <w:t>us</w:t>
            </w:r>
            <w:r w:rsidRPr="00916752">
              <w:t xml:space="preserve"> to make a </w:t>
            </w:r>
            <w:r w:rsidR="005E705F">
              <w:t>determination</w:t>
            </w:r>
            <w:r w:rsidR="000D770F">
              <w:t xml:space="preserve"> on the related clearance</w:t>
            </w:r>
            <w:r w:rsidRPr="00D701A5">
              <w:t>.</w:t>
            </w:r>
          </w:p>
        </w:tc>
      </w:tr>
    </w:tbl>
    <w:p w14:paraId="52063B6E" w14:textId="726F6E2B" w:rsidR="008226B3" w:rsidRDefault="008226B3" w:rsidP="007C6E5D"/>
    <w:tbl>
      <w:tblPr>
        <w:tblW w:w="9038" w:type="dxa"/>
        <w:tblLayout w:type="fixed"/>
        <w:tblCellMar>
          <w:left w:w="0" w:type="dxa"/>
          <w:right w:w="0" w:type="dxa"/>
        </w:tblCellMar>
        <w:tblLook w:val="04A0" w:firstRow="1" w:lastRow="0" w:firstColumn="1" w:lastColumn="0" w:noHBand="0" w:noVBand="1"/>
      </w:tblPr>
      <w:tblGrid>
        <w:gridCol w:w="1276"/>
        <w:gridCol w:w="7762"/>
      </w:tblGrid>
      <w:tr w:rsidR="00A70E30" w:rsidRPr="009401F6" w14:paraId="463F4B54" w14:textId="77777777" w:rsidTr="00A70E30">
        <w:tc>
          <w:tcPr>
            <w:tcW w:w="1276" w:type="dxa"/>
            <w:vAlign w:val="center"/>
          </w:tcPr>
          <w:p w14:paraId="7B8676CE" w14:textId="77777777" w:rsidR="00A70E30" w:rsidRPr="009401F6" w:rsidRDefault="00A70E30" w:rsidP="00A70E30">
            <w:pPr>
              <w:spacing w:before="0"/>
              <w:rPr>
                <w:sz w:val="20"/>
              </w:rPr>
            </w:pPr>
            <w:r w:rsidRPr="009401F6">
              <w:rPr>
                <w:noProof/>
                <w:sz w:val="20"/>
                <w:lang w:eastAsia="en-AU"/>
              </w:rPr>
              <w:drawing>
                <wp:inline distT="0" distB="0" distL="0" distR="0" wp14:anchorId="0539A1CC" wp14:editId="0F00BF24">
                  <wp:extent cx="487681" cy="487681"/>
                  <wp:effectExtent l="19050" t="0" r="7619" b="0"/>
                  <wp:docPr id="10"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550C26B" w14:textId="248D79E9" w:rsidR="00A70E30" w:rsidRPr="009401F6" w:rsidRDefault="00A70E30" w:rsidP="00473869">
            <w:r>
              <w:t>It is a sponsor responsibility to confirm with the manufacturing site prior to submitting a clearance application whether there are any potential or ongoing regulatory actions and/or compliance issues.</w:t>
            </w:r>
          </w:p>
        </w:tc>
      </w:tr>
    </w:tbl>
    <w:p w14:paraId="7399E106" w14:textId="421245A2" w:rsidR="00FB6E14" w:rsidRDefault="00FB6E14" w:rsidP="00473869">
      <w:pPr>
        <w:pStyle w:val="Heading2"/>
      </w:pPr>
      <w:bookmarkStart w:id="21" w:name="_Compliance_and_enforcement"/>
      <w:bookmarkStart w:id="22" w:name="_Toc69198508"/>
      <w:bookmarkEnd w:id="21"/>
      <w:r w:rsidRPr="00473869">
        <w:lastRenderedPageBreak/>
        <w:t>Compliance</w:t>
      </w:r>
      <w:r>
        <w:t xml:space="preserve"> and enforcement tools available to the TGA</w:t>
      </w:r>
      <w:bookmarkEnd w:id="22"/>
    </w:p>
    <w:p w14:paraId="20169877" w14:textId="1C1DF921" w:rsidR="005E6977" w:rsidRPr="00473869" w:rsidRDefault="00B62E6A" w:rsidP="00473869">
      <w:pPr>
        <w:pStyle w:val="Heading3"/>
      </w:pPr>
      <w:bookmarkStart w:id="23" w:name="_Toc69198509"/>
      <w:bookmarkStart w:id="24" w:name="_Toc17980115"/>
      <w:r>
        <w:t>I</w:t>
      </w:r>
      <w:r w:rsidR="005E6977" w:rsidRPr="00206622">
        <w:t>nformation or documents</w:t>
      </w:r>
      <w:bookmarkEnd w:id="23"/>
      <w:bookmarkEnd w:id="24"/>
    </w:p>
    <w:p w14:paraId="3450745E" w14:textId="66DF2185" w:rsidR="00A57F5A" w:rsidRDefault="005E6977" w:rsidP="00473869">
      <w:r w:rsidRPr="00206622">
        <w:t xml:space="preserve">To assist in our decision making </w:t>
      </w:r>
      <w:r w:rsidR="00A57F5A">
        <w:t>we</w:t>
      </w:r>
      <w:r w:rsidRPr="00206622">
        <w:t xml:space="preserve"> may </w:t>
      </w:r>
      <w:r w:rsidR="0047471D">
        <w:t xml:space="preserve">write </w:t>
      </w:r>
      <w:r w:rsidR="00A57F5A">
        <w:t>to you seeking</w:t>
      </w:r>
      <w:r w:rsidR="002A7D4E">
        <w:t xml:space="preserve"> </w:t>
      </w:r>
      <w:r w:rsidRPr="00206622">
        <w:t xml:space="preserve">information or documents </w:t>
      </w:r>
      <w:r w:rsidR="00A57F5A">
        <w:t>as</w:t>
      </w:r>
      <w:r w:rsidR="00A57F5A" w:rsidRPr="00206622">
        <w:t xml:space="preserve"> </w:t>
      </w:r>
      <w:r w:rsidRPr="00206622">
        <w:t xml:space="preserve">detailed in </w:t>
      </w:r>
      <w:r w:rsidR="00A57F5A">
        <w:t xml:space="preserve">Section 41AB of </w:t>
      </w:r>
      <w:r w:rsidRPr="00206622">
        <w:t xml:space="preserve">the </w:t>
      </w:r>
      <w:hyperlink r:id="rId45" w:history="1">
        <w:r w:rsidR="00A57F5A" w:rsidRPr="0022751B">
          <w:rPr>
            <w:rStyle w:val="Hyperlink"/>
            <w:i/>
            <w:szCs w:val="22"/>
          </w:rPr>
          <w:t>Therapeutic Goods Act</w:t>
        </w:r>
        <w:r w:rsidR="00A57F5A" w:rsidRPr="0022751B">
          <w:rPr>
            <w:rStyle w:val="Hyperlink"/>
            <w:szCs w:val="22"/>
          </w:rPr>
          <w:t xml:space="preserve"> </w:t>
        </w:r>
        <w:r w:rsidR="00A57F5A" w:rsidRPr="0022751B">
          <w:rPr>
            <w:rStyle w:val="Hyperlink"/>
            <w:i/>
            <w:szCs w:val="22"/>
          </w:rPr>
          <w:t>1989</w:t>
        </w:r>
      </w:hyperlink>
      <w:r w:rsidR="00A57F5A">
        <w:t>.</w:t>
      </w:r>
    </w:p>
    <w:p w14:paraId="3BD3D768" w14:textId="7B9A89F6" w:rsidR="00A57F5A" w:rsidRDefault="005E6977" w:rsidP="00473869">
      <w:r w:rsidRPr="00206622">
        <w:t>The Act provides for</w:t>
      </w:r>
      <w:r w:rsidR="00CF52F2">
        <w:t xml:space="preserve"> criminal offences and civil penalties if you fail to respon</w:t>
      </w:r>
      <w:r w:rsidR="004D392B">
        <w:t>d</w:t>
      </w:r>
      <w:r w:rsidR="00CF52F2">
        <w:t>, provide an incomplete response or knowingly provide information that is false or misleading in response to a notice given under Section 41AB.</w:t>
      </w:r>
    </w:p>
    <w:p w14:paraId="06DCE2CA" w14:textId="6F48CC63" w:rsidR="00A148D8" w:rsidRPr="00473869" w:rsidRDefault="00A148D8" w:rsidP="00473869">
      <w:pPr>
        <w:pStyle w:val="Heading3"/>
      </w:pPr>
      <w:bookmarkStart w:id="25" w:name="_Toc17980123"/>
      <w:bookmarkStart w:id="26" w:name="_Toc69198510"/>
      <w:bookmarkStart w:id="27" w:name="_Toc11398778"/>
      <w:bookmarkStart w:id="28" w:name="_Toc17980122"/>
      <w:r w:rsidRPr="00F628EF">
        <w:t>Recall and public notification powers</w:t>
      </w:r>
      <w:bookmarkEnd w:id="25"/>
      <w:bookmarkEnd w:id="26"/>
    </w:p>
    <w:p w14:paraId="62F50239" w14:textId="77777777" w:rsidR="00A148D8" w:rsidRDefault="00A148D8" w:rsidP="00473869">
      <w:r>
        <w:rPr>
          <w:rFonts w:asciiTheme="minorHAnsi" w:hAnsiTheme="minorHAnsi"/>
          <w:szCs w:val="22"/>
        </w:rPr>
        <w:t xml:space="preserve">We may </w:t>
      </w:r>
      <w:r w:rsidRPr="001074DB">
        <w:t>recall</w:t>
      </w:r>
      <w:r>
        <w:rPr>
          <w:szCs w:val="22"/>
        </w:rPr>
        <w:t xml:space="preserve"> products from the marketplace to protect public health, as allowed by </w:t>
      </w:r>
      <w:r>
        <w:rPr>
          <w:rFonts w:asciiTheme="minorHAnsi" w:hAnsiTheme="minorHAnsi"/>
          <w:szCs w:val="22"/>
        </w:rPr>
        <w:t xml:space="preserve">our powers under the </w:t>
      </w:r>
      <w:hyperlink r:id="rId46" w:history="1">
        <w:r w:rsidRPr="00D72790">
          <w:rPr>
            <w:rStyle w:val="Hyperlink"/>
            <w:i/>
          </w:rPr>
          <w:t>Therapeutic Goods Act 1989</w:t>
        </w:r>
      </w:hyperlink>
      <w:r>
        <w:rPr>
          <w:i/>
        </w:rPr>
        <w:t>.</w:t>
      </w:r>
    </w:p>
    <w:p w14:paraId="6C63304D" w14:textId="77777777" w:rsidR="00A148D8" w:rsidRPr="0015532D" w:rsidRDefault="00A148D8" w:rsidP="00473869">
      <w:r>
        <w:rPr>
          <w:rFonts w:asciiTheme="minorHAnsi" w:hAnsiTheme="minorHAnsi"/>
        </w:rPr>
        <w:t xml:space="preserve">Recalls and associated actions are carried out in accordance with the </w:t>
      </w:r>
      <w:hyperlink r:id="rId47" w:anchor="printversion" w:history="1">
        <w:r w:rsidRPr="00994C98">
          <w:rPr>
            <w:rStyle w:val="Hyperlink"/>
            <w:rFonts w:asciiTheme="minorHAnsi" w:hAnsiTheme="minorHAnsi"/>
            <w:szCs w:val="22"/>
          </w:rPr>
          <w:t>Uniform</w:t>
        </w:r>
        <w:r w:rsidRPr="00994C98">
          <w:rPr>
            <w:rStyle w:val="Hyperlink"/>
            <w:szCs w:val="22"/>
          </w:rPr>
          <w:t xml:space="preserve"> Recall Provisions for Therapeutic Goods (</w:t>
        </w:r>
        <w:r w:rsidRPr="00254EE2">
          <w:rPr>
            <w:rStyle w:val="Hyperlink"/>
            <w:szCs w:val="22"/>
          </w:rPr>
          <w:t>URPTG</w:t>
        </w:r>
        <w:r w:rsidRPr="00994C98">
          <w:rPr>
            <w:rStyle w:val="Hyperlink"/>
            <w:szCs w:val="22"/>
          </w:rPr>
          <w:t>)</w:t>
        </w:r>
      </w:hyperlink>
      <w:r>
        <w:rPr>
          <w:rFonts w:asciiTheme="minorHAnsi" w:hAnsiTheme="minorHAnsi"/>
        </w:rPr>
        <w:t>)</w:t>
      </w:r>
      <w:r w:rsidRPr="0015532D">
        <w:t>.</w:t>
      </w:r>
    </w:p>
    <w:p w14:paraId="3440F3E2" w14:textId="77777777" w:rsidR="00A148D8" w:rsidRDefault="00A148D8" w:rsidP="00473869">
      <w:r>
        <w:t>More information is available at:</w:t>
      </w:r>
    </w:p>
    <w:p w14:paraId="3AD8ECF5" w14:textId="05F313CF" w:rsidR="00A148D8" w:rsidRDefault="005D470B" w:rsidP="00473869">
      <w:pPr>
        <w:pStyle w:val="ListBullet"/>
        <w:rPr>
          <w:rFonts w:asciiTheme="minorHAnsi" w:hAnsiTheme="minorHAnsi"/>
          <w:szCs w:val="22"/>
        </w:rPr>
      </w:pPr>
      <w:hyperlink r:id="rId48" w:history="1">
        <w:r w:rsidR="00A148D8" w:rsidRPr="00A10A0B">
          <w:rPr>
            <w:rStyle w:val="Hyperlink"/>
            <w:rFonts w:asciiTheme="minorHAnsi" w:hAnsiTheme="minorHAnsi"/>
            <w:szCs w:val="22"/>
          </w:rPr>
          <w:t>Recall procedure</w:t>
        </w:r>
      </w:hyperlink>
    </w:p>
    <w:p w14:paraId="2F075443" w14:textId="27A1A958" w:rsidR="00A148D8" w:rsidRPr="00A148D8" w:rsidRDefault="005D470B" w:rsidP="00A148D8">
      <w:pPr>
        <w:pStyle w:val="ListBullet"/>
        <w:rPr>
          <w:rStyle w:val="Hyperlink"/>
          <w:rFonts w:asciiTheme="minorHAnsi" w:hAnsiTheme="minorHAnsi"/>
          <w:color w:val="auto"/>
          <w:szCs w:val="22"/>
          <w:u w:val="none"/>
        </w:rPr>
      </w:pPr>
      <w:hyperlink r:id="rId49" w:history="1">
        <w:r w:rsidR="00A148D8" w:rsidRPr="00A10A0B">
          <w:rPr>
            <w:rStyle w:val="Hyperlink"/>
            <w:rFonts w:asciiTheme="minorHAnsi" w:hAnsiTheme="minorHAnsi"/>
            <w:szCs w:val="22"/>
          </w:rPr>
          <w:t>Roles in recalling therapeutic goods</w:t>
        </w:r>
      </w:hyperlink>
    </w:p>
    <w:p w14:paraId="0F06DD57" w14:textId="197FA78C" w:rsidR="00172C81" w:rsidRPr="00F628EF" w:rsidRDefault="00172C81" w:rsidP="00473869">
      <w:pPr>
        <w:pStyle w:val="Heading3"/>
      </w:pPr>
      <w:bookmarkStart w:id="29" w:name="_Toc69198511"/>
      <w:r w:rsidRPr="00F628EF">
        <w:t xml:space="preserve">Powers to suspend or </w:t>
      </w:r>
      <w:r w:rsidRPr="00473869">
        <w:t>cancel</w:t>
      </w:r>
      <w:r w:rsidRPr="00F628EF">
        <w:t xml:space="preserve"> goods from the </w:t>
      </w:r>
      <w:r w:rsidR="008F49EA">
        <w:t>ARTG</w:t>
      </w:r>
      <w:bookmarkEnd w:id="27"/>
      <w:bookmarkEnd w:id="28"/>
      <w:bookmarkEnd w:id="29"/>
    </w:p>
    <w:p w14:paraId="15660BA1" w14:textId="7163F3EF" w:rsidR="00172C81" w:rsidRDefault="00F3128A" w:rsidP="00473869">
      <w:pPr>
        <w:rPr>
          <w:rFonts w:asciiTheme="minorHAnsi" w:hAnsiTheme="minorHAnsi"/>
        </w:rPr>
      </w:pPr>
      <w:r>
        <w:rPr>
          <w:rFonts w:asciiTheme="minorHAnsi" w:hAnsiTheme="minorHAnsi"/>
        </w:rPr>
        <w:t xml:space="preserve">Our powers to suspend or cancel the entry of a therapeutic good from the </w:t>
      </w:r>
      <w:hyperlink r:id="rId50" w:history="1">
        <w:r w:rsidR="0096240A" w:rsidRPr="009606FC">
          <w:rPr>
            <w:rStyle w:val="Hyperlink"/>
          </w:rPr>
          <w:t>Australian Register of Therapeutic Goods (ARTG)</w:t>
        </w:r>
      </w:hyperlink>
      <w:r w:rsidR="0096240A">
        <w:rPr>
          <w:rStyle w:val="Hyperlink"/>
        </w:rPr>
        <w:t xml:space="preserve"> </w:t>
      </w:r>
      <w:r w:rsidR="0096240A" w:rsidRPr="007C6E5D">
        <w:rPr>
          <w:rStyle w:val="Hyperlink"/>
          <w:color w:val="auto"/>
          <w:u w:val="none"/>
        </w:rPr>
        <w:t>is not affected</w:t>
      </w:r>
      <w:r w:rsidR="000E3D5B" w:rsidRPr="00E06A7C">
        <w:rPr>
          <w:rFonts w:asciiTheme="minorHAnsi" w:hAnsiTheme="minorHAnsi"/>
        </w:rPr>
        <w:t xml:space="preserve"> </w:t>
      </w:r>
      <w:r w:rsidR="000E3D5B">
        <w:rPr>
          <w:rFonts w:asciiTheme="minorHAnsi" w:hAnsiTheme="minorHAnsi"/>
        </w:rPr>
        <w:t>by</w:t>
      </w:r>
      <w:r w:rsidR="00172C81" w:rsidRPr="00ED3A30">
        <w:rPr>
          <w:rFonts w:asciiTheme="minorHAnsi" w:hAnsiTheme="minorHAnsi"/>
        </w:rPr>
        <w:t>:</w:t>
      </w:r>
    </w:p>
    <w:p w14:paraId="252CF378" w14:textId="77777777" w:rsidR="000E3D5B" w:rsidRDefault="000E3D5B" w:rsidP="00473869">
      <w:pPr>
        <w:pStyle w:val="ListBullet"/>
      </w:pPr>
      <w:r>
        <w:t xml:space="preserve">imposing requirements relating to </w:t>
      </w:r>
      <w:r w:rsidRPr="00473869">
        <w:t>matters</w:t>
      </w:r>
      <w:r>
        <w:t xml:space="preserve"> such as:</w:t>
      </w:r>
    </w:p>
    <w:p w14:paraId="48850D4C" w14:textId="77777777" w:rsidR="000E3D5B" w:rsidRDefault="000E3D5B" w:rsidP="00473869">
      <w:pPr>
        <w:pStyle w:val="ListBullet2"/>
      </w:pPr>
      <w:r>
        <w:t xml:space="preserve">conditions on a manufacturing </w:t>
      </w:r>
      <w:r w:rsidRPr="00473869">
        <w:t>licence</w:t>
      </w:r>
    </w:p>
    <w:p w14:paraId="335BFA1F" w14:textId="77777777" w:rsidR="000E3D5B" w:rsidRDefault="000E3D5B" w:rsidP="000E3D5B">
      <w:pPr>
        <w:pStyle w:val="ListBullet2"/>
        <w:numPr>
          <w:ilvl w:val="1"/>
          <w:numId w:val="49"/>
        </w:numPr>
        <w:ind w:left="850" w:hanging="425"/>
      </w:pPr>
      <w:r>
        <w:t>suspension or cancellation of a manufacturing licence</w:t>
      </w:r>
    </w:p>
    <w:p w14:paraId="32C8E31D" w14:textId="3190980F" w:rsidR="000E3D5B" w:rsidRPr="000E3D5B" w:rsidRDefault="000E3D5B" w:rsidP="00473869">
      <w:pPr>
        <w:pStyle w:val="ListBullet"/>
      </w:pPr>
      <w:proofErr w:type="gramStart"/>
      <w:r>
        <w:t>other</w:t>
      </w:r>
      <w:proofErr w:type="gramEnd"/>
      <w:r>
        <w:t xml:space="preserve"> compliance and </w:t>
      </w:r>
      <w:r w:rsidRPr="00473869">
        <w:t>enforcement</w:t>
      </w:r>
      <w:r>
        <w:t xml:space="preserve"> </w:t>
      </w:r>
      <w:r w:rsidRPr="00ED3A30">
        <w:rPr>
          <w:rFonts w:asciiTheme="minorHAnsi" w:hAnsiTheme="minorHAnsi"/>
        </w:rPr>
        <w:t>actions relating to non-compliance under Part 3-3 of the</w:t>
      </w:r>
      <w:r w:rsidR="00E06A7C">
        <w:rPr>
          <w:rFonts w:asciiTheme="minorHAnsi" w:hAnsiTheme="minorHAnsi"/>
        </w:rPr>
        <w:t xml:space="preserve"> </w:t>
      </w:r>
      <w:hyperlink r:id="rId51" w:history="1">
        <w:r w:rsidR="00FC1213" w:rsidRPr="0071003B">
          <w:rPr>
            <w:rStyle w:val="Hyperlink"/>
            <w:i/>
            <w:szCs w:val="22"/>
          </w:rPr>
          <w:t>Therapeutic Goods Act</w:t>
        </w:r>
        <w:r w:rsidR="00FC1213" w:rsidRPr="0071003B">
          <w:rPr>
            <w:rStyle w:val="Hyperlink"/>
            <w:szCs w:val="22"/>
          </w:rPr>
          <w:t xml:space="preserve"> </w:t>
        </w:r>
        <w:r w:rsidR="00FC1213" w:rsidRPr="0071003B">
          <w:rPr>
            <w:rStyle w:val="Hyperlink"/>
            <w:i/>
            <w:szCs w:val="22"/>
          </w:rPr>
          <w:t>1989</w:t>
        </w:r>
      </w:hyperlink>
      <w:r w:rsidR="00FC1213">
        <w:rPr>
          <w:rStyle w:val="Hyperlink"/>
          <w:color w:val="auto"/>
          <w:szCs w:val="22"/>
          <w:u w:val="none"/>
        </w:rPr>
        <w:t>.</w:t>
      </w:r>
    </w:p>
    <w:p w14:paraId="0EC3F060" w14:textId="04C703BA" w:rsidR="00A148D8" w:rsidRPr="00473869" w:rsidRDefault="00A148D8" w:rsidP="00473869">
      <w:pPr>
        <w:pStyle w:val="Heading3"/>
      </w:pPr>
      <w:bookmarkStart w:id="30" w:name="_Toc69198512"/>
      <w:bookmarkStart w:id="31" w:name="_Toc11219901"/>
      <w:bookmarkStart w:id="32" w:name="_Toc17980116"/>
      <w:bookmarkStart w:id="33" w:name="_Toc11398773"/>
      <w:r w:rsidRPr="008C278D">
        <w:t>Enforceable undertaking</w:t>
      </w:r>
      <w:bookmarkEnd w:id="30"/>
      <w:bookmarkEnd w:id="31"/>
      <w:bookmarkEnd w:id="32"/>
    </w:p>
    <w:p w14:paraId="0DE93BA4" w14:textId="77777777" w:rsidR="00A148D8" w:rsidRDefault="00A148D8" w:rsidP="00473869">
      <w:r>
        <w:t xml:space="preserve">If you believe you have, or are likely to have breached an offence or civil penalty provision in our legislation, you can offer to enter into an </w:t>
      </w:r>
      <w:hyperlink r:id="rId52" w:history="1">
        <w:r w:rsidRPr="00960C77">
          <w:rPr>
            <w:rStyle w:val="Hyperlink"/>
          </w:rPr>
          <w:t>enforceable undertaking</w:t>
        </w:r>
      </w:hyperlink>
      <w:r>
        <w:t xml:space="preserve"> as an alternative to court action being commenced by us.</w:t>
      </w:r>
    </w:p>
    <w:p w14:paraId="47A1AEDC" w14:textId="72B7F11A" w:rsidR="00A148D8" w:rsidRPr="00206622" w:rsidRDefault="00A148D8" w:rsidP="00473869">
      <w:r w:rsidRPr="008C278D">
        <w:t>An example may include where a licensed manufacture</w:t>
      </w:r>
      <w:r>
        <w:t>r</w:t>
      </w:r>
      <w:r w:rsidRPr="008C278D">
        <w:t xml:space="preserve"> undertakes to establish, review or improve their quality management systems and certain manufacturing equipment that is not up to the standards required by the code of GMP. The licence holder may set a timeline for the </w:t>
      </w:r>
      <w:r w:rsidRPr="00DA4575">
        <w:t xml:space="preserve">implementation of these processes and the installation of the equipment to be compliant with the requirements in the </w:t>
      </w:r>
      <w:hyperlink r:id="rId53" w:history="1">
        <w:r w:rsidRPr="0090077D">
          <w:rPr>
            <w:rStyle w:val="Hyperlink"/>
            <w:i/>
            <w:szCs w:val="22"/>
          </w:rPr>
          <w:t>Therapeutic Goods Act 1989</w:t>
        </w:r>
      </w:hyperlink>
      <w:r>
        <w:rPr>
          <w:rStyle w:val="Hyperlink"/>
          <w:i/>
          <w:szCs w:val="22"/>
        </w:rPr>
        <w:t xml:space="preserve"> </w:t>
      </w:r>
      <w:r w:rsidRPr="00DA4575">
        <w:t>and to</w:t>
      </w:r>
      <w:r w:rsidRPr="00206622">
        <w:t xml:space="preserve"> make regular reports to the TGA for</w:t>
      </w:r>
      <w:r w:rsidR="00473869">
        <w:t xml:space="preserve"> the period of the undertaking.</w:t>
      </w:r>
    </w:p>
    <w:p w14:paraId="47DD1B23" w14:textId="283FB27F" w:rsidR="00A148D8" w:rsidRPr="00473869" w:rsidRDefault="00A148D8" w:rsidP="00473869">
      <w:pPr>
        <w:pStyle w:val="Heading3"/>
      </w:pPr>
      <w:bookmarkStart w:id="34" w:name="_Toc69198513"/>
      <w:bookmarkStart w:id="35" w:name="_Toc17980117"/>
      <w:r w:rsidRPr="00206622">
        <w:lastRenderedPageBreak/>
        <w:t>Injunction</w:t>
      </w:r>
      <w:bookmarkEnd w:id="34"/>
      <w:bookmarkEnd w:id="35"/>
    </w:p>
    <w:p w14:paraId="0866F63E" w14:textId="1F5CB8F7" w:rsidR="00A148D8" w:rsidRDefault="00A148D8" w:rsidP="00473869">
      <w:bookmarkStart w:id="36" w:name="_Toc11395803"/>
      <w:bookmarkStart w:id="37" w:name="_Toc11318283"/>
      <w:r>
        <w:t>We</w:t>
      </w:r>
      <w:r w:rsidRPr="00206622">
        <w:t xml:space="preserve"> may seek an </w:t>
      </w:r>
      <w:hyperlink r:id="rId54" w:anchor="injuctions" w:history="1">
        <w:r w:rsidRPr="00CA545C">
          <w:rPr>
            <w:rStyle w:val="Hyperlink"/>
          </w:rPr>
          <w:t>injunction</w:t>
        </w:r>
      </w:hyperlink>
      <w:r w:rsidRPr="00206622">
        <w:t xml:space="preserve"> in the Federal Court or Federal Circuit Court (a Federal Court)</w:t>
      </w:r>
      <w:r>
        <w:t>.</w:t>
      </w:r>
    </w:p>
    <w:p w14:paraId="71016AE8" w14:textId="07C40DA4" w:rsidR="00A148D8" w:rsidRPr="00206622" w:rsidRDefault="00A148D8" w:rsidP="00473869">
      <w:pPr>
        <w:rPr>
          <w:b/>
        </w:rPr>
      </w:pPr>
      <w:r w:rsidRPr="00206622">
        <w:t xml:space="preserve">An example of </w:t>
      </w:r>
      <w:r>
        <w:t>when</w:t>
      </w:r>
      <w:r w:rsidRPr="00206622">
        <w:t xml:space="preserve"> the TGA would seek an injunction is where a manufacturer refuses to comply with a suspension of their licence to cease manufacture of particular therapeutic goods. This would be appropriate when</w:t>
      </w:r>
      <w:r>
        <w:t>,</w:t>
      </w:r>
      <w:r w:rsidRPr="00206622">
        <w:t xml:space="preserve"> because of failure to meet manufacturing principles there is an </w:t>
      </w:r>
      <w:r w:rsidRPr="008F49EA">
        <w:rPr>
          <w:b/>
        </w:rPr>
        <w:t>actual</w:t>
      </w:r>
      <w:r w:rsidRPr="00206622">
        <w:t xml:space="preserve"> or </w:t>
      </w:r>
      <w:r w:rsidRPr="008F49EA">
        <w:rPr>
          <w:b/>
        </w:rPr>
        <w:t>potential</w:t>
      </w:r>
      <w:r w:rsidRPr="00206622">
        <w:t xml:space="preserve"> risk to public health and safety from the use of the therapeutic goods.</w:t>
      </w:r>
      <w:bookmarkEnd w:id="36"/>
    </w:p>
    <w:p w14:paraId="5E6F43EF" w14:textId="77777777" w:rsidR="00A148D8" w:rsidRPr="00206622" w:rsidRDefault="00A148D8" w:rsidP="00473869">
      <w:pPr>
        <w:rPr>
          <w:b/>
        </w:rPr>
      </w:pPr>
      <w:bookmarkStart w:id="38" w:name="_Toc11395804"/>
      <w:r w:rsidRPr="00206622">
        <w:t xml:space="preserve">Seeking an injunction does </w:t>
      </w:r>
      <w:r w:rsidRPr="008F49EA">
        <w:rPr>
          <w:b/>
        </w:rPr>
        <w:t>not</w:t>
      </w:r>
      <w:r w:rsidRPr="00206622">
        <w:t xml:space="preserve"> prevent </w:t>
      </w:r>
      <w:r>
        <w:t>us</w:t>
      </w:r>
      <w:r w:rsidRPr="00206622">
        <w:t xml:space="preserve"> from taking other forms of compliance or enforcement actions at the same time.</w:t>
      </w:r>
      <w:bookmarkEnd w:id="37"/>
      <w:bookmarkEnd w:id="38"/>
    </w:p>
    <w:p w14:paraId="7F7B7A17" w14:textId="0587E050" w:rsidR="005E6977" w:rsidRPr="00206622" w:rsidRDefault="005E6977" w:rsidP="00473869">
      <w:pPr>
        <w:pStyle w:val="Heading3"/>
      </w:pPr>
      <w:bookmarkStart w:id="39" w:name="_Toc11219900"/>
      <w:bookmarkStart w:id="40" w:name="_Toc11398774"/>
      <w:bookmarkStart w:id="41" w:name="_Toc17980118"/>
      <w:bookmarkStart w:id="42" w:name="_Toc69198514"/>
      <w:bookmarkEnd w:id="33"/>
      <w:r w:rsidRPr="00206622">
        <w:t xml:space="preserve">Infringement </w:t>
      </w:r>
      <w:r w:rsidRPr="00473869">
        <w:t>notice</w:t>
      </w:r>
      <w:bookmarkEnd w:id="39"/>
      <w:bookmarkEnd w:id="40"/>
      <w:bookmarkEnd w:id="41"/>
      <w:bookmarkEnd w:id="42"/>
    </w:p>
    <w:p w14:paraId="3F07C90E" w14:textId="62192E16" w:rsidR="005E6977" w:rsidRPr="00206622" w:rsidRDefault="008F49EA" w:rsidP="00473869">
      <w:r>
        <w:t>We</w:t>
      </w:r>
      <w:r w:rsidR="005E6977" w:rsidRPr="00206622">
        <w:t xml:space="preserve"> may </w:t>
      </w:r>
      <w:r w:rsidR="00656EA3">
        <w:t>issue you</w:t>
      </w:r>
      <w:r w:rsidR="005E6977" w:rsidRPr="00206622">
        <w:t xml:space="preserve"> an </w:t>
      </w:r>
      <w:hyperlink r:id="rId55" w:history="1">
        <w:r w:rsidRPr="00CA545C">
          <w:rPr>
            <w:rStyle w:val="Hyperlink"/>
          </w:rPr>
          <w:t>infringement notice</w:t>
        </w:r>
      </w:hyperlink>
      <w:r w:rsidRPr="00206622">
        <w:t xml:space="preserve"> </w:t>
      </w:r>
      <w:r>
        <w:t xml:space="preserve">(fine) </w:t>
      </w:r>
      <w:r w:rsidR="005E6977" w:rsidRPr="00206622">
        <w:t xml:space="preserve">where </w:t>
      </w:r>
      <w:r w:rsidR="00656EA3">
        <w:t>you have</w:t>
      </w:r>
      <w:r w:rsidR="005E6977" w:rsidRPr="00206622">
        <w:t xml:space="preserve">, within </w:t>
      </w:r>
      <w:r w:rsidR="005E6977" w:rsidRPr="0047471D">
        <w:rPr>
          <w:b/>
        </w:rPr>
        <w:t>12 months</w:t>
      </w:r>
      <w:r w:rsidR="005E6977" w:rsidRPr="00206622">
        <w:t xml:space="preserve">, </w:t>
      </w:r>
      <w:r>
        <w:t>breached</w:t>
      </w:r>
      <w:r w:rsidRPr="00206622">
        <w:t xml:space="preserve"> </w:t>
      </w:r>
      <w:r w:rsidR="005E6977" w:rsidRPr="00206622">
        <w:t xml:space="preserve">a strict liability offence or civil penalty provision of the </w:t>
      </w:r>
      <w:hyperlink r:id="rId56" w:history="1">
        <w:r w:rsidRPr="0022751B">
          <w:rPr>
            <w:rStyle w:val="Hyperlink"/>
            <w:i/>
            <w:szCs w:val="22"/>
          </w:rPr>
          <w:t>Therapeutic Goods Act</w:t>
        </w:r>
        <w:r w:rsidRPr="0022751B">
          <w:rPr>
            <w:rStyle w:val="Hyperlink"/>
            <w:szCs w:val="22"/>
          </w:rPr>
          <w:t xml:space="preserve"> </w:t>
        </w:r>
        <w:r w:rsidRPr="0022751B">
          <w:rPr>
            <w:rStyle w:val="Hyperlink"/>
            <w:i/>
            <w:szCs w:val="22"/>
          </w:rPr>
          <w:t>1989</w:t>
        </w:r>
      </w:hyperlink>
      <w:r>
        <w:rPr>
          <w:rStyle w:val="Hyperlink"/>
          <w:color w:val="auto"/>
          <w:szCs w:val="22"/>
          <w:u w:val="none"/>
        </w:rPr>
        <w:t xml:space="preserve"> </w:t>
      </w:r>
      <w:r w:rsidR="005E6977" w:rsidRPr="00206622">
        <w:t xml:space="preserve">that relates to manufacturing licences and the statutory obligations on licence holders under </w:t>
      </w:r>
      <w:r w:rsidR="00656EA3">
        <w:t>P</w:t>
      </w:r>
      <w:r w:rsidR="005E6977" w:rsidRPr="00206622">
        <w:t xml:space="preserve">art 3-3 of the Act. </w:t>
      </w:r>
      <w:r w:rsidR="00656EA3">
        <w:t>You</w:t>
      </w:r>
      <w:r w:rsidR="005E6977" w:rsidRPr="00206622">
        <w:t xml:space="preserve"> can choose to pay the infringement notice amount as an alternative to having court proceedings brought against </w:t>
      </w:r>
      <w:r w:rsidR="00656EA3">
        <w:t>you</w:t>
      </w:r>
      <w:r w:rsidR="005E6977" w:rsidRPr="00206622">
        <w:t>.</w:t>
      </w:r>
    </w:p>
    <w:p w14:paraId="59402576" w14:textId="73107AF0" w:rsidR="005E6977" w:rsidRDefault="005E6977" w:rsidP="00473869">
      <w:r w:rsidRPr="00206622">
        <w:t>An example of when an infringement notice may be issued is where a licence holder has continued to rate a number of major deficiencies in two or three consecutive inspections despite being fully aware of the issues and has failed to address them adequately.</w:t>
      </w:r>
    </w:p>
    <w:p w14:paraId="62B0D4EE" w14:textId="77777777" w:rsidR="00A148D8" w:rsidRPr="00FB25D2" w:rsidRDefault="00A148D8" w:rsidP="00473869">
      <w:pPr>
        <w:pStyle w:val="Heading3"/>
      </w:pPr>
      <w:bookmarkStart w:id="43" w:name="_Toc17980114"/>
      <w:bookmarkStart w:id="44" w:name="_Toc69198515"/>
      <w:bookmarkStart w:id="45" w:name="_Toc11219903"/>
      <w:bookmarkStart w:id="46" w:name="_Toc11398776"/>
      <w:bookmarkStart w:id="47" w:name="_Toc17980120"/>
      <w:r w:rsidRPr="00FB25D2">
        <w:t xml:space="preserve">Revocation or </w:t>
      </w:r>
      <w:r w:rsidRPr="00473869">
        <w:t>suspension</w:t>
      </w:r>
      <w:r w:rsidRPr="00FB25D2">
        <w:t xml:space="preserve"> of manufacturing licence</w:t>
      </w:r>
      <w:bookmarkEnd w:id="43"/>
      <w:bookmarkEnd w:id="44"/>
    </w:p>
    <w:p w14:paraId="34E5AB84" w14:textId="77777777" w:rsidR="00A148D8" w:rsidRPr="00FB25D2" w:rsidRDefault="00A148D8" w:rsidP="00473869">
      <w:r>
        <w:t xml:space="preserve">We may advise you of our </w:t>
      </w:r>
      <w:r w:rsidRPr="00FB25D2">
        <w:t>propos</w:t>
      </w:r>
      <w:r>
        <w:t>al</w:t>
      </w:r>
      <w:r w:rsidRPr="00FB25D2">
        <w:t xml:space="preserve"> to either revoke or suspend </w:t>
      </w:r>
      <w:r>
        <w:t>your</w:t>
      </w:r>
      <w:r w:rsidRPr="00FB25D2">
        <w:t xml:space="preserve"> licence for a </w:t>
      </w:r>
      <w:r>
        <w:t xml:space="preserve">specified </w:t>
      </w:r>
      <w:r w:rsidRPr="00FB25D2">
        <w:t>period of time</w:t>
      </w:r>
      <w:r>
        <w:t>, in certain circumstances, as allowed by the</w:t>
      </w:r>
      <w:r w:rsidRPr="00FB25D2">
        <w:t xml:space="preserve"> </w:t>
      </w:r>
      <w:hyperlink r:id="rId57" w:history="1">
        <w:r w:rsidRPr="0022751B">
          <w:rPr>
            <w:rStyle w:val="Hyperlink"/>
            <w:i/>
            <w:szCs w:val="22"/>
          </w:rPr>
          <w:t>Therapeutic Goods Act</w:t>
        </w:r>
        <w:r w:rsidRPr="0022751B">
          <w:rPr>
            <w:rStyle w:val="Hyperlink"/>
            <w:szCs w:val="22"/>
          </w:rPr>
          <w:t xml:space="preserve"> </w:t>
        </w:r>
        <w:r w:rsidRPr="0022751B">
          <w:rPr>
            <w:rStyle w:val="Hyperlink"/>
            <w:i/>
            <w:szCs w:val="22"/>
          </w:rPr>
          <w:t>1989</w:t>
        </w:r>
      </w:hyperlink>
      <w:r>
        <w:rPr>
          <w:rStyle w:val="Hyperlink"/>
          <w:color w:val="auto"/>
          <w:szCs w:val="22"/>
          <w:u w:val="none"/>
        </w:rPr>
        <w:t>.</w:t>
      </w:r>
    </w:p>
    <w:p w14:paraId="69F1C6DC" w14:textId="77777777" w:rsidR="00A148D8" w:rsidRDefault="00A148D8" w:rsidP="00473869">
      <w:r w:rsidRPr="00FB25D2">
        <w:t xml:space="preserve">Further information </w:t>
      </w:r>
      <w:r>
        <w:t>is available at</w:t>
      </w:r>
      <w:r w:rsidRPr="00FB25D2">
        <w:t xml:space="preserve"> </w:t>
      </w:r>
      <w:hyperlink r:id="rId58" w:history="1">
        <w:r>
          <w:rPr>
            <w:rStyle w:val="Hyperlink"/>
          </w:rPr>
          <w:t>Revoking and suspending Australian manufacturing licences</w:t>
        </w:r>
      </w:hyperlink>
      <w:r>
        <w:t>.</w:t>
      </w:r>
    </w:p>
    <w:p w14:paraId="5AD884D0" w14:textId="332D6392" w:rsidR="005E6977" w:rsidRPr="00ED3A30" w:rsidRDefault="005E6977" w:rsidP="00473869">
      <w:pPr>
        <w:pStyle w:val="Heading3"/>
      </w:pPr>
      <w:bookmarkStart w:id="48" w:name="_Toc69198516"/>
      <w:r w:rsidRPr="00ED3A30">
        <w:t xml:space="preserve">Civil penalty </w:t>
      </w:r>
      <w:r w:rsidRPr="00473869">
        <w:t>provisions</w:t>
      </w:r>
      <w:bookmarkEnd w:id="45"/>
      <w:bookmarkEnd w:id="46"/>
      <w:bookmarkEnd w:id="47"/>
      <w:bookmarkEnd w:id="48"/>
    </w:p>
    <w:p w14:paraId="3F6C0431" w14:textId="034DB9FA" w:rsidR="005E6977" w:rsidRDefault="005B75CC" w:rsidP="00473869">
      <w:r>
        <w:t>If</w:t>
      </w:r>
      <w:r w:rsidR="005E6977" w:rsidRPr="00ED3A30">
        <w:t xml:space="preserve"> within </w:t>
      </w:r>
      <w:r w:rsidR="005E6977" w:rsidRPr="0047471D">
        <w:rPr>
          <w:b/>
        </w:rPr>
        <w:t>six years</w:t>
      </w:r>
      <w:r w:rsidR="005E6977" w:rsidRPr="00ED3A30">
        <w:t xml:space="preserve"> </w:t>
      </w:r>
      <w:r>
        <w:t xml:space="preserve">you have </w:t>
      </w:r>
      <w:r w:rsidR="00916001">
        <w:t>breached</w:t>
      </w:r>
      <w:r>
        <w:t xml:space="preserve"> </w:t>
      </w:r>
      <w:r w:rsidR="005E6977" w:rsidRPr="00ED3A30">
        <w:t xml:space="preserve">a </w:t>
      </w:r>
      <w:hyperlink r:id="rId59" w:anchor="civil" w:history="1">
        <w:r w:rsidR="005E6977" w:rsidRPr="00916001">
          <w:rPr>
            <w:rStyle w:val="Hyperlink"/>
          </w:rPr>
          <w:t>civil penalty</w:t>
        </w:r>
      </w:hyperlink>
      <w:r w:rsidR="005E6977" w:rsidRPr="00ED3A30">
        <w:t xml:space="preserve"> provision in the </w:t>
      </w:r>
      <w:hyperlink r:id="rId60" w:history="1">
        <w:r w:rsidRPr="0090077D">
          <w:rPr>
            <w:rStyle w:val="Hyperlink"/>
            <w:i/>
            <w:szCs w:val="22"/>
          </w:rPr>
          <w:t>Therapeutic Goods Act 1989</w:t>
        </w:r>
      </w:hyperlink>
      <w:r w:rsidR="005E6977" w:rsidRPr="00ED3A30">
        <w:t xml:space="preserve">, </w:t>
      </w:r>
      <w:r>
        <w:t>we</w:t>
      </w:r>
      <w:r w:rsidR="005E6977" w:rsidRPr="00ED3A30">
        <w:t xml:space="preserve"> may apply to the Federal Court for an order </w:t>
      </w:r>
      <w:r w:rsidR="00916001">
        <w:t>against you to pay</w:t>
      </w:r>
      <w:r w:rsidR="005E6977" w:rsidRPr="00ED3A30">
        <w:t xml:space="preserve"> a penalty</w:t>
      </w:r>
      <w:r w:rsidR="00A33185">
        <w:t xml:space="preserve"> </w:t>
      </w:r>
      <w:r w:rsidR="00251C17">
        <w:t>(fine)</w:t>
      </w:r>
      <w:r w:rsidR="00A33185">
        <w:t>.</w:t>
      </w:r>
    </w:p>
    <w:p w14:paraId="601883F2" w14:textId="06852BF5" w:rsidR="00EF160D" w:rsidRPr="00ED3A30" w:rsidRDefault="00EF160D" w:rsidP="00473869">
      <w:r>
        <w:t xml:space="preserve">The maximum penalty that can be imposed on </w:t>
      </w:r>
      <w:r w:rsidRPr="00916001">
        <w:t>conviction of</w:t>
      </w:r>
      <w:r w:rsidR="00D510CF">
        <w:t xml:space="preserve"> a body corporate (company) is five</w:t>
      </w:r>
      <w:r>
        <w:t xml:space="preserve"> times higher than the</w:t>
      </w:r>
      <w:r w:rsidRPr="00916001">
        <w:t xml:space="preserve"> penalty that can be imposed on a</w:t>
      </w:r>
      <w:r w:rsidR="00FB4870">
        <w:t>n</w:t>
      </w:r>
      <w:r w:rsidRPr="00916001">
        <w:t xml:space="preserve"> </w:t>
      </w:r>
      <w:r w:rsidR="00A42A16">
        <w:t>individual</w:t>
      </w:r>
      <w:r>
        <w:t xml:space="preserve">. For more information see </w:t>
      </w:r>
      <w:r w:rsidRPr="00916001">
        <w:t xml:space="preserve">subsection </w:t>
      </w:r>
      <w:proofErr w:type="gramStart"/>
      <w:r w:rsidRPr="00916001">
        <w:t>4B(</w:t>
      </w:r>
      <w:proofErr w:type="gramEnd"/>
      <w:r w:rsidRPr="00916001">
        <w:t xml:space="preserve">3) of the </w:t>
      </w:r>
      <w:hyperlink r:id="rId61" w:history="1">
        <w:r w:rsidRPr="00EF160D">
          <w:rPr>
            <w:rStyle w:val="Hyperlink"/>
            <w:rFonts w:asciiTheme="minorHAnsi" w:hAnsiTheme="minorHAnsi" w:cs="Segoe UI"/>
            <w:i/>
            <w:szCs w:val="22"/>
          </w:rPr>
          <w:t>Crimes Act 1914</w:t>
        </w:r>
      </w:hyperlink>
      <w:r w:rsidRPr="00916001">
        <w:t>.</w:t>
      </w:r>
    </w:p>
    <w:p w14:paraId="44011FE3" w14:textId="5FC6BE83" w:rsidR="005E6977" w:rsidRDefault="00C42004" w:rsidP="00473869">
      <w:r>
        <w:t>T</w:t>
      </w:r>
      <w:r w:rsidR="005E6977" w:rsidRPr="00ED3A30">
        <w:t xml:space="preserve">he Act </w:t>
      </w:r>
      <w:r w:rsidR="005B75CC">
        <w:t xml:space="preserve">also </w:t>
      </w:r>
      <w:r w:rsidR="005E6977" w:rsidRPr="00ED3A30">
        <w:t xml:space="preserve">provides for </w:t>
      </w:r>
      <w:r w:rsidR="005E6977" w:rsidRPr="00ED3A30">
        <w:rPr>
          <w:b/>
        </w:rPr>
        <w:t>continuing contraventions</w:t>
      </w:r>
      <w:r w:rsidR="005E6977" w:rsidRPr="00ED3A30">
        <w:t xml:space="preserve"> </w:t>
      </w:r>
      <w:r w:rsidR="00251C17">
        <w:t>(</w:t>
      </w:r>
      <w:r w:rsidR="00251C17" w:rsidRPr="00E964F3">
        <w:t>breaches</w:t>
      </w:r>
      <w:r w:rsidR="00251C17">
        <w:t>)</w:t>
      </w:r>
      <w:r w:rsidR="00251C17" w:rsidRPr="00ED3A30">
        <w:t xml:space="preserve"> </w:t>
      </w:r>
      <w:r w:rsidR="005E6977" w:rsidRPr="00ED3A30">
        <w:t>of civil penalty provisions</w:t>
      </w:r>
      <w:r>
        <w:t>.</w:t>
      </w:r>
      <w:r w:rsidR="005E6977" w:rsidRPr="00ED3A30">
        <w:t xml:space="preserve"> </w:t>
      </w:r>
      <w:r w:rsidR="00251C17">
        <w:t>If</w:t>
      </w:r>
      <w:r>
        <w:t xml:space="preserve"> you</w:t>
      </w:r>
      <w:r w:rsidR="005E6977" w:rsidRPr="00ED3A30">
        <w:t xml:space="preserve"> </w:t>
      </w:r>
      <w:r>
        <w:t>have</w:t>
      </w:r>
      <w:r w:rsidR="005E6977" w:rsidRPr="00ED3A30">
        <w:t xml:space="preserve"> an obligation to do </w:t>
      </w:r>
      <w:r w:rsidR="00251C17">
        <w:t>some</w:t>
      </w:r>
      <w:r w:rsidR="005E6977" w:rsidRPr="00ED3A30">
        <w:t xml:space="preserve">thing within or before a particular time, and </w:t>
      </w:r>
      <w:r>
        <w:t>you have</w:t>
      </w:r>
      <w:r w:rsidRPr="00ED3A30">
        <w:t xml:space="preserve"> </w:t>
      </w:r>
      <w:r w:rsidR="005E6977" w:rsidRPr="00ED3A30">
        <w:t>not met that obligation, a separate civil penalty contravention can continue each day unti</w:t>
      </w:r>
      <w:r w:rsidR="00473869">
        <w:t>l that obligation has been met.</w:t>
      </w:r>
    </w:p>
    <w:p w14:paraId="6DBB0402" w14:textId="77777777" w:rsidR="00A148D8" w:rsidRPr="00ED3A30" w:rsidRDefault="00A148D8" w:rsidP="00473869">
      <w:pPr>
        <w:pStyle w:val="Heading3"/>
      </w:pPr>
      <w:bookmarkStart w:id="49" w:name="_Toc11398775"/>
      <w:bookmarkStart w:id="50" w:name="_Toc17980119"/>
      <w:bookmarkStart w:id="51" w:name="_Toc69198517"/>
      <w:r w:rsidRPr="00ED3A30">
        <w:t xml:space="preserve">Criminal </w:t>
      </w:r>
      <w:r w:rsidRPr="00473869">
        <w:t>offences</w:t>
      </w:r>
      <w:bookmarkEnd w:id="49"/>
      <w:bookmarkEnd w:id="50"/>
      <w:bookmarkEnd w:id="51"/>
    </w:p>
    <w:p w14:paraId="3A95C427" w14:textId="77777777" w:rsidR="00A148D8" w:rsidRDefault="00A148D8" w:rsidP="00473869">
      <w:pPr>
        <w:rPr>
          <w:rFonts w:asciiTheme="minorHAnsi" w:hAnsiTheme="minorHAnsi"/>
          <w:szCs w:val="22"/>
        </w:rPr>
      </w:pPr>
      <w:r w:rsidRPr="00ED3A30">
        <w:rPr>
          <w:rFonts w:asciiTheme="minorHAnsi" w:hAnsiTheme="minorHAnsi"/>
          <w:szCs w:val="22"/>
        </w:rPr>
        <w:t xml:space="preserve">The </w:t>
      </w:r>
      <w:hyperlink r:id="rId62" w:history="1">
        <w:r w:rsidRPr="0090077D">
          <w:rPr>
            <w:rStyle w:val="Hyperlink"/>
            <w:i/>
            <w:szCs w:val="22"/>
          </w:rPr>
          <w:t>Therapeutic Goods Act 1989</w:t>
        </w:r>
      </w:hyperlink>
      <w:r w:rsidRPr="00ED3A30">
        <w:rPr>
          <w:rFonts w:asciiTheme="minorHAnsi" w:hAnsiTheme="minorHAnsi"/>
          <w:szCs w:val="22"/>
        </w:rPr>
        <w:t xml:space="preserve"> provides for a number of </w:t>
      </w:r>
      <w:hyperlink r:id="rId63" w:anchor="criminal" w:history="1">
        <w:r w:rsidRPr="00CA545C">
          <w:rPr>
            <w:rStyle w:val="Hyperlink"/>
            <w:rFonts w:asciiTheme="minorHAnsi" w:hAnsiTheme="minorHAnsi"/>
            <w:szCs w:val="22"/>
          </w:rPr>
          <w:t>criminal offence provisions</w:t>
        </w:r>
      </w:hyperlink>
      <w:r>
        <w:rPr>
          <w:rStyle w:val="Hyperlink"/>
          <w:rFonts w:asciiTheme="minorHAnsi" w:hAnsiTheme="minorHAnsi"/>
          <w:szCs w:val="22"/>
        </w:rPr>
        <w:t xml:space="preserve"> </w:t>
      </w:r>
      <w:r w:rsidRPr="00ED3A30">
        <w:rPr>
          <w:rFonts w:asciiTheme="minorHAnsi" w:hAnsiTheme="minorHAnsi"/>
          <w:szCs w:val="22"/>
        </w:rPr>
        <w:t>relating to manufacturing licen</w:t>
      </w:r>
      <w:r>
        <w:rPr>
          <w:rFonts w:asciiTheme="minorHAnsi" w:hAnsiTheme="minorHAnsi"/>
          <w:szCs w:val="22"/>
        </w:rPr>
        <w:t>c</w:t>
      </w:r>
      <w:r w:rsidRPr="00ED3A30">
        <w:rPr>
          <w:rFonts w:asciiTheme="minorHAnsi" w:hAnsiTheme="minorHAnsi"/>
          <w:szCs w:val="22"/>
        </w:rPr>
        <w:t>es and statutory obligations on licence holders</w:t>
      </w:r>
      <w:r>
        <w:rPr>
          <w:rFonts w:asciiTheme="minorHAnsi" w:hAnsiTheme="minorHAnsi"/>
          <w:szCs w:val="22"/>
        </w:rPr>
        <w:t>.</w:t>
      </w:r>
    </w:p>
    <w:p w14:paraId="1E92D6B9" w14:textId="2BE218F4" w:rsidR="00A148D8" w:rsidRPr="00ED3A30" w:rsidRDefault="00A148D8" w:rsidP="00473869">
      <w:r>
        <w:t>For more information on criminal offence provisions, see Part 3.3</w:t>
      </w:r>
      <w:r w:rsidR="00473869">
        <w:t xml:space="preserve"> of the Act.</w:t>
      </w:r>
    </w:p>
    <w:p w14:paraId="350A2E8A" w14:textId="77777777" w:rsidR="005E6977" w:rsidRPr="00ED3A30" w:rsidRDefault="005E6977" w:rsidP="00473869">
      <w:pPr>
        <w:pStyle w:val="Heading3"/>
      </w:pPr>
      <w:bookmarkStart w:id="52" w:name="_Toc2758696"/>
      <w:bookmarkStart w:id="53" w:name="_Toc4143943"/>
      <w:bookmarkStart w:id="54" w:name="_Toc11398779"/>
      <w:bookmarkStart w:id="55" w:name="_Toc17980124"/>
      <w:bookmarkStart w:id="56" w:name="_Toc69198518"/>
      <w:r w:rsidRPr="00ED3A30">
        <w:lastRenderedPageBreak/>
        <w:t xml:space="preserve">Publication of compliance or </w:t>
      </w:r>
      <w:r w:rsidRPr="00473869">
        <w:t>enforcement</w:t>
      </w:r>
      <w:r w:rsidRPr="00ED3A30">
        <w:t xml:space="preserve"> outcomes</w:t>
      </w:r>
      <w:bookmarkEnd w:id="52"/>
      <w:bookmarkEnd w:id="53"/>
      <w:bookmarkEnd w:id="54"/>
      <w:bookmarkEnd w:id="55"/>
      <w:bookmarkEnd w:id="56"/>
    </w:p>
    <w:p w14:paraId="4DB591BF" w14:textId="09159880" w:rsidR="00CD2D21" w:rsidRPr="00A449E7" w:rsidRDefault="00CD2D21" w:rsidP="00473869">
      <w:r>
        <w:t xml:space="preserve">If you fail to comply with your legal obligations relating to the manufacture of therapeutic goods, the </w:t>
      </w:r>
      <w:hyperlink r:id="rId64" w:history="1">
        <w:r w:rsidR="00A8136D" w:rsidRPr="0090077D">
          <w:rPr>
            <w:rStyle w:val="Hyperlink"/>
            <w:i/>
            <w:szCs w:val="22"/>
          </w:rPr>
          <w:t>Therapeutic Goods Act 1989</w:t>
        </w:r>
      </w:hyperlink>
      <w:r>
        <w:t xml:space="preserve"> allows us to publish your details and any actions we undertake.</w:t>
      </w:r>
    </w:p>
    <w:p w14:paraId="62A8295D" w14:textId="5ED605A2" w:rsidR="005E6977" w:rsidRPr="00ED3A30" w:rsidRDefault="00CD2D21" w:rsidP="00473869">
      <w:r>
        <w:t>Information we may publish</w:t>
      </w:r>
      <w:r w:rsidRPr="00ED3A30">
        <w:t xml:space="preserve"> includ</w:t>
      </w:r>
      <w:r>
        <w:t xml:space="preserve">es, </w:t>
      </w:r>
      <w:r w:rsidRPr="00ED3A30">
        <w:t xml:space="preserve">but </w:t>
      </w:r>
      <w:r>
        <w:t xml:space="preserve">is </w:t>
      </w:r>
      <w:r w:rsidRPr="00ED3A30">
        <w:t>not limited to</w:t>
      </w:r>
      <w:r>
        <w:t>:</w:t>
      </w:r>
    </w:p>
    <w:p w14:paraId="2AF76A35" w14:textId="4484267B" w:rsidR="00735744" w:rsidRDefault="00CD2D21" w:rsidP="00473869">
      <w:pPr>
        <w:pStyle w:val="ListBullet"/>
      </w:pPr>
      <w:r>
        <w:t>I</w:t>
      </w:r>
      <w:r w:rsidR="005E6977" w:rsidRPr="00ED3A30">
        <w:t xml:space="preserve">nformation on our website about infringement notices if they are paid. Details of the payment of the notice may be referred to in media or social media </w:t>
      </w:r>
      <w:r w:rsidR="005E6977" w:rsidRPr="00473869">
        <w:t>releases</w:t>
      </w:r>
      <w:r w:rsidR="00473869">
        <w:t>.</w:t>
      </w:r>
    </w:p>
    <w:p w14:paraId="5D1695F1" w14:textId="775B5BA5" w:rsidR="00735744" w:rsidRPr="00ED3A30" w:rsidRDefault="005E6977" w:rsidP="00473869">
      <w:pPr>
        <w:pStyle w:val="ListBullet"/>
      </w:pPr>
      <w:r w:rsidRPr="00ED3A30">
        <w:t xml:space="preserve">The Act requires </w:t>
      </w:r>
      <w:r w:rsidR="006854E9">
        <w:t>us</w:t>
      </w:r>
      <w:r w:rsidRPr="00ED3A30">
        <w:t xml:space="preserve"> to publish details of </w:t>
      </w:r>
      <w:hyperlink w:anchor="_Enforceable_undertaking_(Part" w:history="1">
        <w:r w:rsidR="006854E9" w:rsidRPr="0082140F">
          <w:rPr>
            <w:rStyle w:val="Hyperlink"/>
          </w:rPr>
          <w:t>enforceable undertakings</w:t>
        </w:r>
      </w:hyperlink>
      <w:r w:rsidRPr="00ED3A30">
        <w:t xml:space="preserve"> entered into between a promisor and the TGA on our website.</w:t>
      </w:r>
      <w:r w:rsidR="00A33185">
        <w:t xml:space="preserve"> </w:t>
      </w:r>
      <w:r w:rsidR="006854E9">
        <w:t>I</w:t>
      </w:r>
      <w:r w:rsidRPr="00ED3A30">
        <w:t xml:space="preserve">f </w:t>
      </w:r>
      <w:r w:rsidR="006854E9">
        <w:t>we</w:t>
      </w:r>
      <w:r w:rsidRPr="00ED3A30">
        <w:t xml:space="preserve"> pursue a person in the </w:t>
      </w:r>
      <w:r w:rsidR="006854E9">
        <w:t>F</w:t>
      </w:r>
      <w:r w:rsidRPr="00ED3A30">
        <w:t xml:space="preserve">ederal </w:t>
      </w:r>
      <w:r w:rsidR="006854E9">
        <w:t>C</w:t>
      </w:r>
      <w:r w:rsidRPr="00ED3A30">
        <w:t>ourt and the court imposes civil penalties, those matters will be published on our website and may be referred to in media or social media releases when the case is finalised.</w:t>
      </w:r>
    </w:p>
    <w:p w14:paraId="4F66C885" w14:textId="4886936B" w:rsidR="005E6977" w:rsidRPr="00ED3A30" w:rsidRDefault="006854E9" w:rsidP="00735744">
      <w:pPr>
        <w:pStyle w:val="ListBullet"/>
      </w:pPr>
      <w:r>
        <w:t>I</w:t>
      </w:r>
      <w:r w:rsidR="005E6977" w:rsidRPr="00ED3A30">
        <w:t xml:space="preserve">f </w:t>
      </w:r>
      <w:r>
        <w:t>we</w:t>
      </w:r>
      <w:r w:rsidR="005E6977" w:rsidRPr="00ED3A30">
        <w:t xml:space="preserve"> pursue a person in the criminal courts through the </w:t>
      </w:r>
      <w:hyperlink r:id="rId65" w:history="1">
        <w:r w:rsidRPr="00A449E7">
          <w:rPr>
            <w:rStyle w:val="Hyperlink"/>
          </w:rPr>
          <w:t>Commonwealth Director of Public Prosecutions (CDPP)</w:t>
        </w:r>
      </w:hyperlink>
      <w:r w:rsidR="005E6977" w:rsidRPr="00ED3A30">
        <w:t xml:space="preserve">, details of convictions will be published on </w:t>
      </w:r>
      <w:r>
        <w:t>our</w:t>
      </w:r>
      <w:r w:rsidR="005E6977" w:rsidRPr="00ED3A30">
        <w:t xml:space="preserve"> website and may be referred to in media or social media releases when the case is finalised.</w:t>
      </w:r>
    </w:p>
    <w:p w14:paraId="3EB9E92A" w14:textId="5E75C9B5" w:rsidR="008A6133" w:rsidRPr="00473869" w:rsidRDefault="0015245D" w:rsidP="00473869">
      <w:pPr>
        <w:pStyle w:val="Heading2"/>
      </w:pPr>
      <w:bookmarkStart w:id="57" w:name="_Toc69198519"/>
      <w:r>
        <w:t xml:space="preserve">GMP </w:t>
      </w:r>
      <w:r w:rsidR="008A6133">
        <w:t xml:space="preserve">Compliance </w:t>
      </w:r>
      <w:r w:rsidR="00AC7A97">
        <w:t>case</w:t>
      </w:r>
      <w:r w:rsidR="008A6133">
        <w:t xml:space="preserve"> </w:t>
      </w:r>
      <w:r w:rsidR="00720CDC">
        <w:t>s</w:t>
      </w:r>
      <w:r w:rsidR="008A6133">
        <w:t>tudies</w:t>
      </w:r>
      <w:bookmarkEnd w:id="57"/>
    </w:p>
    <w:p w14:paraId="43B2A1D7" w14:textId="6EEF26DA" w:rsidR="00815BD3" w:rsidRPr="00815BD3" w:rsidRDefault="00815BD3" w:rsidP="00473869">
      <w:r>
        <w:t xml:space="preserve">The following </w:t>
      </w:r>
      <w:r w:rsidR="00101B01">
        <w:t xml:space="preserve">GMP Compliance </w:t>
      </w:r>
      <w:r>
        <w:t xml:space="preserve">case studies are generic </w:t>
      </w:r>
      <w:r w:rsidR="00101B01">
        <w:t xml:space="preserve">case </w:t>
      </w:r>
      <w:r>
        <w:t xml:space="preserve">examples and are </w:t>
      </w:r>
      <w:r w:rsidRPr="008F71AD">
        <w:rPr>
          <w:b/>
        </w:rPr>
        <w:t>for information only</w:t>
      </w:r>
      <w:r>
        <w:t>.</w:t>
      </w:r>
    </w:p>
    <w:p w14:paraId="7D32D016" w14:textId="73305CD3" w:rsidR="008A6133" w:rsidRPr="00D47406" w:rsidRDefault="008A6133" w:rsidP="00473869">
      <w:pPr>
        <w:pStyle w:val="Heading3"/>
      </w:pPr>
      <w:bookmarkStart w:id="58" w:name="_Toc69198520"/>
      <w:r>
        <w:t>Suspension of EDQM Certificate of Suitability (CEP)</w:t>
      </w:r>
      <w:bookmarkEnd w:id="58"/>
    </w:p>
    <w:p w14:paraId="47DF6AA9" w14:textId="18B841CA" w:rsidR="004B777C" w:rsidRDefault="00BF32BF" w:rsidP="00473869">
      <w:r>
        <w:t xml:space="preserve">Following a </w:t>
      </w:r>
      <w:r w:rsidR="00CC2086" w:rsidRPr="005F77B9">
        <w:t>European Medicines Agency (EMA)</w:t>
      </w:r>
      <w:r w:rsidR="00CC2086">
        <w:t>/</w:t>
      </w:r>
      <w:r w:rsidR="00CC2086" w:rsidRPr="005F77B9">
        <w:t>European Directorate for the Quality of Medicines &amp; Healthcare (EDQM)</w:t>
      </w:r>
      <w:r>
        <w:t xml:space="preserve"> joint</w:t>
      </w:r>
      <w:r w:rsidR="004B777C">
        <w:t xml:space="preserve"> inspection of an active pharmaceutical ingredient (API) manufacturer</w:t>
      </w:r>
      <w:r w:rsidR="004B777C" w:rsidRPr="00EE3AE9">
        <w:t>,</w:t>
      </w:r>
      <w:r w:rsidR="004B777C">
        <w:t xml:space="preserve"> a </w:t>
      </w:r>
      <w:r w:rsidR="002A1FC5">
        <w:t>n</w:t>
      </w:r>
      <w:r w:rsidR="004B777C">
        <w:t>on-</w:t>
      </w:r>
      <w:r w:rsidR="002A1FC5">
        <w:t>c</w:t>
      </w:r>
      <w:r w:rsidR="004B777C">
        <w:t xml:space="preserve">ompliance </w:t>
      </w:r>
      <w:r w:rsidR="002A1FC5">
        <w:t>r</w:t>
      </w:r>
      <w:r w:rsidR="004B777C">
        <w:t>eport was issued. The EDQM subsequently suspended Certificates of Suitability (CEPs) for several APIs manufactured at this site.</w:t>
      </w:r>
    </w:p>
    <w:p w14:paraId="4568EB7E" w14:textId="1476DA1D" w:rsidR="004B777C" w:rsidRDefault="008F1940" w:rsidP="00473869">
      <w:r>
        <w:t xml:space="preserve">In response to a </w:t>
      </w:r>
      <w:r w:rsidR="00CC2086">
        <w:t xml:space="preserve">TGA </w:t>
      </w:r>
      <w:r w:rsidR="004B777C">
        <w:t>request, relevant sponsors provided further information, including detail</w:t>
      </w:r>
      <w:r w:rsidR="009D3477">
        <w:t>s</w:t>
      </w:r>
      <w:r w:rsidR="004B777C">
        <w:t xml:space="preserve"> of </w:t>
      </w:r>
      <w:r w:rsidR="0015245D">
        <w:t>p</w:t>
      </w:r>
      <w:r w:rsidR="0015245D" w:rsidRPr="0015245D">
        <w:t xml:space="preserve">roducts that </w:t>
      </w:r>
      <w:r w:rsidR="0015245D">
        <w:t>they have</w:t>
      </w:r>
      <w:r w:rsidR="0015245D" w:rsidRPr="0015245D">
        <w:t xml:space="preserve"> registered on the Australian Regis</w:t>
      </w:r>
      <w:r w:rsidR="00101B01">
        <w:t>ter of Therapeutic Goods (ARTG)</w:t>
      </w:r>
      <w:r w:rsidR="004B777C">
        <w:t>, product supply</w:t>
      </w:r>
      <w:r w:rsidR="0015245D">
        <w:t xml:space="preserve"> details</w:t>
      </w:r>
      <w:r w:rsidR="004B777C">
        <w:t xml:space="preserve"> and risk assessments. Critical medicines and current/potential medicine shortages were identified</w:t>
      </w:r>
      <w:r w:rsidR="003A1756">
        <w:t xml:space="preserve"> and confirmed</w:t>
      </w:r>
      <w:r w:rsidR="004B777C">
        <w:t>.</w:t>
      </w:r>
    </w:p>
    <w:p w14:paraId="30C07C7E" w14:textId="666439CC" w:rsidR="004B777C" w:rsidRPr="004B777C" w:rsidRDefault="00CC2086" w:rsidP="00473869">
      <w:r>
        <w:t xml:space="preserve">TGA </w:t>
      </w:r>
      <w:r w:rsidR="009D3477">
        <w:t xml:space="preserve">GMP </w:t>
      </w:r>
      <w:r w:rsidR="006D35D9">
        <w:t xml:space="preserve">Compliance </w:t>
      </w:r>
      <w:r w:rsidR="00101B01">
        <w:t xml:space="preserve">Team </w:t>
      </w:r>
      <w:r w:rsidR="006D35D9">
        <w:t xml:space="preserve">were subsequently notified that the manufacturer had suspended their manufacturing activities </w:t>
      </w:r>
      <w:r w:rsidR="006D35D9" w:rsidRPr="006D35D9">
        <w:t>until all of the activities impacted by the EDQM findings ha</w:t>
      </w:r>
      <w:r w:rsidR="00A33185">
        <w:t>d</w:t>
      </w:r>
      <w:r w:rsidR="006D35D9" w:rsidRPr="006D35D9">
        <w:t xml:space="preserve"> been addressed and compliant activities can be assured. </w:t>
      </w:r>
      <w:r w:rsidR="006D35D9">
        <w:t>The CEPs remained suspended.</w:t>
      </w:r>
    </w:p>
    <w:p w14:paraId="61CFDB41" w14:textId="2BE40301" w:rsidR="004B777C" w:rsidRDefault="006D35D9" w:rsidP="005E18C6">
      <w:pPr>
        <w:keepNext/>
      </w:pPr>
      <w:r>
        <w:t xml:space="preserve">Following assessment of the information available including sponsor specific information and risk assessments, the following </w:t>
      </w:r>
      <w:r w:rsidR="007C6138">
        <w:t>compliance</w:t>
      </w:r>
      <w:r>
        <w:t xml:space="preserve"> actions were taken:</w:t>
      </w:r>
    </w:p>
    <w:p w14:paraId="2189E20A" w14:textId="7109D083" w:rsidR="006D35D9" w:rsidRPr="00A33185" w:rsidRDefault="00CC2086" w:rsidP="00473869">
      <w:pPr>
        <w:pStyle w:val="ListBullet"/>
      </w:pPr>
      <w:r w:rsidRPr="00A33185">
        <w:t xml:space="preserve">Suspension </w:t>
      </w:r>
      <w:r w:rsidR="000604BE" w:rsidRPr="00A33185">
        <w:t>of existing</w:t>
      </w:r>
      <w:r w:rsidR="006D35D9" w:rsidRPr="00A33185">
        <w:t xml:space="preserve"> clearance</w:t>
      </w:r>
      <w:r w:rsidR="000604BE" w:rsidRPr="00A33185">
        <w:t>s</w:t>
      </w:r>
      <w:r w:rsidR="006D35D9" w:rsidRPr="00A33185">
        <w:t xml:space="preserve"> where there </w:t>
      </w:r>
      <w:r w:rsidR="000604BE" w:rsidRPr="00A33185">
        <w:t>we</w:t>
      </w:r>
      <w:r w:rsidR="00101B01">
        <w:t>re no ARTGs or no</w:t>
      </w:r>
      <w:r w:rsidR="006D35D9" w:rsidRPr="00A33185">
        <w:t xml:space="preserve"> products being supplied in Australia</w:t>
      </w:r>
      <w:r w:rsidRPr="00A33185">
        <w:t>.</w:t>
      </w:r>
    </w:p>
    <w:p w14:paraId="262F861B" w14:textId="6DE0826A" w:rsidR="006D35D9" w:rsidRPr="00473869" w:rsidRDefault="006D35D9" w:rsidP="00473869">
      <w:pPr>
        <w:pStyle w:val="ListBullet"/>
      </w:pPr>
      <w:r w:rsidRPr="00A33185">
        <w:t>Suspen</w:t>
      </w:r>
      <w:r w:rsidR="00CC2086" w:rsidRPr="00A33185">
        <w:t>sion</w:t>
      </w:r>
      <w:r w:rsidR="000604BE" w:rsidRPr="00A33185">
        <w:t xml:space="preserve"> of</w:t>
      </w:r>
      <w:r w:rsidRPr="00A33185">
        <w:t xml:space="preserve"> </w:t>
      </w:r>
      <w:r w:rsidR="000604BE" w:rsidRPr="00A33185">
        <w:t xml:space="preserve">existing </w:t>
      </w:r>
      <w:r w:rsidRPr="00A33185">
        <w:t xml:space="preserve">clearances </w:t>
      </w:r>
      <w:r w:rsidR="000604BE" w:rsidRPr="00A33185">
        <w:t xml:space="preserve">that </w:t>
      </w:r>
      <w:r w:rsidR="000604BE" w:rsidRPr="00473869">
        <w:t xml:space="preserve">were </w:t>
      </w:r>
      <w:r w:rsidRPr="00473869">
        <w:t>not related to medicines shortages or critical medicines</w:t>
      </w:r>
      <w:r w:rsidR="00CC2086" w:rsidRPr="00473869">
        <w:t>.</w:t>
      </w:r>
    </w:p>
    <w:p w14:paraId="1B813A36" w14:textId="7A393331" w:rsidR="00671944" w:rsidRPr="00473869" w:rsidRDefault="00671944" w:rsidP="00473869">
      <w:pPr>
        <w:pStyle w:val="ListBullet"/>
      </w:pPr>
      <w:r w:rsidRPr="00473869">
        <w:t>Relevant sponsors were notified of the compliance actions to be taken</w:t>
      </w:r>
      <w:r w:rsidR="00A4090C" w:rsidRPr="00473869">
        <w:t>, including advice regarding on-going or future supply and potential recall actions.</w:t>
      </w:r>
    </w:p>
    <w:p w14:paraId="44211BBB" w14:textId="7314889D" w:rsidR="00671944" w:rsidRPr="00473869" w:rsidRDefault="00671944" w:rsidP="00473869">
      <w:pPr>
        <w:pStyle w:val="ListBullet"/>
      </w:pPr>
      <w:r w:rsidRPr="00473869">
        <w:t>Continu</w:t>
      </w:r>
      <w:r w:rsidR="00CC2086" w:rsidRPr="00473869">
        <w:t>ed</w:t>
      </w:r>
      <w:r w:rsidRPr="00473869">
        <w:t xml:space="preserve"> monitor</w:t>
      </w:r>
      <w:r w:rsidR="00CC2086" w:rsidRPr="00473869">
        <w:t>ing</w:t>
      </w:r>
      <w:r w:rsidRPr="00473869">
        <w:t xml:space="preserve"> of further compliance intelligence including the reinstatement of the CEPs.</w:t>
      </w:r>
    </w:p>
    <w:p w14:paraId="1C9360DA" w14:textId="6BC99B40" w:rsidR="00671944" w:rsidRPr="00D47406" w:rsidRDefault="00671944" w:rsidP="00473869">
      <w:pPr>
        <w:pStyle w:val="Heading3"/>
      </w:pPr>
      <w:bookmarkStart w:id="59" w:name="_Toc69198521"/>
      <w:r>
        <w:lastRenderedPageBreak/>
        <w:t>Anonymous Tip-off</w:t>
      </w:r>
      <w:bookmarkEnd w:id="59"/>
    </w:p>
    <w:p w14:paraId="0DFA1FB5" w14:textId="0721BB25" w:rsidR="00671944" w:rsidRPr="00875002" w:rsidRDefault="008F1940" w:rsidP="00473869">
      <w:r>
        <w:t xml:space="preserve">The </w:t>
      </w:r>
      <w:r w:rsidR="00671944" w:rsidRPr="0004040E">
        <w:t xml:space="preserve">TGA received an anonymous </w:t>
      </w:r>
      <w:r w:rsidR="00CD2379">
        <w:t>tip-off</w:t>
      </w:r>
      <w:r w:rsidR="00671944" w:rsidRPr="0004040E">
        <w:t xml:space="preserve"> </w:t>
      </w:r>
      <w:r w:rsidR="0004040E" w:rsidRPr="00916752">
        <w:t>related to</w:t>
      </w:r>
      <w:r w:rsidR="00671944" w:rsidRPr="0004040E">
        <w:t xml:space="preserve"> </w:t>
      </w:r>
      <w:r w:rsidR="00101B01">
        <w:rPr>
          <w:i/>
        </w:rPr>
        <w:t>Company A</w:t>
      </w:r>
      <w:r w:rsidR="00671944" w:rsidRPr="0004040E">
        <w:t>, an Australian TGA licensed manufacturer.</w:t>
      </w:r>
      <w:r w:rsidR="0004040E" w:rsidRPr="00916752">
        <w:t xml:space="preserve"> The tip-off was in relation to falsification of test results and the use of toxic raw materials in the </w:t>
      </w:r>
      <w:r w:rsidR="0004040E" w:rsidRPr="00875002">
        <w:t xml:space="preserve">manufacture </w:t>
      </w:r>
      <w:r w:rsidR="00CD2379">
        <w:t>of products at this site</w:t>
      </w:r>
      <w:r w:rsidR="0004040E" w:rsidRPr="00916752">
        <w:t>.</w:t>
      </w:r>
    </w:p>
    <w:p w14:paraId="4641DE7C" w14:textId="3B66902D" w:rsidR="00671944" w:rsidRDefault="00590F4E" w:rsidP="00473869">
      <w:r>
        <w:t>A</w:t>
      </w:r>
      <w:r w:rsidR="00671944" w:rsidRPr="00875002">
        <w:t xml:space="preserve">ssessment of the </w:t>
      </w:r>
      <w:r w:rsidR="00CC2086" w:rsidRPr="00875002">
        <w:t>availabl</w:t>
      </w:r>
      <w:r w:rsidR="00CC2086" w:rsidRPr="00916752">
        <w:t>e</w:t>
      </w:r>
      <w:r w:rsidR="00CC2086" w:rsidRPr="00875002">
        <w:t xml:space="preserve"> </w:t>
      </w:r>
      <w:r w:rsidR="00671944" w:rsidRPr="00875002">
        <w:t>information</w:t>
      </w:r>
      <w:r w:rsidR="0004040E" w:rsidRPr="00916752">
        <w:t>,</w:t>
      </w:r>
      <w:r w:rsidR="00875002" w:rsidRPr="00916752">
        <w:t xml:space="preserve"> </w:t>
      </w:r>
      <w:r w:rsidR="008F1940">
        <w:t>determined</w:t>
      </w:r>
      <w:r w:rsidR="008F1940" w:rsidRPr="00916752">
        <w:t xml:space="preserve"> </w:t>
      </w:r>
      <w:r w:rsidR="00875002" w:rsidRPr="00916752">
        <w:t xml:space="preserve">that </w:t>
      </w:r>
      <w:r>
        <w:t xml:space="preserve">the </w:t>
      </w:r>
      <w:r w:rsidR="00CD2379">
        <w:t xml:space="preserve">TGA conduct </w:t>
      </w:r>
      <w:r w:rsidR="00875002" w:rsidRPr="00916752">
        <w:t xml:space="preserve">a compliance inspection </w:t>
      </w:r>
      <w:r w:rsidR="00CD2379">
        <w:t>of this site</w:t>
      </w:r>
      <w:r w:rsidR="00875002" w:rsidRPr="00916752">
        <w:t xml:space="preserve"> to review </w:t>
      </w:r>
      <w:r w:rsidR="00CD2379">
        <w:t>this signal</w:t>
      </w:r>
      <w:r w:rsidR="00875002" w:rsidRPr="00916752">
        <w:t>. The site was due to have a reinspection</w:t>
      </w:r>
      <w:r w:rsidR="00CD2379">
        <w:t xml:space="preserve"> within 12-months</w:t>
      </w:r>
      <w:r w:rsidR="00875002" w:rsidRPr="00916752">
        <w:t xml:space="preserve">, but the inspection date for this manufacturer was brought forward following assessment of this </w:t>
      </w:r>
      <w:r w:rsidR="0015245D">
        <w:t xml:space="preserve">GMP </w:t>
      </w:r>
      <w:r w:rsidR="00875002" w:rsidRPr="00916752">
        <w:t>compliance signal</w:t>
      </w:r>
      <w:r w:rsidR="00473869">
        <w:t>.</w:t>
      </w:r>
    </w:p>
    <w:p w14:paraId="18F49EDB" w14:textId="26B75E0D" w:rsidR="008A6133" w:rsidRPr="00473869" w:rsidRDefault="008A6133" w:rsidP="00473869">
      <w:pPr>
        <w:pStyle w:val="Heading3"/>
      </w:pPr>
      <w:bookmarkStart w:id="60" w:name="_Toc69198522"/>
      <w:r>
        <w:t>USFDA Warning Letter</w:t>
      </w:r>
      <w:bookmarkEnd w:id="60"/>
    </w:p>
    <w:p w14:paraId="2C7FE4D1" w14:textId="2853BECE" w:rsidR="003A1756" w:rsidRPr="003A1756" w:rsidRDefault="00101B01" w:rsidP="00473869">
      <w:pPr>
        <w:rPr>
          <w:b/>
          <w:bCs/>
        </w:rPr>
      </w:pPr>
      <w:r>
        <w:rPr>
          <w:i/>
        </w:rPr>
        <w:t>Company B</w:t>
      </w:r>
      <w:r w:rsidR="003A1756" w:rsidRPr="003A1756">
        <w:t xml:space="preserve"> </w:t>
      </w:r>
      <w:r w:rsidR="003A1756">
        <w:t xml:space="preserve">is a large manufacturing facility for </w:t>
      </w:r>
      <w:r w:rsidR="003A1756" w:rsidRPr="003A1756">
        <w:t xml:space="preserve">sterile </w:t>
      </w:r>
      <w:r w:rsidR="006F2730">
        <w:t>injectable products</w:t>
      </w:r>
      <w:r w:rsidR="003A1756">
        <w:t xml:space="preserve">. </w:t>
      </w:r>
      <w:r w:rsidR="003A1756" w:rsidRPr="003A1756">
        <w:t xml:space="preserve">The </w:t>
      </w:r>
      <w:r w:rsidR="00122311">
        <w:t>US</w:t>
      </w:r>
      <w:r>
        <w:t xml:space="preserve">FDA conducted an inspection </w:t>
      </w:r>
      <w:r w:rsidR="006F2730">
        <w:t>of this site and issued</w:t>
      </w:r>
      <w:r w:rsidR="003A1756">
        <w:t xml:space="preserve"> </w:t>
      </w:r>
      <w:r w:rsidR="003A1756" w:rsidRPr="003A1756">
        <w:t xml:space="preserve">a </w:t>
      </w:r>
      <w:r w:rsidR="00CC2086">
        <w:t>w</w:t>
      </w:r>
      <w:r w:rsidR="003A1756" w:rsidRPr="003A1756">
        <w:t xml:space="preserve">arning </w:t>
      </w:r>
      <w:r w:rsidR="00CC2086">
        <w:t>l</w:t>
      </w:r>
      <w:r w:rsidR="00473869">
        <w:t>etter.</w:t>
      </w:r>
    </w:p>
    <w:p w14:paraId="1A317C7A" w14:textId="2FC9706D" w:rsidR="000604BE" w:rsidRDefault="006F2730" w:rsidP="00473869">
      <w:pPr>
        <w:rPr>
          <w:rFonts w:asciiTheme="minorHAnsi" w:hAnsiTheme="minorHAnsi"/>
        </w:rPr>
      </w:pPr>
      <w:r>
        <w:rPr>
          <w:rFonts w:asciiTheme="minorHAnsi" w:hAnsiTheme="minorHAnsi"/>
        </w:rPr>
        <w:t>Sponsors were</w:t>
      </w:r>
      <w:r w:rsidR="00492EC2">
        <w:rPr>
          <w:rFonts w:asciiTheme="minorHAnsi" w:hAnsiTheme="minorHAnsi"/>
        </w:rPr>
        <w:t xml:space="preserve"> </w:t>
      </w:r>
      <w:r>
        <w:rPr>
          <w:rFonts w:asciiTheme="minorHAnsi" w:hAnsiTheme="minorHAnsi"/>
        </w:rPr>
        <w:t xml:space="preserve">requested to provide information including </w:t>
      </w:r>
      <w:r w:rsidR="0015245D">
        <w:rPr>
          <w:rFonts w:asciiTheme="minorHAnsi" w:hAnsiTheme="minorHAnsi"/>
        </w:rPr>
        <w:t>p</w:t>
      </w:r>
      <w:r w:rsidR="0015245D" w:rsidRPr="0015245D">
        <w:rPr>
          <w:rFonts w:asciiTheme="minorHAnsi" w:hAnsiTheme="minorHAnsi"/>
        </w:rPr>
        <w:t xml:space="preserve">roducts that </w:t>
      </w:r>
      <w:r w:rsidR="0015245D">
        <w:rPr>
          <w:rFonts w:asciiTheme="minorHAnsi" w:hAnsiTheme="minorHAnsi"/>
        </w:rPr>
        <w:t>they have</w:t>
      </w:r>
      <w:r w:rsidR="0015245D" w:rsidRPr="0015245D">
        <w:rPr>
          <w:rFonts w:asciiTheme="minorHAnsi" w:hAnsiTheme="minorHAnsi"/>
        </w:rPr>
        <w:t xml:space="preserve"> registered </w:t>
      </w:r>
      <w:r w:rsidR="0015245D">
        <w:rPr>
          <w:rFonts w:asciiTheme="minorHAnsi" w:hAnsiTheme="minorHAnsi"/>
        </w:rPr>
        <w:t>and/</w:t>
      </w:r>
      <w:r w:rsidR="0015245D" w:rsidRPr="0015245D">
        <w:rPr>
          <w:rFonts w:asciiTheme="minorHAnsi" w:hAnsiTheme="minorHAnsi"/>
        </w:rPr>
        <w:t>or listed on the Australian Regis</w:t>
      </w:r>
      <w:r w:rsidR="00101B01">
        <w:rPr>
          <w:rFonts w:asciiTheme="minorHAnsi" w:hAnsiTheme="minorHAnsi"/>
        </w:rPr>
        <w:t xml:space="preserve">ter of Therapeutic Goods (ARTG), product </w:t>
      </w:r>
      <w:r>
        <w:rPr>
          <w:rFonts w:asciiTheme="minorHAnsi" w:hAnsiTheme="minorHAnsi"/>
        </w:rPr>
        <w:t xml:space="preserve">supply </w:t>
      </w:r>
      <w:r w:rsidR="00101B01">
        <w:rPr>
          <w:rFonts w:asciiTheme="minorHAnsi" w:hAnsiTheme="minorHAnsi"/>
        </w:rPr>
        <w:t xml:space="preserve">detail </w:t>
      </w:r>
      <w:r>
        <w:rPr>
          <w:rFonts w:asciiTheme="minorHAnsi" w:hAnsiTheme="minorHAnsi"/>
        </w:rPr>
        <w:t xml:space="preserve">and risk assessment. </w:t>
      </w:r>
      <w:r w:rsidR="000604BE">
        <w:rPr>
          <w:rFonts w:asciiTheme="minorHAnsi" w:hAnsiTheme="minorHAnsi"/>
        </w:rPr>
        <w:t>There were no critical medicines or medicine shortage associated with this manufacturing site.</w:t>
      </w:r>
    </w:p>
    <w:p w14:paraId="27BE0BCE" w14:textId="26278C26" w:rsidR="000604BE" w:rsidRDefault="000604BE" w:rsidP="00473869">
      <w:pPr>
        <w:rPr>
          <w:rFonts w:asciiTheme="minorHAnsi" w:hAnsiTheme="minorHAnsi"/>
        </w:rPr>
      </w:pPr>
      <w:r>
        <w:rPr>
          <w:rFonts w:asciiTheme="minorHAnsi" w:hAnsiTheme="minorHAnsi"/>
        </w:rPr>
        <w:t>Following assessment of the information available including sponsor specific information and risk assessments, there was insufficient evidence to demonstrate that the risks are adequately managed. The following compliance actions were taken:</w:t>
      </w:r>
    </w:p>
    <w:p w14:paraId="6C6FDF75" w14:textId="0BCBE3E4" w:rsidR="00CD2379" w:rsidRDefault="00DC7C47" w:rsidP="00473869">
      <w:pPr>
        <w:pStyle w:val="ListBullet"/>
      </w:pPr>
      <w:r>
        <w:t xml:space="preserve">Information was requested on the progress of the </w:t>
      </w:r>
      <w:r w:rsidRPr="00473869">
        <w:t>CAPAs</w:t>
      </w:r>
      <w:r>
        <w:t xml:space="preserve"> relevant to products to be supplied to Australia. However, the information was insufficient to demonstrate</w:t>
      </w:r>
      <w:r w:rsidR="00CD2379" w:rsidRPr="00671944">
        <w:t xml:space="preserve"> </w:t>
      </w:r>
      <w:r>
        <w:t xml:space="preserve">that there is no </w:t>
      </w:r>
      <w:r w:rsidR="00CD2379" w:rsidRPr="00671944">
        <w:t xml:space="preserve">ongoing problem that </w:t>
      </w:r>
      <w:r>
        <w:t xml:space="preserve">would </w:t>
      </w:r>
      <w:r w:rsidR="00CD2379" w:rsidRPr="00671944">
        <w:t>impact the supply for Australia for th</w:t>
      </w:r>
      <w:r w:rsidR="00CD2379">
        <w:t>is manufacturing</w:t>
      </w:r>
      <w:r w:rsidR="00CD2379" w:rsidRPr="00671944">
        <w:t xml:space="preserve"> site.</w:t>
      </w:r>
      <w:r>
        <w:t xml:space="preserve"> Therefore, a TGA inspection was scheduled.</w:t>
      </w:r>
    </w:p>
    <w:p w14:paraId="781DB084" w14:textId="18F7C1A6" w:rsidR="000604BE" w:rsidRPr="00473869" w:rsidRDefault="000604BE" w:rsidP="00473869">
      <w:pPr>
        <w:pStyle w:val="ListBullet"/>
      </w:pPr>
      <w:r>
        <w:t xml:space="preserve">All clearance </w:t>
      </w:r>
      <w:r w:rsidRPr="00473869">
        <w:t xml:space="preserve">applications in progress were progressed based on </w:t>
      </w:r>
      <w:r w:rsidR="003D59FD" w:rsidRPr="00473869">
        <w:t xml:space="preserve">the proviso of </w:t>
      </w:r>
      <w:r w:rsidRPr="00473869">
        <w:t>satisfactory TGA inspection only</w:t>
      </w:r>
      <w:r w:rsidR="00122311" w:rsidRPr="00473869">
        <w:t>.</w:t>
      </w:r>
    </w:p>
    <w:p w14:paraId="1E97C33B" w14:textId="7667B5A5" w:rsidR="000604BE" w:rsidRDefault="000604BE" w:rsidP="00473869">
      <w:pPr>
        <w:pStyle w:val="ListBullet"/>
      </w:pPr>
      <w:r w:rsidRPr="00473869">
        <w:t>All existing clearances</w:t>
      </w:r>
      <w:r>
        <w:t xml:space="preserve"> were suspended.</w:t>
      </w:r>
    </w:p>
    <w:p w14:paraId="6A97539D" w14:textId="67E673A6" w:rsidR="000604BE" w:rsidRDefault="000604BE" w:rsidP="00EF160D">
      <w:pPr>
        <w:pStyle w:val="ListBullet"/>
      </w:pPr>
      <w:r>
        <w:t>Relevant sponsors were notified of the compliance actions to be taken</w:t>
      </w:r>
      <w:r w:rsidR="00A4090C">
        <w:t>, including advice regarding on-going or future supply and potential recall actions.</w:t>
      </w:r>
    </w:p>
    <w:p w14:paraId="6E2AA3FB" w14:textId="50312AAB" w:rsidR="00D84DCE" w:rsidRPr="00473869" w:rsidRDefault="00C319AE" w:rsidP="00473869">
      <w:pPr>
        <w:pStyle w:val="Heading3"/>
      </w:pPr>
      <w:bookmarkStart w:id="61" w:name="_Toc69198523"/>
      <w:r>
        <w:t>Hazard alerts for missing donor related medical history</w:t>
      </w:r>
      <w:bookmarkEnd w:id="61"/>
    </w:p>
    <w:p w14:paraId="166FADC9" w14:textId="6EE88C22" w:rsidR="00D84DCE" w:rsidRDefault="00101B01" w:rsidP="00473869">
      <w:r>
        <w:rPr>
          <w:i/>
        </w:rPr>
        <w:t>Company C</w:t>
      </w:r>
      <w:r w:rsidR="00C319AE">
        <w:rPr>
          <w:i/>
        </w:rPr>
        <w:t xml:space="preserve"> </w:t>
      </w:r>
      <w:r w:rsidR="00D84DCE" w:rsidRPr="00122311">
        <w:t xml:space="preserve">is a </w:t>
      </w:r>
      <w:r w:rsidR="00C319AE" w:rsidRPr="00122311">
        <w:t xml:space="preserve">medium scale human tissue processing facility that provides human tissue for implantation to surgeons operating within Australian hospitals. The TGA received </w:t>
      </w:r>
      <w:r w:rsidR="00DA6786">
        <w:t xml:space="preserve">five </w:t>
      </w:r>
      <w:r w:rsidR="00C319AE" w:rsidRPr="00122311">
        <w:t>consecutive hazard alerts for missing donor related medical histo</w:t>
      </w:r>
      <w:r w:rsidR="00473869">
        <w:t>ry data.</w:t>
      </w:r>
    </w:p>
    <w:p w14:paraId="556AA74C" w14:textId="1EC5D0B6" w:rsidR="00D84DCE" w:rsidRDefault="00D84DCE" w:rsidP="00473869">
      <w:r>
        <w:t xml:space="preserve">Following assessment of the information </w:t>
      </w:r>
      <w:r w:rsidR="00DF48B7">
        <w:t>t</w:t>
      </w:r>
      <w:r>
        <w:t>he following compliance actions were taken:</w:t>
      </w:r>
    </w:p>
    <w:p w14:paraId="1EAEA450" w14:textId="7A762933" w:rsidR="00A76DD8" w:rsidRPr="00473869" w:rsidRDefault="00D84DCE" w:rsidP="00473869">
      <w:pPr>
        <w:pStyle w:val="ListBullet"/>
      </w:pPr>
      <w:r>
        <w:t xml:space="preserve">The </w:t>
      </w:r>
      <w:r w:rsidR="0015245D">
        <w:t xml:space="preserve">GMP </w:t>
      </w:r>
      <w:r w:rsidR="00924475">
        <w:t xml:space="preserve">compliance signal was referred to the Lead </w:t>
      </w:r>
      <w:r w:rsidR="00122311">
        <w:t xml:space="preserve">Inspector </w:t>
      </w:r>
      <w:r w:rsidR="00924475">
        <w:t xml:space="preserve">for review at the next scheduled reinspection as the </w:t>
      </w:r>
      <w:r>
        <w:t>site was</w:t>
      </w:r>
      <w:r w:rsidR="00924475">
        <w:t xml:space="preserve"> scheduled</w:t>
      </w:r>
      <w:r>
        <w:t xml:space="preserve"> to undergo a </w:t>
      </w:r>
      <w:r w:rsidRPr="00916752">
        <w:t>TGA inspection</w:t>
      </w:r>
      <w:r w:rsidR="00924475">
        <w:t xml:space="preserve"> within the </w:t>
      </w:r>
      <w:r w:rsidR="00101B01">
        <w:t>following</w:t>
      </w:r>
      <w:r w:rsidR="00473869">
        <w:t xml:space="preserve"> </w:t>
      </w:r>
      <w:r w:rsidR="00473869" w:rsidRPr="00473869">
        <w:t>month.</w:t>
      </w:r>
    </w:p>
    <w:p w14:paraId="49ED755D" w14:textId="1C95A8C7" w:rsidR="00671944" w:rsidRPr="004B500C" w:rsidRDefault="00924475" w:rsidP="00473869">
      <w:pPr>
        <w:pStyle w:val="ListBullet"/>
      </w:pPr>
      <w:r w:rsidRPr="00473869">
        <w:t>The manufacturer</w:t>
      </w:r>
      <w:r w:rsidR="00CD2D21" w:rsidRPr="00473869">
        <w:t>’</w:t>
      </w:r>
      <w:r w:rsidRPr="00473869">
        <w:t>s donor assessment processes and procedures were a focus of the inspection plan.</w:t>
      </w:r>
      <w:bookmarkEnd w:id="17"/>
      <w:bookmarkEnd w:id="18"/>
    </w:p>
    <w:p w14:paraId="4866D97C" w14:textId="77777777"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2688"/>
        <w:gridCol w:w="3266"/>
        <w:gridCol w:w="1808"/>
      </w:tblGrid>
      <w:tr w:rsidR="001A3190" w:rsidRPr="00215D48" w14:paraId="16A08230" w14:textId="77777777" w:rsidTr="006B2C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2CB24B3B" w14:textId="77777777" w:rsidR="001A3190" w:rsidRPr="00215D48" w:rsidRDefault="001A3190" w:rsidP="00033F2E">
            <w:bookmarkStart w:id="62" w:name="ColumnTitle_4"/>
            <w:r w:rsidRPr="00215D48">
              <w:t>Version</w:t>
            </w:r>
          </w:p>
        </w:tc>
        <w:tc>
          <w:tcPr>
            <w:tcW w:w="2688" w:type="dxa"/>
          </w:tcPr>
          <w:p w14:paraId="4EFCE076" w14:textId="77777777" w:rsidR="001A3190" w:rsidRPr="00215D48" w:rsidRDefault="001A3190" w:rsidP="00033F2E">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3266" w:type="dxa"/>
          </w:tcPr>
          <w:p w14:paraId="563BFA63" w14:textId="77777777" w:rsidR="001A3190" w:rsidRPr="00215D48" w:rsidRDefault="001A3190" w:rsidP="00033F2E">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56019AE7" w14:textId="77777777" w:rsidR="001A3190" w:rsidRPr="00215D48" w:rsidRDefault="001A3190" w:rsidP="00033F2E">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62"/>
      <w:tr w:rsidR="001A3190" w:rsidRPr="00215D48" w14:paraId="739D891A" w14:textId="77777777" w:rsidTr="006B2C2E">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6AF1EFD" w14:textId="77777777" w:rsidR="001A3190" w:rsidRPr="00215D48" w:rsidRDefault="001A3190" w:rsidP="00033F2E">
            <w:r w:rsidRPr="00215D48">
              <w:t>V1.0</w:t>
            </w:r>
          </w:p>
        </w:tc>
        <w:tc>
          <w:tcPr>
            <w:tcW w:w="2688" w:type="dxa"/>
          </w:tcPr>
          <w:p w14:paraId="2744A88D" w14:textId="77777777" w:rsidR="001A3190" w:rsidRPr="00215D48" w:rsidRDefault="001A3190" w:rsidP="00033F2E">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3266" w:type="dxa"/>
          </w:tcPr>
          <w:p w14:paraId="1002FE7F" w14:textId="050C0DC0" w:rsidR="001A3190" w:rsidRPr="00215D48" w:rsidRDefault="00987DAB" w:rsidP="00033F2E">
            <w:pPr>
              <w:cnfStyle w:val="000000000000" w:firstRow="0" w:lastRow="0" w:firstColumn="0" w:lastColumn="0" w:oddVBand="0" w:evenVBand="0" w:oddHBand="0" w:evenHBand="0" w:firstRowFirstColumn="0" w:firstRowLastColumn="0" w:lastRowFirstColumn="0" w:lastRowLastColumn="0"/>
            </w:pPr>
            <w:r>
              <w:t>Manufacturing Quality Branch</w:t>
            </w:r>
          </w:p>
        </w:tc>
        <w:tc>
          <w:tcPr>
            <w:tcW w:w="1808" w:type="dxa"/>
          </w:tcPr>
          <w:p w14:paraId="5DE9F65F" w14:textId="65EC0C6D" w:rsidR="001A3190" w:rsidRPr="00215D48" w:rsidRDefault="006A41F8" w:rsidP="00926B0E">
            <w:pPr>
              <w:cnfStyle w:val="000000000000" w:firstRow="0" w:lastRow="0" w:firstColumn="0" w:lastColumn="0" w:oddVBand="0" w:evenVBand="0" w:oddHBand="0" w:evenHBand="0" w:firstRowFirstColumn="0" w:firstRowLastColumn="0" w:lastRowFirstColumn="0" w:lastRowLastColumn="0"/>
            </w:pPr>
            <w:r>
              <w:t>April 2021</w:t>
            </w:r>
          </w:p>
        </w:tc>
      </w:tr>
    </w:tbl>
    <w:p w14:paraId="7DA1AE8A" w14:textId="77777777" w:rsidR="00F401EF" w:rsidRPr="00215D48" w:rsidRDefault="00F401EF" w:rsidP="00706634">
      <w:pPr>
        <w:spacing w:before="0" w:after="0" w:line="240" w:lineRule="auto"/>
        <w:rPr>
          <w:sz w:val="20"/>
        </w:rPr>
        <w:sectPr w:rsidR="00F401EF" w:rsidRPr="00215D48" w:rsidSect="0029069E">
          <w:headerReference w:type="default" r:id="rId66"/>
          <w:footerReference w:type="default" r:id="rId67"/>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4AEA7978" w14:textId="77777777" w:rsidTr="00033F2E">
        <w:trPr>
          <w:trHeight w:hRule="exact" w:val="565"/>
          <w:jc w:val="center"/>
        </w:trPr>
        <w:tc>
          <w:tcPr>
            <w:tcW w:w="9145" w:type="dxa"/>
          </w:tcPr>
          <w:p w14:paraId="3EB1ED54" w14:textId="77777777" w:rsidR="00C50E5C" w:rsidRPr="00215D48" w:rsidRDefault="00C50E5C" w:rsidP="00033F2E">
            <w:pPr>
              <w:pStyle w:val="TGASignoff"/>
            </w:pPr>
            <w:r w:rsidRPr="00215D48">
              <w:lastRenderedPageBreak/>
              <w:t>Therapeutic Goods Administration</w:t>
            </w:r>
          </w:p>
        </w:tc>
      </w:tr>
      <w:tr w:rsidR="00C50E5C" w:rsidRPr="00215D48" w14:paraId="0ABFB4C4" w14:textId="77777777" w:rsidTr="00033F2E">
        <w:trPr>
          <w:trHeight w:val="963"/>
          <w:jc w:val="center"/>
        </w:trPr>
        <w:tc>
          <w:tcPr>
            <w:tcW w:w="9145" w:type="dxa"/>
            <w:tcMar>
              <w:top w:w="28" w:type="dxa"/>
            </w:tcMar>
          </w:tcPr>
          <w:p w14:paraId="2042D526" w14:textId="77777777" w:rsidR="00C50E5C" w:rsidRPr="00215D48" w:rsidRDefault="00C50E5C" w:rsidP="00EB5622">
            <w:pPr>
              <w:pStyle w:val="Address"/>
              <w:jc w:val="center"/>
            </w:pPr>
            <w:r w:rsidRPr="00215D48">
              <w:t>PO Box 100 Woden ACT 2606 Australia</w:t>
            </w:r>
          </w:p>
          <w:p w14:paraId="3EF7E381" w14:textId="77777777" w:rsidR="001A3190" w:rsidRDefault="00C50E5C">
            <w:pPr>
              <w:pStyle w:val="Address"/>
              <w:jc w:val="center"/>
              <w:rPr>
                <w:sz w:val="22"/>
                <w:szCs w:val="22"/>
              </w:rPr>
            </w:pPr>
            <w:r w:rsidRPr="00215D48">
              <w:t xml:space="preserve">Email: </w:t>
            </w:r>
            <w:hyperlink r:id="rId68" w:history="1">
              <w:r w:rsidRPr="00215D48">
                <w:rPr>
                  <w:rStyle w:val="Hyperlink"/>
                </w:rPr>
                <w:t>info@tga.gov.au</w:t>
              </w:r>
            </w:hyperlink>
            <w:r w:rsidRPr="00215D48">
              <w:t xml:space="preserve">  Phone: 1800 020 653  Fax: </w:t>
            </w:r>
            <w:r w:rsidR="001A3190" w:rsidRPr="00BA0DFC">
              <w:t>02 6203 1605</w:t>
            </w:r>
          </w:p>
          <w:p w14:paraId="46DF9764" w14:textId="77777777" w:rsidR="00C50E5C" w:rsidRPr="00215D48" w:rsidRDefault="005D470B">
            <w:pPr>
              <w:pStyle w:val="Address"/>
              <w:jc w:val="center"/>
              <w:rPr>
                <w:rStyle w:val="Hyperlink"/>
                <w:b/>
                <w:color w:val="auto"/>
                <w:sz w:val="22"/>
                <w:u w:val="none"/>
              </w:rPr>
            </w:pPr>
            <w:hyperlink r:id="rId69" w:history="1">
              <w:r w:rsidR="00215D48" w:rsidRPr="00C4721A">
                <w:rPr>
                  <w:rStyle w:val="Hyperlink"/>
                  <w:b/>
                </w:rPr>
                <w:t>https://www.tga.gov.au</w:t>
              </w:r>
            </w:hyperlink>
          </w:p>
        </w:tc>
      </w:tr>
      <w:tr w:rsidR="00C50E5C" w:rsidRPr="00215D48" w14:paraId="7F6C4162" w14:textId="77777777" w:rsidTr="00033F2E">
        <w:trPr>
          <w:trHeight w:val="251"/>
          <w:jc w:val="center"/>
        </w:trPr>
        <w:tc>
          <w:tcPr>
            <w:tcW w:w="9145" w:type="dxa"/>
            <w:tcMar>
              <w:top w:w="28" w:type="dxa"/>
            </w:tcMar>
          </w:tcPr>
          <w:p w14:paraId="77868A15" w14:textId="61615895" w:rsidR="00C50E5C" w:rsidRPr="00215D48" w:rsidRDefault="00C50E5C" w:rsidP="00EB5622">
            <w:pPr>
              <w:pStyle w:val="Address"/>
              <w:jc w:val="center"/>
            </w:pPr>
            <w:r w:rsidRPr="00215D48">
              <w:t>Reference/Publication #</w:t>
            </w:r>
            <w:r w:rsidR="00523ED0">
              <w:t xml:space="preserve"> </w:t>
            </w:r>
            <w:hyperlink r:id="rId70" w:history="1">
              <w:r w:rsidR="00523ED0">
                <w:rPr>
                  <w:rStyle w:val="Hyperlink"/>
                </w:rPr>
                <w:t>D20-3505403</w:t>
              </w:r>
            </w:hyperlink>
          </w:p>
        </w:tc>
      </w:tr>
    </w:tbl>
    <w:p w14:paraId="7715533F" w14:textId="77777777" w:rsidR="00706634" w:rsidRPr="00215D48" w:rsidRDefault="00706634" w:rsidP="004A3084">
      <w:pPr>
        <w:rPr>
          <w:sz w:val="20"/>
        </w:rPr>
      </w:pPr>
      <w:bookmarkStart w:id="63" w:name="_GoBack"/>
      <w:bookmarkEnd w:id="63"/>
    </w:p>
    <w:sectPr w:rsidR="00706634" w:rsidRPr="00215D48" w:rsidSect="0029069E">
      <w:headerReference w:type="first" r:id="rId71"/>
      <w:footerReference w:type="first" r:id="rId72"/>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100E" w14:textId="77777777" w:rsidR="005F67B7" w:rsidRDefault="005F67B7" w:rsidP="00C40A36">
      <w:pPr>
        <w:spacing w:after="0"/>
      </w:pPr>
      <w:r>
        <w:separator/>
      </w:r>
    </w:p>
  </w:endnote>
  <w:endnote w:type="continuationSeparator" w:id="0">
    <w:p w14:paraId="414161C3" w14:textId="77777777" w:rsidR="005F67B7" w:rsidRDefault="005F67B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F67B7" w:rsidRPr="00257138" w14:paraId="450DD4FD" w14:textId="77777777" w:rsidTr="000B30E5">
      <w:trPr>
        <w:trHeight w:val="423"/>
      </w:trPr>
      <w:tc>
        <w:tcPr>
          <w:tcW w:w="4360" w:type="dxa"/>
          <w:tcBorders>
            <w:top w:val="single" w:sz="4" w:space="0" w:color="auto"/>
          </w:tcBorders>
        </w:tcPr>
        <w:p w14:paraId="1CB7C3BC" w14:textId="77777777" w:rsidR="005F67B7" w:rsidRDefault="005F67B7" w:rsidP="000B30E5">
          <w:pPr>
            <w:pStyle w:val="Footer"/>
          </w:pPr>
        </w:p>
        <w:p w14:paraId="50DCBF77" w14:textId="77777777" w:rsidR="005F67B7" w:rsidRPr="00257138" w:rsidRDefault="005F67B7"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3FAA0C9A" w14:textId="77777777" w:rsidR="005F67B7" w:rsidRDefault="005F67B7" w:rsidP="000B30E5">
              <w:pPr>
                <w:pStyle w:val="Footer"/>
                <w:jc w:val="right"/>
              </w:pPr>
            </w:p>
            <w:p w14:paraId="79B237A6" w14:textId="3617194F" w:rsidR="005F67B7" w:rsidRPr="00257138" w:rsidRDefault="005F67B7"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5D470B">
                <w:fldChar w:fldCharType="begin"/>
              </w:r>
              <w:r w:rsidR="005D470B">
                <w:instrText xml:space="preserve"> NUMPAGES  </w:instrText>
              </w:r>
              <w:r w:rsidR="005D470B">
                <w:fldChar w:fldCharType="separate"/>
              </w:r>
              <w:r>
                <w:rPr>
                  <w:noProof/>
                </w:rPr>
                <w:t>19</w:t>
              </w:r>
              <w:r w:rsidR="005D470B">
                <w:rPr>
                  <w:noProof/>
                </w:rPr>
                <w:fldChar w:fldCharType="end"/>
              </w:r>
            </w:p>
          </w:sdtContent>
        </w:sdt>
      </w:tc>
    </w:tr>
    <w:tr w:rsidR="005F67B7" w:rsidRPr="00257138" w14:paraId="6826D37F" w14:textId="77777777" w:rsidTr="000B30E5">
      <w:trPr>
        <w:trHeight w:val="263"/>
      </w:trPr>
      <w:tc>
        <w:tcPr>
          <w:tcW w:w="4360" w:type="dxa"/>
        </w:tcPr>
        <w:p w14:paraId="3EB0C726" w14:textId="77777777" w:rsidR="005F67B7" w:rsidRPr="00257138" w:rsidRDefault="005F67B7" w:rsidP="000B30E5">
          <w:pPr>
            <w:pStyle w:val="Footer"/>
          </w:pPr>
          <w:r w:rsidRPr="00257138">
            <w:t xml:space="preserve">V1.0 </w:t>
          </w:r>
          <w:r>
            <w:t>Month</w:t>
          </w:r>
          <w:r w:rsidRPr="00257138">
            <w:t xml:space="preserve"> 201</w:t>
          </w:r>
          <w:r>
            <w:t>2</w:t>
          </w:r>
        </w:p>
      </w:tc>
      <w:tc>
        <w:tcPr>
          <w:tcW w:w="4360" w:type="dxa"/>
        </w:tcPr>
        <w:p w14:paraId="1ED4E375" w14:textId="77777777" w:rsidR="005F67B7" w:rsidRPr="00257138" w:rsidRDefault="005F67B7" w:rsidP="000B30E5">
          <w:pPr>
            <w:pStyle w:val="Footer"/>
            <w:jc w:val="right"/>
          </w:pPr>
        </w:p>
      </w:tc>
    </w:tr>
  </w:tbl>
  <w:p w14:paraId="348CA0BB" w14:textId="77777777" w:rsidR="005F67B7" w:rsidRPr="00826007" w:rsidRDefault="005F67B7"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E384" w14:textId="77777777" w:rsidR="005F67B7" w:rsidRDefault="005F67B7"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5F67B7" w:rsidRPr="004A3084" w14:paraId="2A585AE1" w14:textId="77777777" w:rsidTr="00231E8D">
      <w:trPr>
        <w:trHeight w:val="423"/>
      </w:trPr>
      <w:tc>
        <w:tcPr>
          <w:tcW w:w="7338" w:type="dxa"/>
          <w:tcBorders>
            <w:top w:val="single" w:sz="4" w:space="0" w:color="auto"/>
          </w:tcBorders>
        </w:tcPr>
        <w:p w14:paraId="63B30EAE" w14:textId="0E430A99" w:rsidR="005F67B7" w:rsidRPr="004A3084" w:rsidRDefault="005F67B7" w:rsidP="00A472DA">
          <w:pPr>
            <w:pStyle w:val="Footer"/>
          </w:pPr>
          <w:r w:rsidRPr="00906826">
            <w:t>Guidance on the manag</w:t>
          </w:r>
          <w:r>
            <w:t>ement of GMP compliance signals - for domestic and overseas manufacturers of medicines and biologicals</w:t>
          </w:r>
          <w:r>
            <w:br/>
          </w:r>
          <w:r w:rsidRPr="0004006C">
            <w:t xml:space="preserve">V1.0 </w:t>
          </w:r>
          <w:r w:rsidR="00A472DA">
            <w:t>May</w:t>
          </w:r>
          <w:r>
            <w:t xml:space="preserve"> 2021</w:t>
          </w:r>
        </w:p>
      </w:tc>
      <w:tc>
        <w:tcPr>
          <w:tcW w:w="1382" w:type="dxa"/>
          <w:tcBorders>
            <w:top w:val="single" w:sz="4" w:space="0" w:color="auto"/>
          </w:tcBorders>
        </w:tcPr>
        <w:sdt>
          <w:sdtPr>
            <w:id w:val="11571659"/>
            <w:docPartObj>
              <w:docPartGallery w:val="Page Numbers (Top of Page)"/>
              <w:docPartUnique/>
            </w:docPartObj>
          </w:sdtPr>
          <w:sdtEndPr/>
          <w:sdtContent>
            <w:p w14:paraId="67470359" w14:textId="4CF32F33" w:rsidR="005F67B7" w:rsidRPr="004A3084" w:rsidRDefault="005F67B7" w:rsidP="00813D87">
              <w:pPr>
                <w:pStyle w:val="Footer"/>
                <w:ind w:left="67"/>
                <w:jc w:val="right"/>
              </w:pPr>
              <w:r w:rsidRPr="004A3084">
                <w:t xml:space="preserve">Page </w:t>
              </w:r>
              <w:r>
                <w:fldChar w:fldCharType="begin"/>
              </w:r>
              <w:r>
                <w:instrText xml:space="preserve"> PAGE </w:instrText>
              </w:r>
              <w:r>
                <w:fldChar w:fldCharType="separate"/>
              </w:r>
              <w:r w:rsidR="005D470B">
                <w:rPr>
                  <w:noProof/>
                </w:rPr>
                <w:t>16</w:t>
              </w:r>
              <w:r>
                <w:rPr>
                  <w:noProof/>
                </w:rPr>
                <w:fldChar w:fldCharType="end"/>
              </w:r>
              <w:r w:rsidRPr="004A3084">
                <w:t xml:space="preserve"> of </w:t>
              </w:r>
              <w:r w:rsidR="005D470B">
                <w:fldChar w:fldCharType="begin"/>
              </w:r>
              <w:r w:rsidR="005D470B">
                <w:instrText xml:space="preserve"> NUMPAGES  </w:instrText>
              </w:r>
              <w:r w:rsidR="005D470B">
                <w:fldChar w:fldCharType="separate"/>
              </w:r>
              <w:r w:rsidR="005D470B">
                <w:rPr>
                  <w:noProof/>
                </w:rPr>
                <w:t>17</w:t>
              </w:r>
              <w:r w:rsidR="005D470B">
                <w:rPr>
                  <w:noProof/>
                </w:rPr>
                <w:fldChar w:fldCharType="end"/>
              </w:r>
            </w:p>
          </w:sdtContent>
        </w:sdt>
      </w:tc>
    </w:tr>
  </w:tbl>
  <w:p w14:paraId="1AA332A5" w14:textId="77777777" w:rsidR="005F67B7" w:rsidRPr="00826007" w:rsidRDefault="005F67B7"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FC23" w14:textId="77777777" w:rsidR="005F67B7" w:rsidRPr="008E3C43" w:rsidRDefault="005F67B7"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64B8" w14:textId="77777777" w:rsidR="005F67B7" w:rsidRDefault="005F67B7" w:rsidP="00C40A36">
      <w:pPr>
        <w:spacing w:after="0"/>
      </w:pPr>
      <w:r>
        <w:separator/>
      </w:r>
    </w:p>
  </w:footnote>
  <w:footnote w:type="continuationSeparator" w:id="0">
    <w:p w14:paraId="5A8EB882" w14:textId="77777777" w:rsidR="005F67B7" w:rsidRDefault="005F67B7"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91AE" w14:textId="792F8383" w:rsidR="005F67B7" w:rsidRDefault="005F67B7" w:rsidP="00C3408D">
    <w:pPr>
      <w:pStyle w:val="Header"/>
    </w:pPr>
    <w:r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5F67B7" w:rsidRPr="002B29B2" w14:paraId="5B7C88C2" w14:textId="77777777" w:rsidTr="00F71E1E">
      <w:trPr>
        <w:trHeight w:hRule="exact" w:val="8845"/>
      </w:trPr>
      <w:tc>
        <w:tcPr>
          <w:tcW w:w="11964" w:type="dxa"/>
          <w:vAlign w:val="center"/>
        </w:tcPr>
        <w:p w14:paraId="7B03CA80" w14:textId="77777777" w:rsidR="005F67B7" w:rsidRPr="002B29B2" w:rsidRDefault="005D470B" w:rsidP="006A2426">
          <w:pPr>
            <w:ind w:left="-57"/>
            <w:rPr>
              <w:noProof/>
            </w:rPr>
          </w:pPr>
          <w:sdt>
            <w:sdtPr>
              <w:rPr>
                <w:noProof/>
              </w:rPr>
              <w:id w:val="1926993388"/>
              <w:showingPlcHdr/>
              <w:picture/>
            </w:sdtPr>
            <w:sdtEndPr/>
            <w:sdtContent>
              <w:r w:rsidR="005F67B7" w:rsidRPr="00F71E1E">
                <w:rPr>
                  <w:noProof/>
                  <w:lang w:eastAsia="en-AU"/>
                </w:rPr>
                <w:drawing>
                  <wp:inline distT="0" distB="0" distL="0" distR="0" wp14:anchorId="4B108C79" wp14:editId="54E9ECC6">
                    <wp:extent cx="7600950" cy="55241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01375" cy="5524500"/>
                            </a:xfrm>
                            <a:prstGeom prst="rect">
                              <a:avLst/>
                            </a:prstGeom>
                            <a:noFill/>
                            <a:ln w="9525">
                              <a:noFill/>
                              <a:miter lim="800000"/>
                              <a:headEnd/>
                              <a:tailEnd/>
                            </a:ln>
                          </pic:spPr>
                        </pic:pic>
                      </a:graphicData>
                    </a:graphic>
                  </wp:inline>
                </w:drawing>
              </w:r>
            </w:sdtContent>
          </w:sdt>
        </w:p>
      </w:tc>
    </w:tr>
  </w:tbl>
  <w:p w14:paraId="539768D8" w14:textId="7594D1A1" w:rsidR="005F67B7" w:rsidRDefault="005F67B7" w:rsidP="006D03E5">
    <w:pPr>
      <w:rPr>
        <w:noProof/>
      </w:rPr>
    </w:pPr>
    <w:r>
      <w:rPr>
        <w:noProof/>
        <w:lang w:eastAsia="en-AU"/>
      </w:rPr>
      <w:drawing>
        <wp:anchor distT="0" distB="0" distL="114300" distR="114300" simplePos="0" relativeHeight="251657728" behindDoc="0" locked="0" layoutInCell="1" allowOverlap="1" wp14:anchorId="2D2D5A92" wp14:editId="3FF8696F">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56704" behindDoc="0" locked="0" layoutInCell="0" allowOverlap="1" wp14:anchorId="37F18B5C" wp14:editId="487C1F90">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1ECE" w14:textId="77A6BCE5" w:rsidR="005F67B7" w:rsidRDefault="005F67B7"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64CA" w14:textId="77777777" w:rsidR="005F67B7" w:rsidRPr="00FE501F" w:rsidRDefault="005F67B7"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EC5E2"/>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C80ADE1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14EED"/>
    <w:multiLevelType w:val="hybridMultilevel"/>
    <w:tmpl w:val="60B4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1237A"/>
    <w:multiLevelType w:val="hybridMultilevel"/>
    <w:tmpl w:val="A500995C"/>
    <w:lvl w:ilvl="0" w:tplc="71568EB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57F79AF"/>
    <w:multiLevelType w:val="hybridMultilevel"/>
    <w:tmpl w:val="4EDE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D73C5"/>
    <w:multiLevelType w:val="hybridMultilevel"/>
    <w:tmpl w:val="582C26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F63716"/>
    <w:multiLevelType w:val="hybridMultilevel"/>
    <w:tmpl w:val="3792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420E11"/>
    <w:multiLevelType w:val="hybridMultilevel"/>
    <w:tmpl w:val="7CF89740"/>
    <w:lvl w:ilvl="0" w:tplc="795671C2">
      <w:numFmt w:val="bullet"/>
      <w:lvlText w:val="-"/>
      <w:lvlJc w:val="left"/>
      <w:pPr>
        <w:ind w:left="400" w:hanging="360"/>
      </w:pPr>
      <w:rPr>
        <w:rFonts w:ascii="Cambria" w:eastAsia="Cambria" w:hAnsi="Cambria" w:cs="Times New Roman"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9"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8227909"/>
    <w:multiLevelType w:val="hybridMultilevel"/>
    <w:tmpl w:val="4720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437B3"/>
    <w:multiLevelType w:val="hybridMultilevel"/>
    <w:tmpl w:val="258A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675137"/>
    <w:multiLevelType w:val="hybridMultilevel"/>
    <w:tmpl w:val="BDC6F2F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D90163"/>
    <w:multiLevelType w:val="hybridMultilevel"/>
    <w:tmpl w:val="43B6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B1EF8"/>
    <w:multiLevelType w:val="multilevel"/>
    <w:tmpl w:val="9FE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65E43"/>
    <w:multiLevelType w:val="hybridMultilevel"/>
    <w:tmpl w:val="0396125A"/>
    <w:lvl w:ilvl="0" w:tplc="64F2ED80">
      <w:start w:val="1"/>
      <w:numFmt w:val="decimal"/>
      <w:lvlText w:val="(%1)"/>
      <w:lvlJc w:val="left"/>
      <w:pPr>
        <w:ind w:left="720" w:hanging="360"/>
      </w:pPr>
      <w:rPr>
        <w:rFonts w:asciiTheme="minorHAnsi" w:eastAsiaTheme="minorHAnsi" w:hAnsiTheme="minorHAns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5D66"/>
    <w:multiLevelType w:val="hybridMultilevel"/>
    <w:tmpl w:val="B58A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460A2"/>
    <w:multiLevelType w:val="hybridMultilevel"/>
    <w:tmpl w:val="87B2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D3AF5"/>
    <w:multiLevelType w:val="hybridMultilevel"/>
    <w:tmpl w:val="313E94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7771DB0"/>
    <w:multiLevelType w:val="multilevel"/>
    <w:tmpl w:val="40C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512E5"/>
    <w:multiLevelType w:val="hybridMultilevel"/>
    <w:tmpl w:val="F88CB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CCF0362"/>
    <w:multiLevelType w:val="multilevel"/>
    <w:tmpl w:val="085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16400"/>
    <w:multiLevelType w:val="hybridMultilevel"/>
    <w:tmpl w:val="1D6C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907C08"/>
    <w:multiLevelType w:val="hybridMultilevel"/>
    <w:tmpl w:val="16FAB5C8"/>
    <w:lvl w:ilvl="0" w:tplc="8CAC3C00">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FC0E3F"/>
    <w:multiLevelType w:val="multilevel"/>
    <w:tmpl w:val="789E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8629F"/>
    <w:multiLevelType w:val="multilevel"/>
    <w:tmpl w:val="830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0F3495"/>
    <w:multiLevelType w:val="multilevel"/>
    <w:tmpl w:val="F806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D3C61"/>
    <w:multiLevelType w:val="hybridMultilevel"/>
    <w:tmpl w:val="465EF9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0" w15:restartNumberingAfterBreak="0">
    <w:nsid w:val="50243E0F"/>
    <w:multiLevelType w:val="hybridMultilevel"/>
    <w:tmpl w:val="0080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B77ED0"/>
    <w:multiLevelType w:val="hybridMultilevel"/>
    <w:tmpl w:val="9B3CB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9E6B53"/>
    <w:multiLevelType w:val="multilevel"/>
    <w:tmpl w:val="3E8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6564C"/>
    <w:multiLevelType w:val="hybridMultilevel"/>
    <w:tmpl w:val="EEBC4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406B21"/>
    <w:multiLevelType w:val="hybridMultilevel"/>
    <w:tmpl w:val="2D58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11"/>
  </w:num>
  <w:num w:numId="5">
    <w:abstractNumId w:val="0"/>
  </w:num>
  <w:num w:numId="6">
    <w:abstractNumId w:val="11"/>
  </w:num>
  <w:num w:numId="7">
    <w:abstractNumId w:val="11"/>
  </w:num>
  <w:num w:numId="8">
    <w:abstractNumId w:val="9"/>
  </w:num>
  <w:num w:numId="9">
    <w:abstractNumId w:val="9"/>
  </w:num>
  <w:num w:numId="10">
    <w:abstractNumId w:val="9"/>
  </w:num>
  <w:num w:numId="11">
    <w:abstractNumId w:val="9"/>
  </w:num>
  <w:num w:numId="12">
    <w:abstractNumId w:val="11"/>
  </w:num>
  <w:num w:numId="13">
    <w:abstractNumId w:val="11"/>
  </w:num>
  <w:num w:numId="14">
    <w:abstractNumId w:val="11"/>
    <w:lvlOverride w:ilvl="0">
      <w:lvl w:ilvl="0">
        <w:start w:val="4"/>
        <w:numFmt w:val="bullet"/>
        <w:pStyle w:val="ListBullet"/>
        <w:lvlText w:val="•"/>
        <w:lvlJc w:val="left"/>
        <w:pPr>
          <w:ind w:left="360" w:hanging="360"/>
        </w:pPr>
        <w:rPr>
          <w:rFonts w:ascii="Cambria" w:eastAsia="Cambria" w:hAnsi="Cambria" w:hint="default"/>
        </w:rPr>
      </w:lvl>
    </w:lvlOverride>
  </w:num>
  <w:num w:numId="15">
    <w:abstractNumId w:val="9"/>
  </w:num>
  <w:num w:numId="16">
    <w:abstractNumId w:val="9"/>
  </w:num>
  <w:num w:numId="17">
    <w:abstractNumId w:val="9"/>
  </w:num>
  <w:num w:numId="18">
    <w:abstractNumId w:val="10"/>
  </w:num>
  <w:num w:numId="19">
    <w:abstractNumId w:val="31"/>
  </w:num>
  <w:num w:numId="20">
    <w:abstractNumId w:val="12"/>
  </w:num>
  <w:num w:numId="21">
    <w:abstractNumId w:val="18"/>
  </w:num>
  <w:num w:numId="22">
    <w:abstractNumId w:val="24"/>
  </w:num>
  <w:num w:numId="23">
    <w:abstractNumId w:val="3"/>
  </w:num>
  <w:num w:numId="24">
    <w:abstractNumId w:val="27"/>
  </w:num>
  <w:num w:numId="25">
    <w:abstractNumId w:val="23"/>
  </w:num>
  <w:num w:numId="26">
    <w:abstractNumId w:val="28"/>
  </w:num>
  <w:num w:numId="27">
    <w:abstractNumId w:val="26"/>
  </w:num>
  <w:num w:numId="28">
    <w:abstractNumId w:val="16"/>
  </w:num>
  <w:num w:numId="29">
    <w:abstractNumId w:val="21"/>
  </w:num>
  <w:num w:numId="30">
    <w:abstractNumId w:val="33"/>
  </w:num>
  <w:num w:numId="31">
    <w:abstractNumId w:val="25"/>
  </w:num>
  <w:num w:numId="32">
    <w:abstractNumId w:val="7"/>
  </w:num>
  <w:num w:numId="33">
    <w:abstractNumId w:val="5"/>
  </w:num>
  <w:num w:numId="34">
    <w:abstractNumId w:val="4"/>
  </w:num>
  <w:num w:numId="35">
    <w:abstractNumId w:val="13"/>
  </w:num>
  <w:num w:numId="36">
    <w:abstractNumId w:val="8"/>
  </w:num>
  <w:num w:numId="37">
    <w:abstractNumId w:val="14"/>
  </w:num>
  <w:num w:numId="38">
    <w:abstractNumId w:val="22"/>
  </w:num>
  <w:num w:numId="39">
    <w:abstractNumId w:val="19"/>
  </w:num>
  <w:num w:numId="40">
    <w:abstractNumId w:val="30"/>
  </w:num>
  <w:num w:numId="41">
    <w:abstractNumId w:val="29"/>
  </w:num>
  <w:num w:numId="42">
    <w:abstractNumId w:val="17"/>
  </w:num>
  <w:num w:numId="43">
    <w:abstractNumId w:val="6"/>
  </w:num>
  <w:num w:numId="44">
    <w:abstractNumId w:val="32"/>
  </w:num>
  <w:num w:numId="45">
    <w:abstractNumId w:val="34"/>
  </w:num>
  <w:num w:numId="46">
    <w:abstractNumId w:val="15"/>
  </w:num>
  <w:num w:numId="47">
    <w:abstractNumId w:val="35"/>
  </w:num>
  <w:num w:numId="48">
    <w:abstractNumId w:val="20"/>
  </w:num>
  <w:num w:numId="49">
    <w:abstractNumId w:val="11"/>
    <w:lvlOverride w:ilvl="0">
      <w:lvl w:ilvl="0">
        <w:start w:val="4"/>
        <w:numFmt w:val="bullet"/>
        <w:pStyle w:val="ListBullet"/>
        <w:lvlText w:val="•"/>
        <w:lvlJc w:val="left"/>
        <w:pPr>
          <w:ind w:left="360" w:hanging="360"/>
        </w:pPr>
        <w:rPr>
          <w:rFonts w:ascii="Cambria" w:eastAsia="Cambria" w:hAnsi="Cambria"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9" fill="f" fillcolor="#c6d4e9" strokecolor="#002c47">
      <v:fill color="#c6d4e9" on="f"/>
      <v:stroke color="#002c47"/>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6"/>
    <w:rsid w:val="00002031"/>
    <w:rsid w:val="00003EB8"/>
    <w:rsid w:val="000040BA"/>
    <w:rsid w:val="00004734"/>
    <w:rsid w:val="00006B22"/>
    <w:rsid w:val="00010E4D"/>
    <w:rsid w:val="0001260B"/>
    <w:rsid w:val="0001276A"/>
    <w:rsid w:val="00012BBC"/>
    <w:rsid w:val="00016BEB"/>
    <w:rsid w:val="00016F04"/>
    <w:rsid w:val="000246AE"/>
    <w:rsid w:val="00024FAD"/>
    <w:rsid w:val="00025C67"/>
    <w:rsid w:val="00032FFB"/>
    <w:rsid w:val="00033F2E"/>
    <w:rsid w:val="00035433"/>
    <w:rsid w:val="00035916"/>
    <w:rsid w:val="0004006C"/>
    <w:rsid w:val="0004040E"/>
    <w:rsid w:val="000544F8"/>
    <w:rsid w:val="0005559E"/>
    <w:rsid w:val="000604BE"/>
    <w:rsid w:val="000703AB"/>
    <w:rsid w:val="00070B9A"/>
    <w:rsid w:val="000725BF"/>
    <w:rsid w:val="00076FAE"/>
    <w:rsid w:val="00077775"/>
    <w:rsid w:val="00085296"/>
    <w:rsid w:val="00090471"/>
    <w:rsid w:val="00090491"/>
    <w:rsid w:val="00092630"/>
    <w:rsid w:val="000934A6"/>
    <w:rsid w:val="0009542D"/>
    <w:rsid w:val="000975D2"/>
    <w:rsid w:val="000A18EA"/>
    <w:rsid w:val="000A3543"/>
    <w:rsid w:val="000A4371"/>
    <w:rsid w:val="000A57B6"/>
    <w:rsid w:val="000A7931"/>
    <w:rsid w:val="000B152F"/>
    <w:rsid w:val="000B30E5"/>
    <w:rsid w:val="000B3532"/>
    <w:rsid w:val="000B3A75"/>
    <w:rsid w:val="000B574E"/>
    <w:rsid w:val="000B5E4E"/>
    <w:rsid w:val="000B6CAE"/>
    <w:rsid w:val="000B7084"/>
    <w:rsid w:val="000C32E9"/>
    <w:rsid w:val="000D0851"/>
    <w:rsid w:val="000D157F"/>
    <w:rsid w:val="000D391B"/>
    <w:rsid w:val="000D3D6D"/>
    <w:rsid w:val="000D43B6"/>
    <w:rsid w:val="000D4FC7"/>
    <w:rsid w:val="000D770F"/>
    <w:rsid w:val="000D7BE5"/>
    <w:rsid w:val="000E04C8"/>
    <w:rsid w:val="000E3D5B"/>
    <w:rsid w:val="000E63E6"/>
    <w:rsid w:val="000F0241"/>
    <w:rsid w:val="000F1C73"/>
    <w:rsid w:val="000F1D3F"/>
    <w:rsid w:val="000F4869"/>
    <w:rsid w:val="000F5176"/>
    <w:rsid w:val="000F5978"/>
    <w:rsid w:val="000F5B42"/>
    <w:rsid w:val="000F6E6F"/>
    <w:rsid w:val="001003F2"/>
    <w:rsid w:val="00101B01"/>
    <w:rsid w:val="00102BDA"/>
    <w:rsid w:val="0010601F"/>
    <w:rsid w:val="001074DB"/>
    <w:rsid w:val="00110EA5"/>
    <w:rsid w:val="00112EE0"/>
    <w:rsid w:val="00115240"/>
    <w:rsid w:val="00115444"/>
    <w:rsid w:val="00115508"/>
    <w:rsid w:val="001210F1"/>
    <w:rsid w:val="001218B6"/>
    <w:rsid w:val="00122311"/>
    <w:rsid w:val="00123F1D"/>
    <w:rsid w:val="00125091"/>
    <w:rsid w:val="00125318"/>
    <w:rsid w:val="0013010C"/>
    <w:rsid w:val="001304C5"/>
    <w:rsid w:val="001305A2"/>
    <w:rsid w:val="00133238"/>
    <w:rsid w:val="00140FE3"/>
    <w:rsid w:val="0014197B"/>
    <w:rsid w:val="0014247A"/>
    <w:rsid w:val="001434F3"/>
    <w:rsid w:val="00143523"/>
    <w:rsid w:val="001447CD"/>
    <w:rsid w:val="001500F7"/>
    <w:rsid w:val="001516B1"/>
    <w:rsid w:val="0015245D"/>
    <w:rsid w:val="001525B4"/>
    <w:rsid w:val="00156316"/>
    <w:rsid w:val="001574BC"/>
    <w:rsid w:val="00165389"/>
    <w:rsid w:val="00165A1E"/>
    <w:rsid w:val="00165DC3"/>
    <w:rsid w:val="001713A3"/>
    <w:rsid w:val="00172A15"/>
    <w:rsid w:val="00172C81"/>
    <w:rsid w:val="0017693F"/>
    <w:rsid w:val="0018110E"/>
    <w:rsid w:val="00181684"/>
    <w:rsid w:val="001843C6"/>
    <w:rsid w:val="001850E0"/>
    <w:rsid w:val="0018660B"/>
    <w:rsid w:val="001904F5"/>
    <w:rsid w:val="00192AAA"/>
    <w:rsid w:val="001A3190"/>
    <w:rsid w:val="001A525F"/>
    <w:rsid w:val="001B09F9"/>
    <w:rsid w:val="001B58DB"/>
    <w:rsid w:val="001B5C2F"/>
    <w:rsid w:val="001B6448"/>
    <w:rsid w:val="001C3A9E"/>
    <w:rsid w:val="001D587F"/>
    <w:rsid w:val="001D7224"/>
    <w:rsid w:val="001E07CF"/>
    <w:rsid w:val="001E275A"/>
    <w:rsid w:val="001E59F1"/>
    <w:rsid w:val="001F124F"/>
    <w:rsid w:val="001F20F9"/>
    <w:rsid w:val="001F49EB"/>
    <w:rsid w:val="001F6CBA"/>
    <w:rsid w:val="00201D4E"/>
    <w:rsid w:val="00203661"/>
    <w:rsid w:val="00204AE2"/>
    <w:rsid w:val="00206622"/>
    <w:rsid w:val="00215D48"/>
    <w:rsid w:val="00217091"/>
    <w:rsid w:val="00220B8A"/>
    <w:rsid w:val="00222660"/>
    <w:rsid w:val="002257F3"/>
    <w:rsid w:val="00231E8D"/>
    <w:rsid w:val="0023244B"/>
    <w:rsid w:val="00233456"/>
    <w:rsid w:val="002339A5"/>
    <w:rsid w:val="00237691"/>
    <w:rsid w:val="00247FB9"/>
    <w:rsid w:val="00251490"/>
    <w:rsid w:val="00251C17"/>
    <w:rsid w:val="00257138"/>
    <w:rsid w:val="00257848"/>
    <w:rsid w:val="00261557"/>
    <w:rsid w:val="0027084A"/>
    <w:rsid w:val="00275ED3"/>
    <w:rsid w:val="00280863"/>
    <w:rsid w:val="00286434"/>
    <w:rsid w:val="00286772"/>
    <w:rsid w:val="00286C59"/>
    <w:rsid w:val="0029069E"/>
    <w:rsid w:val="00290795"/>
    <w:rsid w:val="00293194"/>
    <w:rsid w:val="002934D1"/>
    <w:rsid w:val="0029376A"/>
    <w:rsid w:val="002942D1"/>
    <w:rsid w:val="002A0556"/>
    <w:rsid w:val="002A1FC5"/>
    <w:rsid w:val="002A329A"/>
    <w:rsid w:val="002A592C"/>
    <w:rsid w:val="002A5B3A"/>
    <w:rsid w:val="002A7D4E"/>
    <w:rsid w:val="002B1638"/>
    <w:rsid w:val="002B25CB"/>
    <w:rsid w:val="002B29B2"/>
    <w:rsid w:val="002C376C"/>
    <w:rsid w:val="002C4EC6"/>
    <w:rsid w:val="002C6C6F"/>
    <w:rsid w:val="002C6E9C"/>
    <w:rsid w:val="002C76D1"/>
    <w:rsid w:val="002D53B0"/>
    <w:rsid w:val="002E193A"/>
    <w:rsid w:val="002E364F"/>
    <w:rsid w:val="002E4C9A"/>
    <w:rsid w:val="002E676C"/>
    <w:rsid w:val="002F11F8"/>
    <w:rsid w:val="002F260A"/>
    <w:rsid w:val="002F3F56"/>
    <w:rsid w:val="002F43BE"/>
    <w:rsid w:val="002F44B5"/>
    <w:rsid w:val="00300350"/>
    <w:rsid w:val="003017B7"/>
    <w:rsid w:val="00301FA3"/>
    <w:rsid w:val="003061F8"/>
    <w:rsid w:val="00311AC0"/>
    <w:rsid w:val="003217BB"/>
    <w:rsid w:val="003227E8"/>
    <w:rsid w:val="00323F14"/>
    <w:rsid w:val="003252DE"/>
    <w:rsid w:val="00331DBB"/>
    <w:rsid w:val="00333065"/>
    <w:rsid w:val="00335C3B"/>
    <w:rsid w:val="003361D1"/>
    <w:rsid w:val="003452B0"/>
    <w:rsid w:val="00350236"/>
    <w:rsid w:val="0035146C"/>
    <w:rsid w:val="003521E8"/>
    <w:rsid w:val="00357700"/>
    <w:rsid w:val="0036361E"/>
    <w:rsid w:val="003664BF"/>
    <w:rsid w:val="003718DF"/>
    <w:rsid w:val="003728F3"/>
    <w:rsid w:val="00373C76"/>
    <w:rsid w:val="00376793"/>
    <w:rsid w:val="0038246D"/>
    <w:rsid w:val="003843F6"/>
    <w:rsid w:val="00384FA0"/>
    <w:rsid w:val="00390900"/>
    <w:rsid w:val="00392F70"/>
    <w:rsid w:val="00393398"/>
    <w:rsid w:val="003941D1"/>
    <w:rsid w:val="003A1756"/>
    <w:rsid w:val="003A2DDF"/>
    <w:rsid w:val="003A6FF2"/>
    <w:rsid w:val="003B362C"/>
    <w:rsid w:val="003B395E"/>
    <w:rsid w:val="003B499D"/>
    <w:rsid w:val="003B7E39"/>
    <w:rsid w:val="003C19D4"/>
    <w:rsid w:val="003C58DC"/>
    <w:rsid w:val="003C6EBF"/>
    <w:rsid w:val="003D3B63"/>
    <w:rsid w:val="003D59FD"/>
    <w:rsid w:val="003D6B56"/>
    <w:rsid w:val="003D6C22"/>
    <w:rsid w:val="003E0A89"/>
    <w:rsid w:val="003E1340"/>
    <w:rsid w:val="003E3208"/>
    <w:rsid w:val="003E4B5B"/>
    <w:rsid w:val="003E72D4"/>
    <w:rsid w:val="003F0B04"/>
    <w:rsid w:val="003F2E95"/>
    <w:rsid w:val="0040134E"/>
    <w:rsid w:val="00404935"/>
    <w:rsid w:val="00404B57"/>
    <w:rsid w:val="00405B6F"/>
    <w:rsid w:val="00406DB9"/>
    <w:rsid w:val="004071C4"/>
    <w:rsid w:val="00411041"/>
    <w:rsid w:val="00416BCB"/>
    <w:rsid w:val="00425492"/>
    <w:rsid w:val="0042788C"/>
    <w:rsid w:val="00430725"/>
    <w:rsid w:val="00440A2D"/>
    <w:rsid w:val="00442DA9"/>
    <w:rsid w:val="00445280"/>
    <w:rsid w:val="0044547A"/>
    <w:rsid w:val="0045040C"/>
    <w:rsid w:val="00455C62"/>
    <w:rsid w:val="004564A7"/>
    <w:rsid w:val="004611E4"/>
    <w:rsid w:val="004617BF"/>
    <w:rsid w:val="00462A15"/>
    <w:rsid w:val="00464697"/>
    <w:rsid w:val="00473864"/>
    <w:rsid w:val="00473869"/>
    <w:rsid w:val="0047471D"/>
    <w:rsid w:val="00483D37"/>
    <w:rsid w:val="00484431"/>
    <w:rsid w:val="004866E8"/>
    <w:rsid w:val="004923FF"/>
    <w:rsid w:val="004927EC"/>
    <w:rsid w:val="00492EC2"/>
    <w:rsid w:val="004944E8"/>
    <w:rsid w:val="00494CA4"/>
    <w:rsid w:val="00494E60"/>
    <w:rsid w:val="00495388"/>
    <w:rsid w:val="004953E6"/>
    <w:rsid w:val="0049734C"/>
    <w:rsid w:val="004A3084"/>
    <w:rsid w:val="004B4297"/>
    <w:rsid w:val="004B4D55"/>
    <w:rsid w:val="004B500C"/>
    <w:rsid w:val="004B6D82"/>
    <w:rsid w:val="004B777C"/>
    <w:rsid w:val="004B7B76"/>
    <w:rsid w:val="004C0070"/>
    <w:rsid w:val="004C100A"/>
    <w:rsid w:val="004C4096"/>
    <w:rsid w:val="004C6E9B"/>
    <w:rsid w:val="004C7E3E"/>
    <w:rsid w:val="004D392B"/>
    <w:rsid w:val="004D51A6"/>
    <w:rsid w:val="004E6C06"/>
    <w:rsid w:val="004E7CBC"/>
    <w:rsid w:val="004F0F38"/>
    <w:rsid w:val="004F1240"/>
    <w:rsid w:val="004F40D8"/>
    <w:rsid w:val="004F484B"/>
    <w:rsid w:val="00501921"/>
    <w:rsid w:val="00523ED0"/>
    <w:rsid w:val="00523FB1"/>
    <w:rsid w:val="0052726A"/>
    <w:rsid w:val="00530354"/>
    <w:rsid w:val="0053267E"/>
    <w:rsid w:val="00532EFC"/>
    <w:rsid w:val="00535D83"/>
    <w:rsid w:val="0054053C"/>
    <w:rsid w:val="00541FD8"/>
    <w:rsid w:val="005423EF"/>
    <w:rsid w:val="005434C6"/>
    <w:rsid w:val="00543B39"/>
    <w:rsid w:val="00550096"/>
    <w:rsid w:val="005547A1"/>
    <w:rsid w:val="0055653F"/>
    <w:rsid w:val="00557FF9"/>
    <w:rsid w:val="00560037"/>
    <w:rsid w:val="00566BBB"/>
    <w:rsid w:val="00567A2E"/>
    <w:rsid w:val="0057564C"/>
    <w:rsid w:val="00576378"/>
    <w:rsid w:val="00577E38"/>
    <w:rsid w:val="00584285"/>
    <w:rsid w:val="00585322"/>
    <w:rsid w:val="00590F4E"/>
    <w:rsid w:val="0059345B"/>
    <w:rsid w:val="00593AD1"/>
    <w:rsid w:val="005A1131"/>
    <w:rsid w:val="005A7122"/>
    <w:rsid w:val="005B2118"/>
    <w:rsid w:val="005B75CC"/>
    <w:rsid w:val="005C2BB5"/>
    <w:rsid w:val="005C4134"/>
    <w:rsid w:val="005C490F"/>
    <w:rsid w:val="005C4EA0"/>
    <w:rsid w:val="005C5570"/>
    <w:rsid w:val="005C5FD4"/>
    <w:rsid w:val="005C7281"/>
    <w:rsid w:val="005C79A4"/>
    <w:rsid w:val="005D1689"/>
    <w:rsid w:val="005D248B"/>
    <w:rsid w:val="005D470B"/>
    <w:rsid w:val="005D5442"/>
    <w:rsid w:val="005D55A3"/>
    <w:rsid w:val="005D5795"/>
    <w:rsid w:val="005E18C6"/>
    <w:rsid w:val="005E4FB5"/>
    <w:rsid w:val="005E5568"/>
    <w:rsid w:val="005E6977"/>
    <w:rsid w:val="005E705F"/>
    <w:rsid w:val="005F458A"/>
    <w:rsid w:val="005F5830"/>
    <w:rsid w:val="005F67B7"/>
    <w:rsid w:val="006040EC"/>
    <w:rsid w:val="00610D73"/>
    <w:rsid w:val="00625015"/>
    <w:rsid w:val="00635C22"/>
    <w:rsid w:val="00640FC3"/>
    <w:rsid w:val="00642020"/>
    <w:rsid w:val="00647F05"/>
    <w:rsid w:val="0065200D"/>
    <w:rsid w:val="0065337B"/>
    <w:rsid w:val="0065419D"/>
    <w:rsid w:val="00656EA3"/>
    <w:rsid w:val="006604D8"/>
    <w:rsid w:val="00661054"/>
    <w:rsid w:val="00664A5B"/>
    <w:rsid w:val="00667595"/>
    <w:rsid w:val="00667942"/>
    <w:rsid w:val="00671944"/>
    <w:rsid w:val="00680C08"/>
    <w:rsid w:val="00683A5E"/>
    <w:rsid w:val="00684616"/>
    <w:rsid w:val="006854E9"/>
    <w:rsid w:val="0068734A"/>
    <w:rsid w:val="0068741A"/>
    <w:rsid w:val="006931B1"/>
    <w:rsid w:val="0069379F"/>
    <w:rsid w:val="00697317"/>
    <w:rsid w:val="006A15C0"/>
    <w:rsid w:val="006A1D4E"/>
    <w:rsid w:val="006A2426"/>
    <w:rsid w:val="006A2A31"/>
    <w:rsid w:val="006A38E4"/>
    <w:rsid w:val="006A41F8"/>
    <w:rsid w:val="006B2C2E"/>
    <w:rsid w:val="006B478E"/>
    <w:rsid w:val="006B7DEA"/>
    <w:rsid w:val="006C1F3B"/>
    <w:rsid w:val="006C3E2A"/>
    <w:rsid w:val="006C43B5"/>
    <w:rsid w:val="006C642F"/>
    <w:rsid w:val="006D03E5"/>
    <w:rsid w:val="006D35D9"/>
    <w:rsid w:val="006D5B72"/>
    <w:rsid w:val="006D5D3E"/>
    <w:rsid w:val="006D5D91"/>
    <w:rsid w:val="006D7225"/>
    <w:rsid w:val="006E08B3"/>
    <w:rsid w:val="006E4E00"/>
    <w:rsid w:val="006F0E67"/>
    <w:rsid w:val="006F1604"/>
    <w:rsid w:val="006F1BFF"/>
    <w:rsid w:val="006F2730"/>
    <w:rsid w:val="006F3339"/>
    <w:rsid w:val="006F3A78"/>
    <w:rsid w:val="006F46EA"/>
    <w:rsid w:val="006F572E"/>
    <w:rsid w:val="006F6284"/>
    <w:rsid w:val="006F652C"/>
    <w:rsid w:val="006F6C81"/>
    <w:rsid w:val="007046D6"/>
    <w:rsid w:val="00705DB0"/>
    <w:rsid w:val="007060CD"/>
    <w:rsid w:val="00706634"/>
    <w:rsid w:val="00706AFE"/>
    <w:rsid w:val="00720CDC"/>
    <w:rsid w:val="00723BF8"/>
    <w:rsid w:val="00724E0E"/>
    <w:rsid w:val="0072576F"/>
    <w:rsid w:val="00725926"/>
    <w:rsid w:val="00730CCE"/>
    <w:rsid w:val="00732FEE"/>
    <w:rsid w:val="00735744"/>
    <w:rsid w:val="007416A7"/>
    <w:rsid w:val="0074253D"/>
    <w:rsid w:val="0074429B"/>
    <w:rsid w:val="007477F8"/>
    <w:rsid w:val="00751655"/>
    <w:rsid w:val="00751EBD"/>
    <w:rsid w:val="00752154"/>
    <w:rsid w:val="00753687"/>
    <w:rsid w:val="00753A56"/>
    <w:rsid w:val="0075524A"/>
    <w:rsid w:val="00756A89"/>
    <w:rsid w:val="007615BC"/>
    <w:rsid w:val="007622D7"/>
    <w:rsid w:val="00762F05"/>
    <w:rsid w:val="00764FC4"/>
    <w:rsid w:val="007652FF"/>
    <w:rsid w:val="00771329"/>
    <w:rsid w:val="00773EF7"/>
    <w:rsid w:val="00774E1D"/>
    <w:rsid w:val="0077675A"/>
    <w:rsid w:val="00780355"/>
    <w:rsid w:val="00785721"/>
    <w:rsid w:val="007904FA"/>
    <w:rsid w:val="00793A59"/>
    <w:rsid w:val="00795DC5"/>
    <w:rsid w:val="00797FFA"/>
    <w:rsid w:val="007A2162"/>
    <w:rsid w:val="007A5083"/>
    <w:rsid w:val="007B3C16"/>
    <w:rsid w:val="007C0F3D"/>
    <w:rsid w:val="007C1AF7"/>
    <w:rsid w:val="007C6138"/>
    <w:rsid w:val="007C6E5D"/>
    <w:rsid w:val="007D1314"/>
    <w:rsid w:val="007D2AAF"/>
    <w:rsid w:val="007E175B"/>
    <w:rsid w:val="007E2C12"/>
    <w:rsid w:val="007E7634"/>
    <w:rsid w:val="007F17AF"/>
    <w:rsid w:val="007F2054"/>
    <w:rsid w:val="0080002D"/>
    <w:rsid w:val="008002E7"/>
    <w:rsid w:val="008052D5"/>
    <w:rsid w:val="00813D87"/>
    <w:rsid w:val="00814C3A"/>
    <w:rsid w:val="00815BD3"/>
    <w:rsid w:val="00816164"/>
    <w:rsid w:val="00821776"/>
    <w:rsid w:val="008226B3"/>
    <w:rsid w:val="0082371E"/>
    <w:rsid w:val="00826007"/>
    <w:rsid w:val="008320C3"/>
    <w:rsid w:val="008321F5"/>
    <w:rsid w:val="00832369"/>
    <w:rsid w:val="00833CA6"/>
    <w:rsid w:val="00834660"/>
    <w:rsid w:val="00836BC2"/>
    <w:rsid w:val="008534B1"/>
    <w:rsid w:val="0085641B"/>
    <w:rsid w:val="008564F4"/>
    <w:rsid w:val="00857136"/>
    <w:rsid w:val="00860327"/>
    <w:rsid w:val="008612DA"/>
    <w:rsid w:val="008649C2"/>
    <w:rsid w:val="00875002"/>
    <w:rsid w:val="00877AA4"/>
    <w:rsid w:val="00896018"/>
    <w:rsid w:val="008A27DA"/>
    <w:rsid w:val="008A2B9D"/>
    <w:rsid w:val="008A5E0B"/>
    <w:rsid w:val="008A5ED8"/>
    <w:rsid w:val="008A6133"/>
    <w:rsid w:val="008A69D1"/>
    <w:rsid w:val="008A6D59"/>
    <w:rsid w:val="008A6DF9"/>
    <w:rsid w:val="008A7095"/>
    <w:rsid w:val="008A7AA6"/>
    <w:rsid w:val="008B1A25"/>
    <w:rsid w:val="008B3AC1"/>
    <w:rsid w:val="008B4B03"/>
    <w:rsid w:val="008B553E"/>
    <w:rsid w:val="008B596F"/>
    <w:rsid w:val="008B737F"/>
    <w:rsid w:val="008C159F"/>
    <w:rsid w:val="008C1623"/>
    <w:rsid w:val="008C1A34"/>
    <w:rsid w:val="008C278D"/>
    <w:rsid w:val="008C51A9"/>
    <w:rsid w:val="008C58C0"/>
    <w:rsid w:val="008C63C5"/>
    <w:rsid w:val="008C7541"/>
    <w:rsid w:val="008D02CA"/>
    <w:rsid w:val="008D24E7"/>
    <w:rsid w:val="008E12B9"/>
    <w:rsid w:val="008E3C43"/>
    <w:rsid w:val="008E3FF2"/>
    <w:rsid w:val="008E4051"/>
    <w:rsid w:val="008E5ADC"/>
    <w:rsid w:val="008F0151"/>
    <w:rsid w:val="008F1940"/>
    <w:rsid w:val="008F1CCC"/>
    <w:rsid w:val="008F2967"/>
    <w:rsid w:val="008F49EA"/>
    <w:rsid w:val="008F6EAB"/>
    <w:rsid w:val="008F6EF7"/>
    <w:rsid w:val="008F71AD"/>
    <w:rsid w:val="0090077D"/>
    <w:rsid w:val="00901E41"/>
    <w:rsid w:val="00902D37"/>
    <w:rsid w:val="00906826"/>
    <w:rsid w:val="009074DB"/>
    <w:rsid w:val="009102EF"/>
    <w:rsid w:val="0091546D"/>
    <w:rsid w:val="00916001"/>
    <w:rsid w:val="00916752"/>
    <w:rsid w:val="00920330"/>
    <w:rsid w:val="00920FF4"/>
    <w:rsid w:val="009219D7"/>
    <w:rsid w:val="00922D53"/>
    <w:rsid w:val="00923B70"/>
    <w:rsid w:val="00924475"/>
    <w:rsid w:val="0092600B"/>
    <w:rsid w:val="00926B0E"/>
    <w:rsid w:val="00930237"/>
    <w:rsid w:val="00930E7E"/>
    <w:rsid w:val="00932BBB"/>
    <w:rsid w:val="009433AB"/>
    <w:rsid w:val="00944DDF"/>
    <w:rsid w:val="00946E57"/>
    <w:rsid w:val="00947BE9"/>
    <w:rsid w:val="0096240A"/>
    <w:rsid w:val="0096319D"/>
    <w:rsid w:val="00963C08"/>
    <w:rsid w:val="00964F68"/>
    <w:rsid w:val="00966060"/>
    <w:rsid w:val="009707B8"/>
    <w:rsid w:val="00970DCE"/>
    <w:rsid w:val="00974DBB"/>
    <w:rsid w:val="009819F1"/>
    <w:rsid w:val="009860FD"/>
    <w:rsid w:val="0098793C"/>
    <w:rsid w:val="00987DAB"/>
    <w:rsid w:val="0099110E"/>
    <w:rsid w:val="00994189"/>
    <w:rsid w:val="009947EF"/>
    <w:rsid w:val="009A2186"/>
    <w:rsid w:val="009A4CED"/>
    <w:rsid w:val="009A5BC7"/>
    <w:rsid w:val="009A69F2"/>
    <w:rsid w:val="009B1D12"/>
    <w:rsid w:val="009B3475"/>
    <w:rsid w:val="009B416B"/>
    <w:rsid w:val="009B5B9D"/>
    <w:rsid w:val="009B68A6"/>
    <w:rsid w:val="009B7856"/>
    <w:rsid w:val="009B7F90"/>
    <w:rsid w:val="009C4BD5"/>
    <w:rsid w:val="009D059A"/>
    <w:rsid w:val="009D2E04"/>
    <w:rsid w:val="009D3477"/>
    <w:rsid w:val="009D7B77"/>
    <w:rsid w:val="009E0BB0"/>
    <w:rsid w:val="009E3FBB"/>
    <w:rsid w:val="009E45E7"/>
    <w:rsid w:val="009E5832"/>
    <w:rsid w:val="009F018D"/>
    <w:rsid w:val="009F0B33"/>
    <w:rsid w:val="00A01194"/>
    <w:rsid w:val="00A04870"/>
    <w:rsid w:val="00A05A51"/>
    <w:rsid w:val="00A07590"/>
    <w:rsid w:val="00A1235B"/>
    <w:rsid w:val="00A148D8"/>
    <w:rsid w:val="00A14DF7"/>
    <w:rsid w:val="00A22CA0"/>
    <w:rsid w:val="00A26E24"/>
    <w:rsid w:val="00A31A7E"/>
    <w:rsid w:val="00A3246D"/>
    <w:rsid w:val="00A33185"/>
    <w:rsid w:val="00A35715"/>
    <w:rsid w:val="00A36FA7"/>
    <w:rsid w:val="00A4090C"/>
    <w:rsid w:val="00A4235C"/>
    <w:rsid w:val="00A42A16"/>
    <w:rsid w:val="00A44990"/>
    <w:rsid w:val="00A44F82"/>
    <w:rsid w:val="00A472DA"/>
    <w:rsid w:val="00A475B7"/>
    <w:rsid w:val="00A47AF7"/>
    <w:rsid w:val="00A47C3E"/>
    <w:rsid w:val="00A50226"/>
    <w:rsid w:val="00A50B14"/>
    <w:rsid w:val="00A57F5A"/>
    <w:rsid w:val="00A60BAD"/>
    <w:rsid w:val="00A644D1"/>
    <w:rsid w:val="00A70E30"/>
    <w:rsid w:val="00A712B7"/>
    <w:rsid w:val="00A73A8D"/>
    <w:rsid w:val="00A76DD8"/>
    <w:rsid w:val="00A77452"/>
    <w:rsid w:val="00A8136D"/>
    <w:rsid w:val="00A87334"/>
    <w:rsid w:val="00A935A5"/>
    <w:rsid w:val="00A97F9E"/>
    <w:rsid w:val="00AA30E7"/>
    <w:rsid w:val="00AA3EB9"/>
    <w:rsid w:val="00AC2B40"/>
    <w:rsid w:val="00AC2BB2"/>
    <w:rsid w:val="00AC2C3C"/>
    <w:rsid w:val="00AC3BD9"/>
    <w:rsid w:val="00AC3D45"/>
    <w:rsid w:val="00AC50E9"/>
    <w:rsid w:val="00AC7A97"/>
    <w:rsid w:val="00AD5671"/>
    <w:rsid w:val="00AD5831"/>
    <w:rsid w:val="00AE2EBB"/>
    <w:rsid w:val="00AE5AB2"/>
    <w:rsid w:val="00AE65EB"/>
    <w:rsid w:val="00AF1D94"/>
    <w:rsid w:val="00AF60C5"/>
    <w:rsid w:val="00AF69CB"/>
    <w:rsid w:val="00B009C6"/>
    <w:rsid w:val="00B00ACB"/>
    <w:rsid w:val="00B01548"/>
    <w:rsid w:val="00B01551"/>
    <w:rsid w:val="00B02CF1"/>
    <w:rsid w:val="00B06AF3"/>
    <w:rsid w:val="00B147DA"/>
    <w:rsid w:val="00B21D29"/>
    <w:rsid w:val="00B21FC5"/>
    <w:rsid w:val="00B23323"/>
    <w:rsid w:val="00B24FF5"/>
    <w:rsid w:val="00B25034"/>
    <w:rsid w:val="00B331B4"/>
    <w:rsid w:val="00B33863"/>
    <w:rsid w:val="00B37D17"/>
    <w:rsid w:val="00B409E7"/>
    <w:rsid w:val="00B4175E"/>
    <w:rsid w:val="00B510E1"/>
    <w:rsid w:val="00B54C25"/>
    <w:rsid w:val="00B62E6A"/>
    <w:rsid w:val="00B63D73"/>
    <w:rsid w:val="00B76B91"/>
    <w:rsid w:val="00B77027"/>
    <w:rsid w:val="00B87BB7"/>
    <w:rsid w:val="00B92B05"/>
    <w:rsid w:val="00B946A9"/>
    <w:rsid w:val="00B9484C"/>
    <w:rsid w:val="00B94CFB"/>
    <w:rsid w:val="00BA0DFC"/>
    <w:rsid w:val="00BB3196"/>
    <w:rsid w:val="00BB754A"/>
    <w:rsid w:val="00BC1788"/>
    <w:rsid w:val="00BC1CAB"/>
    <w:rsid w:val="00BC622A"/>
    <w:rsid w:val="00BD0B28"/>
    <w:rsid w:val="00BD0BC8"/>
    <w:rsid w:val="00BD3EA2"/>
    <w:rsid w:val="00BE0A78"/>
    <w:rsid w:val="00BE243C"/>
    <w:rsid w:val="00BE2AF0"/>
    <w:rsid w:val="00BE79F0"/>
    <w:rsid w:val="00BF046D"/>
    <w:rsid w:val="00BF32BF"/>
    <w:rsid w:val="00BF43F2"/>
    <w:rsid w:val="00BF5D04"/>
    <w:rsid w:val="00C01365"/>
    <w:rsid w:val="00C07B97"/>
    <w:rsid w:val="00C13563"/>
    <w:rsid w:val="00C14835"/>
    <w:rsid w:val="00C14887"/>
    <w:rsid w:val="00C1617C"/>
    <w:rsid w:val="00C23477"/>
    <w:rsid w:val="00C24FC6"/>
    <w:rsid w:val="00C268CB"/>
    <w:rsid w:val="00C319AE"/>
    <w:rsid w:val="00C3408D"/>
    <w:rsid w:val="00C34BB5"/>
    <w:rsid w:val="00C404A6"/>
    <w:rsid w:val="00C40A36"/>
    <w:rsid w:val="00C42004"/>
    <w:rsid w:val="00C42F46"/>
    <w:rsid w:val="00C44419"/>
    <w:rsid w:val="00C45E7B"/>
    <w:rsid w:val="00C471B1"/>
    <w:rsid w:val="00C4743E"/>
    <w:rsid w:val="00C50E06"/>
    <w:rsid w:val="00C50E5C"/>
    <w:rsid w:val="00C55255"/>
    <w:rsid w:val="00C5534D"/>
    <w:rsid w:val="00C56A3E"/>
    <w:rsid w:val="00C6316B"/>
    <w:rsid w:val="00C634A9"/>
    <w:rsid w:val="00C71313"/>
    <w:rsid w:val="00C7475B"/>
    <w:rsid w:val="00C76805"/>
    <w:rsid w:val="00C772FF"/>
    <w:rsid w:val="00C801AF"/>
    <w:rsid w:val="00C80256"/>
    <w:rsid w:val="00C85953"/>
    <w:rsid w:val="00C87DC4"/>
    <w:rsid w:val="00CA7F9C"/>
    <w:rsid w:val="00CB2225"/>
    <w:rsid w:val="00CB6BC0"/>
    <w:rsid w:val="00CB73C5"/>
    <w:rsid w:val="00CC1B7C"/>
    <w:rsid w:val="00CC2086"/>
    <w:rsid w:val="00CC70CB"/>
    <w:rsid w:val="00CC727F"/>
    <w:rsid w:val="00CD1F02"/>
    <w:rsid w:val="00CD2379"/>
    <w:rsid w:val="00CD2D21"/>
    <w:rsid w:val="00CD30CC"/>
    <w:rsid w:val="00CD3F59"/>
    <w:rsid w:val="00CD6EA5"/>
    <w:rsid w:val="00CD6FCC"/>
    <w:rsid w:val="00CE5067"/>
    <w:rsid w:val="00CE5BB0"/>
    <w:rsid w:val="00CF15C3"/>
    <w:rsid w:val="00CF2B6F"/>
    <w:rsid w:val="00CF4791"/>
    <w:rsid w:val="00CF52F2"/>
    <w:rsid w:val="00CF6CC1"/>
    <w:rsid w:val="00D017ED"/>
    <w:rsid w:val="00D11F5C"/>
    <w:rsid w:val="00D153B1"/>
    <w:rsid w:val="00D20077"/>
    <w:rsid w:val="00D20C54"/>
    <w:rsid w:val="00D224FE"/>
    <w:rsid w:val="00D229BA"/>
    <w:rsid w:val="00D25F22"/>
    <w:rsid w:val="00D27857"/>
    <w:rsid w:val="00D30526"/>
    <w:rsid w:val="00D3646E"/>
    <w:rsid w:val="00D45445"/>
    <w:rsid w:val="00D45FB9"/>
    <w:rsid w:val="00D47406"/>
    <w:rsid w:val="00D510CF"/>
    <w:rsid w:val="00D55652"/>
    <w:rsid w:val="00D60F3E"/>
    <w:rsid w:val="00D643B0"/>
    <w:rsid w:val="00D64401"/>
    <w:rsid w:val="00D6493E"/>
    <w:rsid w:val="00D6626B"/>
    <w:rsid w:val="00D76FB1"/>
    <w:rsid w:val="00D77365"/>
    <w:rsid w:val="00D77CDC"/>
    <w:rsid w:val="00D84DCE"/>
    <w:rsid w:val="00D85417"/>
    <w:rsid w:val="00D9141E"/>
    <w:rsid w:val="00D922C0"/>
    <w:rsid w:val="00DA1124"/>
    <w:rsid w:val="00DA24C7"/>
    <w:rsid w:val="00DA381C"/>
    <w:rsid w:val="00DA4575"/>
    <w:rsid w:val="00DA4CD9"/>
    <w:rsid w:val="00DA6786"/>
    <w:rsid w:val="00DC2BA1"/>
    <w:rsid w:val="00DC2EB3"/>
    <w:rsid w:val="00DC7C47"/>
    <w:rsid w:val="00DD3D09"/>
    <w:rsid w:val="00DD459E"/>
    <w:rsid w:val="00DD75A3"/>
    <w:rsid w:val="00DD76DE"/>
    <w:rsid w:val="00DE02AE"/>
    <w:rsid w:val="00DE63AF"/>
    <w:rsid w:val="00DE6A0C"/>
    <w:rsid w:val="00DE6C04"/>
    <w:rsid w:val="00DF1D7F"/>
    <w:rsid w:val="00DF45B9"/>
    <w:rsid w:val="00DF48B7"/>
    <w:rsid w:val="00DF5E58"/>
    <w:rsid w:val="00DF6BE8"/>
    <w:rsid w:val="00E02FB4"/>
    <w:rsid w:val="00E0699E"/>
    <w:rsid w:val="00E06A7C"/>
    <w:rsid w:val="00E1198B"/>
    <w:rsid w:val="00E11E4D"/>
    <w:rsid w:val="00E1340C"/>
    <w:rsid w:val="00E136F2"/>
    <w:rsid w:val="00E13D2A"/>
    <w:rsid w:val="00E177F4"/>
    <w:rsid w:val="00E20571"/>
    <w:rsid w:val="00E21651"/>
    <w:rsid w:val="00E22953"/>
    <w:rsid w:val="00E22BA6"/>
    <w:rsid w:val="00E235F7"/>
    <w:rsid w:val="00E239D4"/>
    <w:rsid w:val="00E30C88"/>
    <w:rsid w:val="00E32A5C"/>
    <w:rsid w:val="00E35EB8"/>
    <w:rsid w:val="00E403D2"/>
    <w:rsid w:val="00E40B22"/>
    <w:rsid w:val="00E42924"/>
    <w:rsid w:val="00E4588F"/>
    <w:rsid w:val="00E46DA3"/>
    <w:rsid w:val="00E47660"/>
    <w:rsid w:val="00E5030B"/>
    <w:rsid w:val="00E63CD1"/>
    <w:rsid w:val="00E67774"/>
    <w:rsid w:val="00E74604"/>
    <w:rsid w:val="00E76041"/>
    <w:rsid w:val="00E964F3"/>
    <w:rsid w:val="00EA16DE"/>
    <w:rsid w:val="00EA1F09"/>
    <w:rsid w:val="00EA406B"/>
    <w:rsid w:val="00EA4D1D"/>
    <w:rsid w:val="00EA7E1D"/>
    <w:rsid w:val="00EB0798"/>
    <w:rsid w:val="00EB40AD"/>
    <w:rsid w:val="00EB5622"/>
    <w:rsid w:val="00EB586E"/>
    <w:rsid w:val="00EB5FC8"/>
    <w:rsid w:val="00EB6CAF"/>
    <w:rsid w:val="00ED3A30"/>
    <w:rsid w:val="00ED555A"/>
    <w:rsid w:val="00ED5A41"/>
    <w:rsid w:val="00ED6A67"/>
    <w:rsid w:val="00EE3AE9"/>
    <w:rsid w:val="00EF160D"/>
    <w:rsid w:val="00EF3F86"/>
    <w:rsid w:val="00EF578B"/>
    <w:rsid w:val="00EF6895"/>
    <w:rsid w:val="00EF6AFE"/>
    <w:rsid w:val="00EF7060"/>
    <w:rsid w:val="00F033EC"/>
    <w:rsid w:val="00F04F68"/>
    <w:rsid w:val="00F0622D"/>
    <w:rsid w:val="00F06686"/>
    <w:rsid w:val="00F12670"/>
    <w:rsid w:val="00F14B27"/>
    <w:rsid w:val="00F2301F"/>
    <w:rsid w:val="00F254BE"/>
    <w:rsid w:val="00F25749"/>
    <w:rsid w:val="00F27030"/>
    <w:rsid w:val="00F274A2"/>
    <w:rsid w:val="00F31011"/>
    <w:rsid w:val="00F3128A"/>
    <w:rsid w:val="00F3148D"/>
    <w:rsid w:val="00F35298"/>
    <w:rsid w:val="00F3529E"/>
    <w:rsid w:val="00F37CB8"/>
    <w:rsid w:val="00F401EF"/>
    <w:rsid w:val="00F427F0"/>
    <w:rsid w:val="00F47E37"/>
    <w:rsid w:val="00F51A5A"/>
    <w:rsid w:val="00F52086"/>
    <w:rsid w:val="00F54CA9"/>
    <w:rsid w:val="00F56B9D"/>
    <w:rsid w:val="00F57336"/>
    <w:rsid w:val="00F61529"/>
    <w:rsid w:val="00F628EF"/>
    <w:rsid w:val="00F640B6"/>
    <w:rsid w:val="00F71E1E"/>
    <w:rsid w:val="00F72A10"/>
    <w:rsid w:val="00F778A4"/>
    <w:rsid w:val="00F80E40"/>
    <w:rsid w:val="00F847E1"/>
    <w:rsid w:val="00F859D2"/>
    <w:rsid w:val="00F8709D"/>
    <w:rsid w:val="00F9022D"/>
    <w:rsid w:val="00FA2B8E"/>
    <w:rsid w:val="00FA3FB8"/>
    <w:rsid w:val="00FA43E5"/>
    <w:rsid w:val="00FA5B82"/>
    <w:rsid w:val="00FA639E"/>
    <w:rsid w:val="00FB25D2"/>
    <w:rsid w:val="00FB4870"/>
    <w:rsid w:val="00FB6B14"/>
    <w:rsid w:val="00FB6E14"/>
    <w:rsid w:val="00FC03C8"/>
    <w:rsid w:val="00FC1213"/>
    <w:rsid w:val="00FC1750"/>
    <w:rsid w:val="00FC25E4"/>
    <w:rsid w:val="00FC4EF7"/>
    <w:rsid w:val="00FD2E0B"/>
    <w:rsid w:val="00FD4404"/>
    <w:rsid w:val="00FD7852"/>
    <w:rsid w:val="00FE0A73"/>
    <w:rsid w:val="00FE1DEE"/>
    <w:rsid w:val="00FE206C"/>
    <w:rsid w:val="00FE501F"/>
    <w:rsid w:val="00FE6716"/>
    <w:rsid w:val="00FF2126"/>
    <w:rsid w:val="00FF25A1"/>
    <w:rsid w:val="00FF2993"/>
    <w:rsid w:val="00FF302A"/>
    <w:rsid w:val="00FF4B1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9" fill="f" fillcolor="#c6d4e9" strokecolor="#002c47">
      <v:fill color="#c6d4e9" on="f"/>
      <v:stroke color="#002c47"/>
    </o:shapedefaults>
    <o:shapelayout v:ext="edit">
      <o:idmap v:ext="edit" data="1"/>
    </o:shapelayout>
  </w:shapeDefaults>
  <w:decimalSymbol w:val="."/>
  <w:listSeparator w:val=","/>
  <w14:docId w14:val="41AD066A"/>
  <w15:docId w15:val="{E7AAFE02-B4A5-4398-93DF-B5B1ECF4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260A"/>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F401EF"/>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CB73C5"/>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8A7AA6"/>
    <w:pPr>
      <w:framePr w:hSpace="180" w:wrap="around" w:vAnchor="page" w:hAnchor="margin" w:y="3121"/>
      <w:numPr>
        <w:ilvl w:val="1"/>
      </w:numPr>
      <w:spacing w:before="0" w:after="0"/>
    </w:pPr>
    <w:rPr>
      <w:rFonts w:ascii="Arial" w:eastAsia="Times New Roman" w:hAnsi="Arial"/>
      <w:bCs/>
      <w:iCs/>
      <w:color w:val="006DA7"/>
      <w:sz w:val="36"/>
      <w:szCs w:val="24"/>
    </w:rPr>
  </w:style>
  <w:style w:type="character" w:customStyle="1" w:styleId="SubtitleChar">
    <w:name w:val="Subtitle Char"/>
    <w:basedOn w:val="DefaultParagraphFont"/>
    <w:link w:val="Subtitle"/>
    <w:uiPriority w:val="11"/>
    <w:rsid w:val="008A7AA6"/>
    <w:rPr>
      <w:rFonts w:ascii="Arial" w:eastAsia="Times New Roman" w:hAnsi="Arial"/>
      <w:bCs/>
      <w:iCs/>
      <w:color w:val="006DA7"/>
      <w:sz w:val="36"/>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732FEE"/>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Default">
    <w:name w:val="Default"/>
    <w:rsid w:val="009A2186"/>
    <w:pPr>
      <w:autoSpaceDE w:val="0"/>
      <w:autoSpaceDN w:val="0"/>
      <w:adjustRightInd w:val="0"/>
    </w:pPr>
    <w:rPr>
      <w:rFonts w:cs="Cambria"/>
      <w:color w:val="000000"/>
      <w:sz w:val="24"/>
      <w:szCs w:val="24"/>
    </w:rPr>
  </w:style>
  <w:style w:type="paragraph" w:styleId="ListParagraph">
    <w:name w:val="List Paragraph"/>
    <w:aliases w:val="Bullet 1,Bullet list"/>
    <w:basedOn w:val="Normal"/>
    <w:link w:val="ListParagraphChar"/>
    <w:uiPriority w:val="34"/>
    <w:qFormat/>
    <w:rsid w:val="00C01365"/>
    <w:pPr>
      <w:ind w:left="720"/>
      <w:contextualSpacing/>
    </w:pPr>
  </w:style>
  <w:style w:type="character" w:customStyle="1" w:styleId="ListParagraphChar">
    <w:name w:val="List Paragraph Char"/>
    <w:aliases w:val="Bullet 1 Char,Bullet list Char"/>
    <w:basedOn w:val="DefaultParagraphFont"/>
    <w:link w:val="ListParagraph"/>
    <w:uiPriority w:val="34"/>
    <w:locked/>
    <w:rsid w:val="00203661"/>
    <w:rPr>
      <w:sz w:val="22"/>
      <w:lang w:eastAsia="en-US"/>
    </w:rPr>
  </w:style>
  <w:style w:type="paragraph" w:customStyle="1" w:styleId="wordsection1">
    <w:name w:val="wordsection1"/>
    <w:basedOn w:val="Normal"/>
    <w:uiPriority w:val="99"/>
    <w:rsid w:val="008564F4"/>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subsectionChar">
    <w:name w:val="subsection Char"/>
    <w:aliases w:val="ss Char"/>
    <w:basedOn w:val="DefaultParagraphFont"/>
    <w:link w:val="subsection"/>
    <w:rsid w:val="005E6977"/>
    <w:rPr>
      <w:sz w:val="22"/>
    </w:rPr>
  </w:style>
  <w:style w:type="paragraph" w:customStyle="1" w:styleId="subsection">
    <w:name w:val="subsection"/>
    <w:aliases w:val="ss"/>
    <w:basedOn w:val="Normal"/>
    <w:link w:val="subsectionChar"/>
    <w:rsid w:val="005E6977"/>
    <w:pPr>
      <w:tabs>
        <w:tab w:val="right" w:pos="1021"/>
      </w:tabs>
      <w:spacing w:before="180" w:after="0" w:line="240" w:lineRule="auto"/>
      <w:ind w:left="1134" w:hanging="1134"/>
    </w:pPr>
    <w:rPr>
      <w:lang w:eastAsia="en-AU"/>
    </w:rPr>
  </w:style>
  <w:style w:type="paragraph" w:customStyle="1" w:styleId="paragraph">
    <w:name w:val="paragraph"/>
    <w:aliases w:val="a"/>
    <w:basedOn w:val="Normal"/>
    <w:link w:val="paragraphChar"/>
    <w:rsid w:val="005E6977"/>
    <w:pPr>
      <w:tabs>
        <w:tab w:val="right" w:pos="1531"/>
      </w:tabs>
      <w:spacing w:before="40" w:after="0" w:line="240" w:lineRule="auto"/>
      <w:ind w:left="1644" w:hanging="1644"/>
    </w:pPr>
    <w:rPr>
      <w:rFonts w:ascii="Times New Roman" w:eastAsia="Times New Roman" w:hAnsi="Times New Roman"/>
      <w:lang w:eastAsia="en-AU"/>
    </w:rPr>
  </w:style>
  <w:style w:type="character" w:customStyle="1" w:styleId="paragraphChar">
    <w:name w:val="paragraph Char"/>
    <w:aliases w:val="a Char"/>
    <w:basedOn w:val="DefaultParagraphFont"/>
    <w:link w:val="paragraph"/>
    <w:rsid w:val="005E6977"/>
    <w:rPr>
      <w:rFonts w:ascii="Times New Roman" w:eastAsia="Times New Roman" w:hAnsi="Times New Roman"/>
      <w:sz w:val="22"/>
    </w:rPr>
  </w:style>
  <w:style w:type="character" w:styleId="EndnoteReference">
    <w:name w:val="endnote reference"/>
    <w:basedOn w:val="DefaultParagraphFont"/>
    <w:uiPriority w:val="99"/>
    <w:semiHidden/>
    <w:unhideWhenUsed/>
    <w:rsid w:val="005E6977"/>
    <w:rPr>
      <w:vertAlign w:val="superscript"/>
    </w:rPr>
  </w:style>
  <w:style w:type="paragraph" w:styleId="Revision">
    <w:name w:val="Revision"/>
    <w:hidden/>
    <w:uiPriority w:val="99"/>
    <w:semiHidden/>
    <w:rsid w:val="006D5B7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20010315">
      <w:bodyDiv w:val="1"/>
      <w:marLeft w:val="0"/>
      <w:marRight w:val="0"/>
      <w:marTop w:val="0"/>
      <w:marBottom w:val="0"/>
      <w:divBdr>
        <w:top w:val="none" w:sz="0" w:space="0" w:color="auto"/>
        <w:left w:val="none" w:sz="0" w:space="0" w:color="auto"/>
        <w:bottom w:val="none" w:sz="0" w:space="0" w:color="auto"/>
        <w:right w:val="none" w:sz="0" w:space="0" w:color="auto"/>
      </w:divBdr>
      <w:divsChild>
        <w:div w:id="590235262">
          <w:marLeft w:val="547"/>
          <w:marRight w:val="0"/>
          <w:marTop w:val="0"/>
          <w:marBottom w:val="0"/>
          <w:divBdr>
            <w:top w:val="none" w:sz="0" w:space="0" w:color="auto"/>
            <w:left w:val="none" w:sz="0" w:space="0" w:color="auto"/>
            <w:bottom w:val="none" w:sz="0" w:space="0" w:color="auto"/>
            <w:right w:val="none" w:sz="0" w:space="0" w:color="auto"/>
          </w:divBdr>
        </w:div>
      </w:divsChild>
    </w:div>
    <w:div w:id="2104295806">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F2020L00864" TargetMode="External"/><Relationship Id="rId18" Type="http://schemas.openxmlformats.org/officeDocument/2006/relationships/hyperlink" Target="https://www.tga.gov.au/publication/manufacturing-principles-medicinal-products" TargetMode="External"/><Relationship Id="rId26" Type="http://schemas.openxmlformats.org/officeDocument/2006/relationships/hyperlink" Target="https://www.tga.gov.au/book-page/licensing-and-certification-process" TargetMode="External"/><Relationship Id="rId39" Type="http://schemas.openxmlformats.org/officeDocument/2006/relationships/hyperlink" Target="https://www.tga.gov.au/hubs/compliance-and-enforcement/compliance-actions-and-outcomes" TargetMode="External"/><Relationship Id="rId21" Type="http://schemas.openxmlformats.org/officeDocument/2006/relationships/hyperlink" Target="https://www.tga.gov.au/listed-medicines" TargetMode="External"/><Relationship Id="rId34" Type="http://schemas.openxmlformats.org/officeDocument/2006/relationships/hyperlink" Target="https://picscheme.org/docview/1946" TargetMode="External"/><Relationship Id="rId42" Type="http://schemas.openxmlformats.org/officeDocument/2006/relationships/hyperlink" Target="https://www.tga.gov.au/manufacturing-therapeutic-goods" TargetMode="External"/><Relationship Id="rId47" Type="http://schemas.openxmlformats.org/officeDocument/2006/relationships/hyperlink" Target="https://www.tga.gov.au/publication/uniform-recall-procedure-therapeutic-goods-urptg" TargetMode="External"/><Relationship Id="rId50" Type="http://schemas.openxmlformats.org/officeDocument/2006/relationships/hyperlink" Target="https://www.tga.gov.au/australian-register-therapeutic-goods" TargetMode="External"/><Relationship Id="rId55" Type="http://schemas.openxmlformats.org/officeDocument/2006/relationships/hyperlink" Target="https://www.tga.gov.au/information-about-infringement-notices" TargetMode="External"/><Relationship Id="rId63" Type="http://schemas.openxmlformats.org/officeDocument/2006/relationships/hyperlink" Target="https://www.tga.gov.au/hubs/compliance-and-enforcement/compliance-actions-and-outcomes" TargetMode="External"/><Relationship Id="rId68" Type="http://schemas.openxmlformats.org/officeDocument/2006/relationships/hyperlink" Target="mailto:info@tga.gov.au" TargetMode="Externa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ga.gov.au/acronyms-glossary" TargetMode="External"/><Relationship Id="rId29" Type="http://schemas.openxmlformats.org/officeDocument/2006/relationships/hyperlink" Target="https://www.tga.gov.au/hubs/compliance-and-enforcement/compliance-management" TargetMode="External"/><Relationship Id="rId11" Type="http://schemas.openxmlformats.org/officeDocument/2006/relationships/footer" Target="footer2.xml"/><Relationship Id="rId24" Type="http://schemas.openxmlformats.org/officeDocument/2006/relationships/hyperlink" Target="https://www.legislation.gov.au/Series/C2004A03952" TargetMode="External"/><Relationship Id="rId32" Type="http://schemas.openxmlformats.org/officeDocument/2006/relationships/hyperlink" Target="https://www.tga.gov.au/hubs/compliance-and-enforcement/compliance-management" TargetMode="External"/><Relationship Id="rId37" Type="http://schemas.openxmlformats.org/officeDocument/2006/relationships/hyperlink" Target="https://www.gov.uk/drug-device-alerts/class-4-fmd-medicines-information-wda-h-49276-kingsley-specials-ltd-multiple-products-el-20-a-42?utm_source=372fd2fa-a04e-4f3d-bc2d-f2b2f457cf03&amp;utm_medium=email&amp;utm_campaign=govuk-notifications&amp;utm_content=immediate" TargetMode="External"/><Relationship Id="rId40" Type="http://schemas.openxmlformats.org/officeDocument/2006/relationships/hyperlink" Target="https://www.tga.gov.au/publication/manufacturing-principles-medicinal-products" TargetMode="External"/><Relationship Id="rId45" Type="http://schemas.openxmlformats.org/officeDocument/2006/relationships/hyperlink" Target="https://www.legislation.gov.au/Series/C2004A03952" TargetMode="External"/><Relationship Id="rId53" Type="http://schemas.openxmlformats.org/officeDocument/2006/relationships/hyperlink" Target="https://www.gov.uk/drug-device-alerts/class-4-fmd-medicines-information-wda-h-49276-kingsley-specials-ltd-multiple-products-el-20-a-42?utm_source=372fd2fa-a04e-4f3d-bc2d-f2b2f457cf03&amp;utm_medium=email&amp;utm_campaign=govuk-notifications&amp;utm_content=immediate" TargetMode="External"/><Relationship Id="rId58" Type="http://schemas.openxmlformats.org/officeDocument/2006/relationships/hyperlink" Target="https://www.tga.gov.au/suspending-revoking-and-tga-initiated-variation-conditions-manufacturing-licence" TargetMode="External"/><Relationship Id="rId66" Type="http://schemas.openxmlformats.org/officeDocument/2006/relationships/header" Target="header3.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acronyms-glossary" TargetMode="External"/><Relationship Id="rId23" Type="http://schemas.openxmlformats.org/officeDocument/2006/relationships/hyperlink" Target="https://www.tga.gov.au/responsibilities-manufacturers-medicines-and-biologicals" TargetMode="External"/><Relationship Id="rId28" Type="http://schemas.openxmlformats.org/officeDocument/2006/relationships/hyperlink" Target="https://www.tga.gov.au/sponsor-responsibilities-related-gmp-clearance-and-certification" TargetMode="External"/><Relationship Id="rId36" Type="http://schemas.openxmlformats.org/officeDocument/2006/relationships/hyperlink" Target="https://www.tga.gov.au/publication/site-master-file-preparation-pics-explanatory-notes-pharmaceutical-manufacturers" TargetMode="External"/><Relationship Id="rId49" Type="http://schemas.openxmlformats.org/officeDocument/2006/relationships/hyperlink" Target="https://www.tga.gov.au/roles-recalling-therapeutic-goods-0" TargetMode="External"/><Relationship Id="rId57" Type="http://schemas.openxmlformats.org/officeDocument/2006/relationships/hyperlink" Target="https://www.legislation.gov.au/Series/C2004A03952" TargetMode="External"/><Relationship Id="rId61" Type="http://schemas.openxmlformats.org/officeDocument/2006/relationships/hyperlink" Target="https://www.legislation.gov.au/Details/C2020C00253/Download" TargetMode="External"/><Relationship Id="rId10" Type="http://schemas.openxmlformats.org/officeDocument/2006/relationships/header" Target="header2.xml"/><Relationship Id="rId19" Type="http://schemas.openxmlformats.org/officeDocument/2006/relationships/hyperlink" Target="https://www.tga.gov.au/publication/australian-code-good-manufacturing-practice-human-blood-and-blood-components-human-tissues-and-human-cellular-therapy-products" TargetMode="External"/><Relationship Id="rId31" Type="http://schemas.openxmlformats.org/officeDocument/2006/relationships/hyperlink" Target="https://www.tga.gov.au/manufacturing-therapeutic-goods" TargetMode="External"/><Relationship Id="rId44" Type="http://schemas.openxmlformats.org/officeDocument/2006/relationships/hyperlink" Target="https://www.tga.gov.au/recalls" TargetMode="External"/><Relationship Id="rId52" Type="http://schemas.openxmlformats.org/officeDocument/2006/relationships/hyperlink" Target="https://www.tga.gov.au/publication/enforceable-undertaking-guidelines" TargetMode="External"/><Relationship Id="rId60" Type="http://schemas.openxmlformats.org/officeDocument/2006/relationships/hyperlink" Target="https://www.gov.uk/drug-device-alerts/class-4-fmd-medicines-information-wda-h-49276-kingsley-specials-ltd-multiple-products-el-20-a-42?utm_source=372fd2fa-a04e-4f3d-bc2d-f2b2f457cf03&amp;utm_medium=email&amp;utm_campaign=govuk-notifications&amp;utm_content=immediate" TargetMode="External"/><Relationship Id="rId65" Type="http://schemas.openxmlformats.org/officeDocument/2006/relationships/hyperlink" Target="https://www.cdpp.gov.a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good-manufacturing-practice-overview" TargetMode="External"/><Relationship Id="rId22" Type="http://schemas.openxmlformats.org/officeDocument/2006/relationships/hyperlink" Target="https://www.tga.gov.au/australian-register-therapeutic-goods" TargetMode="External"/><Relationship Id="rId27" Type="http://schemas.openxmlformats.org/officeDocument/2006/relationships/hyperlink" Target="https://www.tga.gov.au/publication/gmp-clearance-guidance" TargetMode="External"/><Relationship Id="rId30" Type="http://schemas.openxmlformats.org/officeDocument/2006/relationships/hyperlink" Target="https://www.tga.gov.au/book-page/your-regulatory-reporting-requirements" TargetMode="External"/><Relationship Id="rId35" Type="http://schemas.openxmlformats.org/officeDocument/2006/relationships/hyperlink" Target="https://www.tga.gov.au/book-page/13-post-inspection-letter-pilhttps:/www.tga.gov.au/book-page/13-post-inspection-letter-pil" TargetMode="External"/><Relationship Id="rId43" Type="http://schemas.openxmlformats.org/officeDocument/2006/relationships/hyperlink" Target="https://www.tga.gov.au/book-page/inspection-process" TargetMode="External"/><Relationship Id="rId48" Type="http://schemas.openxmlformats.org/officeDocument/2006/relationships/hyperlink" Target="https://www.tga.gov.au/recall-procedure" TargetMode="External"/><Relationship Id="rId56" Type="http://schemas.openxmlformats.org/officeDocument/2006/relationships/hyperlink" Target="https://www.legislation.gov.au/Series/C2004A03952" TargetMode="External"/><Relationship Id="rId64" Type="http://schemas.openxmlformats.org/officeDocument/2006/relationships/hyperlink" Target="https://www.gov.uk/drug-device-alerts/class-4-fmd-medicines-information-wda-h-49276-kingsley-specials-ltd-multiple-products-el-20-a-42?utm_source=372fd2fa-a04e-4f3d-bc2d-f2b2f457cf03&amp;utm_medium=email&amp;utm_campaign=govuk-notifications&amp;utm_content=immediate" TargetMode="External"/><Relationship Id="rId69" Type="http://schemas.openxmlformats.org/officeDocument/2006/relationships/hyperlink" Target="https://www.tga.gov.au" TargetMode="External"/><Relationship Id="rId8" Type="http://schemas.openxmlformats.org/officeDocument/2006/relationships/header" Target="header1.xml"/><Relationship Id="rId51" Type="http://schemas.openxmlformats.org/officeDocument/2006/relationships/hyperlink" Target="https://www.legislation.gov.au/Series/C2004A03952"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image" Target="media/image4.png"/><Relationship Id="rId25" Type="http://schemas.openxmlformats.org/officeDocument/2006/relationships/hyperlink" Target="https://www.tga.gov.au/good-manufacturing-practice-overview" TargetMode="External"/><Relationship Id="rId33" Type="http://schemas.openxmlformats.org/officeDocument/2006/relationships/hyperlink" Target="https://www.ema.europa.eu/en/documents/scientific-guideline/international-conference-harmonisation-technical-requirements-registration-pharmaceuticals-human-use_en-3.pdf" TargetMode="External"/><Relationship Id="rId38" Type="http://schemas.openxmlformats.org/officeDocument/2006/relationships/image" Target="media/image5.jpeg"/><Relationship Id="rId46" Type="http://schemas.openxmlformats.org/officeDocument/2006/relationships/hyperlink" Target="https://www.legislation.gov.au/Series/C2004A03952" TargetMode="External"/><Relationship Id="rId59" Type="http://schemas.openxmlformats.org/officeDocument/2006/relationships/hyperlink" Target="https://www.tga.gov.au/hubs/compliance-and-enforcement/compliance-actions-and-outcomes" TargetMode="External"/><Relationship Id="rId67" Type="http://schemas.openxmlformats.org/officeDocument/2006/relationships/footer" Target="footer3.xml"/><Relationship Id="rId20" Type="http://schemas.openxmlformats.org/officeDocument/2006/relationships/hyperlink" Target="https://www.tga.gov.au/registered-medicines" TargetMode="External"/><Relationship Id="rId41" Type="http://schemas.openxmlformats.org/officeDocument/2006/relationships/image" Target="media/image6.jpeg"/><Relationship Id="rId54" Type="http://schemas.openxmlformats.org/officeDocument/2006/relationships/hyperlink" Target="https://www.tga.gov.au/hubs/compliance-and-enforcement/compliance-actions-and-outcomes" TargetMode="External"/><Relationship Id="rId62" Type="http://schemas.openxmlformats.org/officeDocument/2006/relationships/hyperlink" Target="https://www.gov.uk/drug-device-alerts/class-4-fmd-medicines-information-wda-h-49276-kingsley-specials-ltd-multiple-products-el-20-a-42?utm_source=372fd2fa-a04e-4f3d-bc2d-f2b2f457cf03&amp;utm_medium=email&amp;utm_campaign=govuk-notifications&amp;utm_content=immediate" TargetMode="External"/><Relationship Id="rId70" Type="http://schemas.openxmlformats.org/officeDocument/2006/relationships/hyperlink" Target="el://D20-3505403?db=A7&amp;op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C345-3D49-4AB8-B374-27DB3D2A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309</TotalTime>
  <Pages>17</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Guidance on the management of GMP compliance signals</vt:lpstr>
    </vt:vector>
  </TitlesOfParts>
  <Company>TGA</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management of GMP compliance signals</dc:title>
  <dc:subject>manufacturing</dc:subject>
  <dc:creator>Therapeutic Goods Administration</dc:creator>
  <cp:lastPrinted>2010-12-20T22:59:00Z</cp:lastPrinted>
  <dcterms:created xsi:type="dcterms:W3CDTF">2021-03-18T00:31:00Z</dcterms:created>
  <dcterms:modified xsi:type="dcterms:W3CDTF">2021-05-18T05:58:00Z</dcterms:modified>
</cp:coreProperties>
</file>