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6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280EA7">
        <w:tc>
          <w:tcPr>
            <w:tcW w:w="8720" w:type="dxa"/>
          </w:tcPr>
          <w:p w14:paraId="158C7559" w14:textId="48F5C669" w:rsidR="0025660C" w:rsidRPr="00077548" w:rsidRDefault="00085044" w:rsidP="00280EA7">
            <w:pPr>
              <w:pStyle w:val="Title"/>
            </w:pPr>
            <w:bookmarkStart w:id="0" w:name="_GoBack"/>
            <w:bookmarkEnd w:id="0"/>
            <w:r>
              <w:t>Notice of final</w:t>
            </w:r>
            <w:r w:rsidR="00597B50" w:rsidRPr="00597B50">
              <w:t xml:space="preserve"> decisions to amend (or not amend) the current Poisons Standard</w:t>
            </w:r>
          </w:p>
        </w:tc>
      </w:tr>
      <w:tr w:rsidR="0025660C" w14:paraId="3393FE2A" w14:textId="77777777" w:rsidTr="00280EA7">
        <w:trPr>
          <w:trHeight w:val="810"/>
        </w:trPr>
        <w:tc>
          <w:tcPr>
            <w:tcW w:w="8720" w:type="dxa"/>
          </w:tcPr>
          <w:p w14:paraId="38D3E20E" w14:textId="0C9E8944" w:rsidR="0025660C" w:rsidRPr="00077548" w:rsidRDefault="00043548" w:rsidP="00280EA7">
            <w:pPr>
              <w:pStyle w:val="Subtitle"/>
              <w:tabs>
                <w:tab w:val="left" w:pos="5310"/>
              </w:tabs>
              <w:ind w:left="0"/>
            </w:pPr>
            <w:r>
              <w:t>22 April</w:t>
            </w:r>
            <w:r w:rsidR="003421A5">
              <w:t xml:space="preserve"> 2021</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1061584E" w:rsidR="007907BF" w:rsidRDefault="007907BF" w:rsidP="007016F0">
      <w:pPr>
        <w:pStyle w:val="LegalCopy"/>
      </w:pPr>
      <w:r w:rsidRPr="009401F6">
        <w:t>© Commonwealth of Australia 20</w:t>
      </w:r>
      <w:r w:rsidR="0007120C">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rsidR="00BD0155">
        <w:t>.</w:t>
      </w:r>
    </w:p>
    <w:bookmarkStart w:id="1" w:name="_Toc323740418" w:displacedByCustomXml="next"/>
    <w:bookmarkStart w:id="2" w:name="_Toc328388475" w:displacedByCustomXml="next"/>
    <w:bookmarkStart w:id="3" w:name="_Toc323740419" w:displacedByCustomXml="next"/>
    <w:sdt>
      <w:sdtPr>
        <w:rPr>
          <w:rFonts w:ascii="Arial" w:hAnsi="Arial"/>
          <w:b/>
        </w:rPr>
        <w:id w:val="21514559"/>
        <w:docPartObj>
          <w:docPartGallery w:val="Table of Contents"/>
          <w:docPartUnique/>
        </w:docPartObj>
      </w:sdtPr>
      <w:sdtEndPr/>
      <w:sdtContent>
        <w:p w14:paraId="4C271AF2" w14:textId="77777777" w:rsidR="006F5D71" w:rsidRDefault="0025660C" w:rsidP="00BD0155">
          <w:pPr>
            <w:pStyle w:val="TOC2"/>
            <w:pageBreakBefore/>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1341A15D" w14:textId="7EFD7CD4" w:rsidR="006F5D71" w:rsidRDefault="002C365A">
          <w:pPr>
            <w:pStyle w:val="TOC2"/>
            <w:tabs>
              <w:tab w:val="left" w:pos="851"/>
            </w:tabs>
            <w:rPr>
              <w:rFonts w:asciiTheme="minorHAnsi" w:eastAsiaTheme="minorEastAsia" w:hAnsiTheme="minorHAnsi" w:cstheme="minorBidi"/>
              <w:noProof/>
              <w:szCs w:val="22"/>
              <w:lang w:eastAsia="en-AU"/>
            </w:rPr>
          </w:pPr>
          <w:hyperlink w:anchor="_Toc69977411" w:history="1">
            <w:r w:rsidR="006F5D71" w:rsidRPr="008E1836">
              <w:rPr>
                <w:rStyle w:val="Hyperlink"/>
                <w:noProof/>
              </w:rPr>
              <w:t>1</w:t>
            </w:r>
            <w:r w:rsidR="006F5D71">
              <w:rPr>
                <w:rFonts w:asciiTheme="minorHAnsi" w:eastAsiaTheme="minorEastAsia" w:hAnsiTheme="minorHAnsi" w:cstheme="minorBidi"/>
                <w:noProof/>
                <w:szCs w:val="22"/>
                <w:lang w:eastAsia="en-AU"/>
              </w:rPr>
              <w:tab/>
            </w:r>
            <w:r w:rsidR="006F5D71" w:rsidRPr="008E1836">
              <w:rPr>
                <w:rStyle w:val="Hyperlink"/>
                <w:noProof/>
              </w:rPr>
              <w:t>Notice of final decisions to amend (or not amend) the current Poisons Standard</w:t>
            </w:r>
            <w:r w:rsidR="006F5D71">
              <w:rPr>
                <w:noProof/>
                <w:webHidden/>
              </w:rPr>
              <w:tab/>
            </w:r>
            <w:r w:rsidR="006F5D71">
              <w:rPr>
                <w:noProof/>
                <w:webHidden/>
              </w:rPr>
              <w:fldChar w:fldCharType="begin"/>
            </w:r>
            <w:r w:rsidR="006F5D71">
              <w:rPr>
                <w:noProof/>
                <w:webHidden/>
              </w:rPr>
              <w:instrText xml:space="preserve"> PAGEREF _Toc69977411 \h </w:instrText>
            </w:r>
            <w:r w:rsidR="006F5D71">
              <w:rPr>
                <w:noProof/>
                <w:webHidden/>
              </w:rPr>
            </w:r>
            <w:r w:rsidR="006F5D71">
              <w:rPr>
                <w:noProof/>
                <w:webHidden/>
              </w:rPr>
              <w:fldChar w:fldCharType="separate"/>
            </w:r>
            <w:r w:rsidR="006F5D71">
              <w:rPr>
                <w:noProof/>
                <w:webHidden/>
              </w:rPr>
              <w:t>4</w:t>
            </w:r>
            <w:r w:rsidR="006F5D71">
              <w:rPr>
                <w:noProof/>
                <w:webHidden/>
              </w:rPr>
              <w:fldChar w:fldCharType="end"/>
            </w:r>
          </w:hyperlink>
        </w:p>
        <w:p w14:paraId="57D83264" w14:textId="142CE629" w:rsidR="006F5D71" w:rsidRDefault="002C365A">
          <w:pPr>
            <w:pStyle w:val="TOC2"/>
            <w:tabs>
              <w:tab w:val="left" w:pos="851"/>
            </w:tabs>
            <w:rPr>
              <w:rFonts w:asciiTheme="minorHAnsi" w:eastAsiaTheme="minorEastAsia" w:hAnsiTheme="minorHAnsi" w:cstheme="minorBidi"/>
              <w:noProof/>
              <w:szCs w:val="22"/>
              <w:lang w:eastAsia="en-AU"/>
            </w:rPr>
          </w:pPr>
          <w:hyperlink w:anchor="_Toc69977412" w:history="1">
            <w:r w:rsidR="006F5D71" w:rsidRPr="008E1836">
              <w:rPr>
                <w:rStyle w:val="Hyperlink"/>
                <w:noProof/>
              </w:rPr>
              <w:t>2</w:t>
            </w:r>
            <w:r w:rsidR="006F5D71">
              <w:rPr>
                <w:rFonts w:asciiTheme="minorHAnsi" w:eastAsiaTheme="minorEastAsia" w:hAnsiTheme="minorHAnsi" w:cstheme="minorBidi"/>
                <w:noProof/>
                <w:szCs w:val="22"/>
                <w:lang w:eastAsia="en-AU"/>
              </w:rPr>
              <w:tab/>
            </w:r>
            <w:r w:rsidR="006F5D71" w:rsidRPr="008E1836">
              <w:rPr>
                <w:rStyle w:val="Hyperlink"/>
                <w:noProof/>
              </w:rPr>
              <w:t>Final decision in relation to psilocybin and MDMA [N, α-Dimethyl-3,4-(methylenedioxy)phenylethylamine]</w:t>
            </w:r>
            <w:r w:rsidR="006F5D71">
              <w:rPr>
                <w:noProof/>
                <w:webHidden/>
              </w:rPr>
              <w:tab/>
            </w:r>
            <w:r w:rsidR="006F5D71">
              <w:rPr>
                <w:noProof/>
                <w:webHidden/>
              </w:rPr>
              <w:fldChar w:fldCharType="begin"/>
            </w:r>
            <w:r w:rsidR="006F5D71">
              <w:rPr>
                <w:noProof/>
                <w:webHidden/>
              </w:rPr>
              <w:instrText xml:space="preserve"> PAGEREF _Toc69977412 \h </w:instrText>
            </w:r>
            <w:r w:rsidR="006F5D71">
              <w:rPr>
                <w:noProof/>
                <w:webHidden/>
              </w:rPr>
            </w:r>
            <w:r w:rsidR="006F5D71">
              <w:rPr>
                <w:noProof/>
                <w:webHidden/>
              </w:rPr>
              <w:fldChar w:fldCharType="separate"/>
            </w:r>
            <w:r w:rsidR="006F5D71">
              <w:rPr>
                <w:noProof/>
                <w:webHidden/>
              </w:rPr>
              <w:t>4</w:t>
            </w:r>
            <w:r w:rsidR="006F5D71">
              <w:rPr>
                <w:noProof/>
                <w:webHidden/>
              </w:rPr>
              <w:fldChar w:fldCharType="end"/>
            </w:r>
          </w:hyperlink>
        </w:p>
        <w:p w14:paraId="1C121CB8" w14:textId="19F3FADA" w:rsidR="006F5D71" w:rsidRDefault="002C365A">
          <w:pPr>
            <w:pStyle w:val="TOC2"/>
            <w:tabs>
              <w:tab w:val="left" w:pos="851"/>
            </w:tabs>
            <w:rPr>
              <w:rFonts w:asciiTheme="minorHAnsi" w:eastAsiaTheme="minorEastAsia" w:hAnsiTheme="minorHAnsi" w:cstheme="minorBidi"/>
              <w:noProof/>
              <w:szCs w:val="22"/>
              <w:lang w:eastAsia="en-AU"/>
            </w:rPr>
          </w:pPr>
          <w:hyperlink w:anchor="_Toc69977413" w:history="1">
            <w:r w:rsidR="006F5D71" w:rsidRPr="008E1836">
              <w:rPr>
                <w:rStyle w:val="Hyperlink"/>
                <w:noProof/>
              </w:rPr>
              <w:t>3</w:t>
            </w:r>
            <w:r w:rsidR="006F5D71">
              <w:rPr>
                <w:rFonts w:asciiTheme="minorHAnsi" w:eastAsiaTheme="minorEastAsia" w:hAnsiTheme="minorHAnsi" w:cstheme="minorBidi"/>
                <w:noProof/>
                <w:szCs w:val="22"/>
                <w:lang w:eastAsia="en-AU"/>
              </w:rPr>
              <w:tab/>
            </w:r>
            <w:r w:rsidR="006F5D71" w:rsidRPr="008E1836">
              <w:rPr>
                <w:rStyle w:val="Hyperlink"/>
                <w:noProof/>
              </w:rPr>
              <w:t>Final decisions on proposed amendments referred to the Advisory Committee on Medicines Scheduling (ACMS #32, November 2020)</w:t>
            </w:r>
            <w:r w:rsidR="006F5D71">
              <w:rPr>
                <w:noProof/>
                <w:webHidden/>
              </w:rPr>
              <w:tab/>
            </w:r>
            <w:r w:rsidR="006F5D71">
              <w:rPr>
                <w:noProof/>
                <w:webHidden/>
              </w:rPr>
              <w:fldChar w:fldCharType="begin"/>
            </w:r>
            <w:r w:rsidR="006F5D71">
              <w:rPr>
                <w:noProof/>
                <w:webHidden/>
              </w:rPr>
              <w:instrText xml:space="preserve"> PAGEREF _Toc69977413 \h </w:instrText>
            </w:r>
            <w:r w:rsidR="006F5D71">
              <w:rPr>
                <w:noProof/>
                <w:webHidden/>
              </w:rPr>
            </w:r>
            <w:r w:rsidR="006F5D71">
              <w:rPr>
                <w:noProof/>
                <w:webHidden/>
              </w:rPr>
              <w:fldChar w:fldCharType="separate"/>
            </w:r>
            <w:r w:rsidR="006F5D71">
              <w:rPr>
                <w:noProof/>
                <w:webHidden/>
              </w:rPr>
              <w:t>5</w:t>
            </w:r>
            <w:r w:rsidR="006F5D71">
              <w:rPr>
                <w:noProof/>
                <w:webHidden/>
              </w:rPr>
              <w:fldChar w:fldCharType="end"/>
            </w:r>
          </w:hyperlink>
        </w:p>
        <w:p w14:paraId="7DE47204" w14:textId="70CF54CA"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14" w:history="1">
            <w:r w:rsidR="006F5D71" w:rsidRPr="008E1836">
              <w:rPr>
                <w:rStyle w:val="Hyperlink"/>
                <w:noProof/>
              </w:rPr>
              <w:t>3.1</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amygdalin and hydrocyanic acid</w:t>
            </w:r>
            <w:r w:rsidR="006F5D71">
              <w:rPr>
                <w:noProof/>
                <w:webHidden/>
              </w:rPr>
              <w:tab/>
            </w:r>
            <w:r w:rsidR="006F5D71">
              <w:rPr>
                <w:noProof/>
                <w:webHidden/>
              </w:rPr>
              <w:fldChar w:fldCharType="begin"/>
            </w:r>
            <w:r w:rsidR="006F5D71">
              <w:rPr>
                <w:noProof/>
                <w:webHidden/>
              </w:rPr>
              <w:instrText xml:space="preserve"> PAGEREF _Toc69977414 \h </w:instrText>
            </w:r>
            <w:r w:rsidR="006F5D71">
              <w:rPr>
                <w:noProof/>
                <w:webHidden/>
              </w:rPr>
            </w:r>
            <w:r w:rsidR="006F5D71">
              <w:rPr>
                <w:noProof/>
                <w:webHidden/>
              </w:rPr>
              <w:fldChar w:fldCharType="separate"/>
            </w:r>
            <w:r w:rsidR="006F5D71">
              <w:rPr>
                <w:noProof/>
                <w:webHidden/>
              </w:rPr>
              <w:t>5</w:t>
            </w:r>
            <w:r w:rsidR="006F5D71">
              <w:rPr>
                <w:noProof/>
                <w:webHidden/>
              </w:rPr>
              <w:fldChar w:fldCharType="end"/>
            </w:r>
          </w:hyperlink>
        </w:p>
        <w:p w14:paraId="3FF705FB" w14:textId="6E3EBCCC"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15" w:history="1">
            <w:r w:rsidR="006F5D71" w:rsidRPr="008E1836">
              <w:rPr>
                <w:rStyle w:val="Hyperlink"/>
                <w:noProof/>
              </w:rPr>
              <w:t>3.2</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bilastine</w:t>
            </w:r>
            <w:r w:rsidR="006F5D71">
              <w:rPr>
                <w:noProof/>
                <w:webHidden/>
              </w:rPr>
              <w:tab/>
            </w:r>
            <w:r w:rsidR="006F5D71">
              <w:rPr>
                <w:noProof/>
                <w:webHidden/>
              </w:rPr>
              <w:fldChar w:fldCharType="begin"/>
            </w:r>
            <w:r w:rsidR="006F5D71">
              <w:rPr>
                <w:noProof/>
                <w:webHidden/>
              </w:rPr>
              <w:instrText xml:space="preserve"> PAGEREF _Toc69977415 \h </w:instrText>
            </w:r>
            <w:r w:rsidR="006F5D71">
              <w:rPr>
                <w:noProof/>
                <w:webHidden/>
              </w:rPr>
            </w:r>
            <w:r w:rsidR="006F5D71">
              <w:rPr>
                <w:noProof/>
                <w:webHidden/>
              </w:rPr>
              <w:fldChar w:fldCharType="separate"/>
            </w:r>
            <w:r w:rsidR="006F5D71">
              <w:rPr>
                <w:noProof/>
                <w:webHidden/>
              </w:rPr>
              <w:t>6</w:t>
            </w:r>
            <w:r w:rsidR="006F5D71">
              <w:rPr>
                <w:noProof/>
                <w:webHidden/>
              </w:rPr>
              <w:fldChar w:fldCharType="end"/>
            </w:r>
          </w:hyperlink>
        </w:p>
        <w:p w14:paraId="02AD31D9" w14:textId="35568D94"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16" w:history="1">
            <w:r w:rsidR="006F5D71" w:rsidRPr="008E1836">
              <w:rPr>
                <w:rStyle w:val="Hyperlink"/>
                <w:noProof/>
              </w:rPr>
              <w:t>3.3</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budesonide and formoterol</w:t>
            </w:r>
            <w:r w:rsidR="006F5D71">
              <w:rPr>
                <w:noProof/>
                <w:webHidden/>
              </w:rPr>
              <w:tab/>
            </w:r>
            <w:r w:rsidR="006F5D71">
              <w:rPr>
                <w:noProof/>
                <w:webHidden/>
              </w:rPr>
              <w:fldChar w:fldCharType="begin"/>
            </w:r>
            <w:r w:rsidR="006F5D71">
              <w:rPr>
                <w:noProof/>
                <w:webHidden/>
              </w:rPr>
              <w:instrText xml:space="preserve"> PAGEREF _Toc69977416 \h </w:instrText>
            </w:r>
            <w:r w:rsidR="006F5D71">
              <w:rPr>
                <w:noProof/>
                <w:webHidden/>
              </w:rPr>
            </w:r>
            <w:r w:rsidR="006F5D71">
              <w:rPr>
                <w:noProof/>
                <w:webHidden/>
              </w:rPr>
              <w:fldChar w:fldCharType="separate"/>
            </w:r>
            <w:r w:rsidR="006F5D71">
              <w:rPr>
                <w:noProof/>
                <w:webHidden/>
              </w:rPr>
              <w:t>7</w:t>
            </w:r>
            <w:r w:rsidR="006F5D71">
              <w:rPr>
                <w:noProof/>
                <w:webHidden/>
              </w:rPr>
              <w:fldChar w:fldCharType="end"/>
            </w:r>
          </w:hyperlink>
        </w:p>
        <w:p w14:paraId="495E0622" w14:textId="36AF7DB2" w:rsidR="006F5D71" w:rsidRDefault="002C365A">
          <w:pPr>
            <w:pStyle w:val="TOC2"/>
            <w:tabs>
              <w:tab w:val="left" w:pos="851"/>
            </w:tabs>
            <w:rPr>
              <w:rFonts w:asciiTheme="minorHAnsi" w:eastAsiaTheme="minorEastAsia" w:hAnsiTheme="minorHAnsi" w:cstheme="minorBidi"/>
              <w:noProof/>
              <w:szCs w:val="22"/>
              <w:lang w:eastAsia="en-AU"/>
            </w:rPr>
          </w:pPr>
          <w:hyperlink w:anchor="_Toc69977417" w:history="1">
            <w:r w:rsidR="006F5D71" w:rsidRPr="008E1836">
              <w:rPr>
                <w:rStyle w:val="Hyperlink"/>
                <w:noProof/>
              </w:rPr>
              <w:t>4</w:t>
            </w:r>
            <w:r w:rsidR="006F5D71">
              <w:rPr>
                <w:rFonts w:asciiTheme="minorHAnsi" w:eastAsiaTheme="minorEastAsia" w:hAnsiTheme="minorHAnsi" w:cstheme="minorBidi"/>
                <w:noProof/>
                <w:szCs w:val="22"/>
                <w:lang w:eastAsia="en-AU"/>
              </w:rPr>
              <w:tab/>
            </w:r>
            <w:r w:rsidR="006F5D71" w:rsidRPr="008E1836">
              <w:rPr>
                <w:rStyle w:val="Hyperlink"/>
                <w:noProof/>
              </w:rPr>
              <w:t>Final decisions on proposed amendments referred to the Advisory Committee on Chemicals Scheduling (ACCS #29, November 2020)</w:t>
            </w:r>
            <w:r w:rsidR="006F5D71">
              <w:rPr>
                <w:noProof/>
                <w:webHidden/>
              </w:rPr>
              <w:tab/>
            </w:r>
            <w:r w:rsidR="006F5D71">
              <w:rPr>
                <w:noProof/>
                <w:webHidden/>
              </w:rPr>
              <w:fldChar w:fldCharType="begin"/>
            </w:r>
            <w:r w:rsidR="006F5D71">
              <w:rPr>
                <w:noProof/>
                <w:webHidden/>
              </w:rPr>
              <w:instrText xml:space="preserve"> PAGEREF _Toc69977417 \h </w:instrText>
            </w:r>
            <w:r w:rsidR="006F5D71">
              <w:rPr>
                <w:noProof/>
                <w:webHidden/>
              </w:rPr>
            </w:r>
            <w:r w:rsidR="006F5D71">
              <w:rPr>
                <w:noProof/>
                <w:webHidden/>
              </w:rPr>
              <w:fldChar w:fldCharType="separate"/>
            </w:r>
            <w:r w:rsidR="006F5D71">
              <w:rPr>
                <w:noProof/>
                <w:webHidden/>
              </w:rPr>
              <w:t>8</w:t>
            </w:r>
            <w:r w:rsidR="006F5D71">
              <w:rPr>
                <w:noProof/>
                <w:webHidden/>
              </w:rPr>
              <w:fldChar w:fldCharType="end"/>
            </w:r>
          </w:hyperlink>
        </w:p>
        <w:p w14:paraId="371E17F4" w14:textId="113D634C"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18" w:history="1">
            <w:r w:rsidR="006F5D71" w:rsidRPr="008E1836">
              <w:rPr>
                <w:rStyle w:val="Hyperlink"/>
                <w:noProof/>
              </w:rPr>
              <w:t>4.1</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azoxystrobin</w:t>
            </w:r>
            <w:r w:rsidR="006F5D71">
              <w:rPr>
                <w:noProof/>
                <w:webHidden/>
              </w:rPr>
              <w:tab/>
            </w:r>
            <w:r w:rsidR="006F5D71">
              <w:rPr>
                <w:noProof/>
                <w:webHidden/>
              </w:rPr>
              <w:fldChar w:fldCharType="begin"/>
            </w:r>
            <w:r w:rsidR="006F5D71">
              <w:rPr>
                <w:noProof/>
                <w:webHidden/>
              </w:rPr>
              <w:instrText xml:space="preserve"> PAGEREF _Toc69977418 \h </w:instrText>
            </w:r>
            <w:r w:rsidR="006F5D71">
              <w:rPr>
                <w:noProof/>
                <w:webHidden/>
              </w:rPr>
            </w:r>
            <w:r w:rsidR="006F5D71">
              <w:rPr>
                <w:noProof/>
                <w:webHidden/>
              </w:rPr>
              <w:fldChar w:fldCharType="separate"/>
            </w:r>
            <w:r w:rsidR="006F5D71">
              <w:rPr>
                <w:noProof/>
                <w:webHidden/>
              </w:rPr>
              <w:t>8</w:t>
            </w:r>
            <w:r w:rsidR="006F5D71">
              <w:rPr>
                <w:noProof/>
                <w:webHidden/>
              </w:rPr>
              <w:fldChar w:fldCharType="end"/>
            </w:r>
          </w:hyperlink>
        </w:p>
        <w:p w14:paraId="1889AEB4" w14:textId="19464FDF"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19" w:history="1">
            <w:r w:rsidR="006F5D71" w:rsidRPr="008E1836">
              <w:rPr>
                <w:rStyle w:val="Hyperlink"/>
                <w:noProof/>
              </w:rPr>
              <w:t>4.2</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triticonazole</w:t>
            </w:r>
            <w:r w:rsidR="006F5D71">
              <w:rPr>
                <w:noProof/>
                <w:webHidden/>
              </w:rPr>
              <w:tab/>
            </w:r>
            <w:r w:rsidR="006F5D71">
              <w:rPr>
                <w:noProof/>
                <w:webHidden/>
              </w:rPr>
              <w:fldChar w:fldCharType="begin"/>
            </w:r>
            <w:r w:rsidR="006F5D71">
              <w:rPr>
                <w:noProof/>
                <w:webHidden/>
              </w:rPr>
              <w:instrText xml:space="preserve"> PAGEREF _Toc69977419 \h </w:instrText>
            </w:r>
            <w:r w:rsidR="006F5D71">
              <w:rPr>
                <w:noProof/>
                <w:webHidden/>
              </w:rPr>
            </w:r>
            <w:r w:rsidR="006F5D71">
              <w:rPr>
                <w:noProof/>
                <w:webHidden/>
              </w:rPr>
              <w:fldChar w:fldCharType="separate"/>
            </w:r>
            <w:r w:rsidR="006F5D71">
              <w:rPr>
                <w:noProof/>
                <w:webHidden/>
              </w:rPr>
              <w:t>9</w:t>
            </w:r>
            <w:r w:rsidR="006F5D71">
              <w:rPr>
                <w:noProof/>
                <w:webHidden/>
              </w:rPr>
              <w:fldChar w:fldCharType="end"/>
            </w:r>
          </w:hyperlink>
        </w:p>
        <w:p w14:paraId="74FFF8AB" w14:textId="2EA32609" w:rsidR="006F5D71" w:rsidRDefault="002C365A">
          <w:pPr>
            <w:pStyle w:val="TOC2"/>
            <w:tabs>
              <w:tab w:val="left" w:pos="851"/>
            </w:tabs>
            <w:rPr>
              <w:rFonts w:asciiTheme="minorHAnsi" w:eastAsiaTheme="minorEastAsia" w:hAnsiTheme="minorHAnsi" w:cstheme="minorBidi"/>
              <w:noProof/>
              <w:szCs w:val="22"/>
              <w:lang w:eastAsia="en-AU"/>
            </w:rPr>
          </w:pPr>
          <w:hyperlink w:anchor="_Toc69977420" w:history="1">
            <w:r w:rsidR="006F5D71" w:rsidRPr="008E1836">
              <w:rPr>
                <w:rStyle w:val="Hyperlink"/>
                <w:noProof/>
              </w:rPr>
              <w:t>5</w:t>
            </w:r>
            <w:r w:rsidR="006F5D71">
              <w:rPr>
                <w:rFonts w:asciiTheme="minorHAnsi" w:eastAsiaTheme="minorEastAsia" w:hAnsiTheme="minorHAnsi" w:cstheme="minorBidi"/>
                <w:noProof/>
                <w:szCs w:val="22"/>
                <w:lang w:eastAsia="en-AU"/>
              </w:rPr>
              <w:tab/>
            </w:r>
            <w:r w:rsidR="006F5D71" w:rsidRPr="008E1836">
              <w:rPr>
                <w:rStyle w:val="Hyperlink"/>
                <w:noProof/>
              </w:rPr>
              <w:t>Final decisions on proposed amendments referred to the Advisory Committee on Medicines and Chemicals Scheduling in joint session (Joint ACMS-ACCS #26, November 2020)</w:t>
            </w:r>
            <w:r w:rsidR="006F5D71">
              <w:rPr>
                <w:noProof/>
                <w:webHidden/>
              </w:rPr>
              <w:tab/>
            </w:r>
            <w:r w:rsidR="006F5D71">
              <w:rPr>
                <w:noProof/>
                <w:webHidden/>
              </w:rPr>
              <w:fldChar w:fldCharType="begin"/>
            </w:r>
            <w:r w:rsidR="006F5D71">
              <w:rPr>
                <w:noProof/>
                <w:webHidden/>
              </w:rPr>
              <w:instrText xml:space="preserve"> PAGEREF _Toc69977420 \h </w:instrText>
            </w:r>
            <w:r w:rsidR="006F5D71">
              <w:rPr>
                <w:noProof/>
                <w:webHidden/>
              </w:rPr>
            </w:r>
            <w:r w:rsidR="006F5D71">
              <w:rPr>
                <w:noProof/>
                <w:webHidden/>
              </w:rPr>
              <w:fldChar w:fldCharType="separate"/>
            </w:r>
            <w:r w:rsidR="006F5D71">
              <w:rPr>
                <w:noProof/>
                <w:webHidden/>
              </w:rPr>
              <w:t>10</w:t>
            </w:r>
            <w:r w:rsidR="006F5D71">
              <w:rPr>
                <w:noProof/>
                <w:webHidden/>
              </w:rPr>
              <w:fldChar w:fldCharType="end"/>
            </w:r>
          </w:hyperlink>
        </w:p>
        <w:p w14:paraId="1AF3AAB0" w14:textId="13443C5D"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21" w:history="1">
            <w:r w:rsidR="006F5D71" w:rsidRPr="008E1836">
              <w:rPr>
                <w:rStyle w:val="Hyperlink"/>
                <w:noProof/>
              </w:rPr>
              <w:t>5.1</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azelaic acid</w:t>
            </w:r>
            <w:r w:rsidR="006F5D71">
              <w:rPr>
                <w:noProof/>
                <w:webHidden/>
              </w:rPr>
              <w:tab/>
            </w:r>
            <w:r w:rsidR="006F5D71">
              <w:rPr>
                <w:noProof/>
                <w:webHidden/>
              </w:rPr>
              <w:fldChar w:fldCharType="begin"/>
            </w:r>
            <w:r w:rsidR="006F5D71">
              <w:rPr>
                <w:noProof/>
                <w:webHidden/>
              </w:rPr>
              <w:instrText xml:space="preserve"> PAGEREF _Toc69977421 \h </w:instrText>
            </w:r>
            <w:r w:rsidR="006F5D71">
              <w:rPr>
                <w:noProof/>
                <w:webHidden/>
              </w:rPr>
            </w:r>
            <w:r w:rsidR="006F5D71">
              <w:rPr>
                <w:noProof/>
                <w:webHidden/>
              </w:rPr>
              <w:fldChar w:fldCharType="separate"/>
            </w:r>
            <w:r w:rsidR="006F5D71">
              <w:rPr>
                <w:noProof/>
                <w:webHidden/>
              </w:rPr>
              <w:t>10</w:t>
            </w:r>
            <w:r w:rsidR="006F5D71">
              <w:rPr>
                <w:noProof/>
                <w:webHidden/>
              </w:rPr>
              <w:fldChar w:fldCharType="end"/>
            </w:r>
          </w:hyperlink>
        </w:p>
        <w:p w14:paraId="10E7F171" w14:textId="1C70DC28"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22" w:history="1">
            <w:r w:rsidR="006F5D71" w:rsidRPr="008E1836">
              <w:rPr>
                <w:rStyle w:val="Hyperlink"/>
                <w:noProof/>
              </w:rPr>
              <w:t>5.2</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2-hydroxyethyl methacrylate (2-HEMA)</w:t>
            </w:r>
            <w:r w:rsidR="006F5D71">
              <w:rPr>
                <w:noProof/>
                <w:webHidden/>
              </w:rPr>
              <w:tab/>
            </w:r>
            <w:r w:rsidR="006F5D71">
              <w:rPr>
                <w:noProof/>
                <w:webHidden/>
              </w:rPr>
              <w:fldChar w:fldCharType="begin"/>
            </w:r>
            <w:r w:rsidR="006F5D71">
              <w:rPr>
                <w:noProof/>
                <w:webHidden/>
              </w:rPr>
              <w:instrText xml:space="preserve"> PAGEREF _Toc69977422 \h </w:instrText>
            </w:r>
            <w:r w:rsidR="006F5D71">
              <w:rPr>
                <w:noProof/>
                <w:webHidden/>
              </w:rPr>
            </w:r>
            <w:r w:rsidR="006F5D71">
              <w:rPr>
                <w:noProof/>
                <w:webHidden/>
              </w:rPr>
              <w:fldChar w:fldCharType="separate"/>
            </w:r>
            <w:r w:rsidR="006F5D71">
              <w:rPr>
                <w:noProof/>
                <w:webHidden/>
              </w:rPr>
              <w:t>11</w:t>
            </w:r>
            <w:r w:rsidR="006F5D71">
              <w:rPr>
                <w:noProof/>
                <w:webHidden/>
              </w:rPr>
              <w:fldChar w:fldCharType="end"/>
            </w:r>
          </w:hyperlink>
        </w:p>
        <w:p w14:paraId="2D2624D0" w14:textId="29AE6B29"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23" w:history="1">
            <w:r w:rsidR="006F5D71" w:rsidRPr="008E1836">
              <w:rPr>
                <w:rStyle w:val="Hyperlink"/>
                <w:noProof/>
              </w:rPr>
              <w:t>5.3</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magnesium hydroxide</w:t>
            </w:r>
            <w:r w:rsidR="006F5D71">
              <w:rPr>
                <w:noProof/>
                <w:webHidden/>
              </w:rPr>
              <w:tab/>
            </w:r>
            <w:r w:rsidR="006F5D71">
              <w:rPr>
                <w:noProof/>
                <w:webHidden/>
              </w:rPr>
              <w:fldChar w:fldCharType="begin"/>
            </w:r>
            <w:r w:rsidR="006F5D71">
              <w:rPr>
                <w:noProof/>
                <w:webHidden/>
              </w:rPr>
              <w:instrText xml:space="preserve"> PAGEREF _Toc69977423 \h </w:instrText>
            </w:r>
            <w:r w:rsidR="006F5D71">
              <w:rPr>
                <w:noProof/>
                <w:webHidden/>
              </w:rPr>
            </w:r>
            <w:r w:rsidR="006F5D71">
              <w:rPr>
                <w:noProof/>
                <w:webHidden/>
              </w:rPr>
              <w:fldChar w:fldCharType="separate"/>
            </w:r>
            <w:r w:rsidR="006F5D71">
              <w:rPr>
                <w:noProof/>
                <w:webHidden/>
              </w:rPr>
              <w:t>13</w:t>
            </w:r>
            <w:r w:rsidR="006F5D71">
              <w:rPr>
                <w:noProof/>
                <w:webHidden/>
              </w:rPr>
              <w:fldChar w:fldCharType="end"/>
            </w:r>
          </w:hyperlink>
        </w:p>
        <w:p w14:paraId="2B5F1236" w14:textId="27D045B7"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24" w:history="1">
            <w:r w:rsidR="006F5D71" w:rsidRPr="008E1836">
              <w:rPr>
                <w:rStyle w:val="Hyperlink"/>
                <w:noProof/>
              </w:rPr>
              <w:t>5.4</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tetrahydrofurfuryl alcohol</w:t>
            </w:r>
            <w:r w:rsidR="006F5D71">
              <w:rPr>
                <w:noProof/>
                <w:webHidden/>
              </w:rPr>
              <w:tab/>
            </w:r>
            <w:r w:rsidR="006F5D71">
              <w:rPr>
                <w:noProof/>
                <w:webHidden/>
              </w:rPr>
              <w:fldChar w:fldCharType="begin"/>
            </w:r>
            <w:r w:rsidR="006F5D71">
              <w:rPr>
                <w:noProof/>
                <w:webHidden/>
              </w:rPr>
              <w:instrText xml:space="preserve"> PAGEREF _Toc69977424 \h </w:instrText>
            </w:r>
            <w:r w:rsidR="006F5D71">
              <w:rPr>
                <w:noProof/>
                <w:webHidden/>
              </w:rPr>
            </w:r>
            <w:r w:rsidR="006F5D71">
              <w:rPr>
                <w:noProof/>
                <w:webHidden/>
              </w:rPr>
              <w:fldChar w:fldCharType="separate"/>
            </w:r>
            <w:r w:rsidR="006F5D71">
              <w:rPr>
                <w:noProof/>
                <w:webHidden/>
              </w:rPr>
              <w:t>14</w:t>
            </w:r>
            <w:r w:rsidR="006F5D71">
              <w:rPr>
                <w:noProof/>
                <w:webHidden/>
              </w:rPr>
              <w:fldChar w:fldCharType="end"/>
            </w:r>
          </w:hyperlink>
        </w:p>
        <w:p w14:paraId="794A6280" w14:textId="0F6F2177" w:rsidR="006F5D71" w:rsidRDefault="002C365A">
          <w:pPr>
            <w:pStyle w:val="TOC3"/>
            <w:tabs>
              <w:tab w:val="left" w:pos="1701"/>
            </w:tabs>
            <w:rPr>
              <w:rFonts w:asciiTheme="minorHAnsi" w:eastAsiaTheme="minorEastAsia" w:hAnsiTheme="minorHAnsi" w:cstheme="minorBidi"/>
              <w:noProof/>
              <w:sz w:val="22"/>
              <w:szCs w:val="22"/>
              <w:lang w:eastAsia="en-AU"/>
            </w:rPr>
          </w:pPr>
          <w:hyperlink w:anchor="_Toc69977425" w:history="1">
            <w:r w:rsidR="006F5D71" w:rsidRPr="008E1836">
              <w:rPr>
                <w:rStyle w:val="Hyperlink"/>
                <w:noProof/>
              </w:rPr>
              <w:t>5.5</w:t>
            </w:r>
            <w:r w:rsidR="006F5D71">
              <w:rPr>
                <w:rFonts w:asciiTheme="minorHAnsi" w:eastAsiaTheme="minorEastAsia" w:hAnsiTheme="minorHAnsi" w:cstheme="minorBidi"/>
                <w:noProof/>
                <w:sz w:val="22"/>
                <w:szCs w:val="22"/>
                <w:lang w:eastAsia="en-AU"/>
              </w:rPr>
              <w:tab/>
            </w:r>
            <w:r w:rsidR="006F5D71" w:rsidRPr="008E1836">
              <w:rPr>
                <w:rStyle w:val="Hyperlink"/>
                <w:noProof/>
              </w:rPr>
              <w:t>Final decision in relation to cannabidiol (private application)</w:t>
            </w:r>
            <w:r w:rsidR="006F5D71">
              <w:rPr>
                <w:noProof/>
                <w:webHidden/>
              </w:rPr>
              <w:tab/>
            </w:r>
            <w:r w:rsidR="006F5D71">
              <w:rPr>
                <w:noProof/>
                <w:webHidden/>
              </w:rPr>
              <w:fldChar w:fldCharType="begin"/>
            </w:r>
            <w:r w:rsidR="006F5D71">
              <w:rPr>
                <w:noProof/>
                <w:webHidden/>
              </w:rPr>
              <w:instrText xml:space="preserve"> PAGEREF _Toc69977425 \h </w:instrText>
            </w:r>
            <w:r w:rsidR="006F5D71">
              <w:rPr>
                <w:noProof/>
                <w:webHidden/>
              </w:rPr>
            </w:r>
            <w:r w:rsidR="006F5D71">
              <w:rPr>
                <w:noProof/>
                <w:webHidden/>
              </w:rPr>
              <w:fldChar w:fldCharType="separate"/>
            </w:r>
            <w:r w:rsidR="006F5D71">
              <w:rPr>
                <w:noProof/>
                <w:webHidden/>
              </w:rPr>
              <w:t>15</w:t>
            </w:r>
            <w:r w:rsidR="006F5D71">
              <w:rPr>
                <w:noProof/>
                <w:webHidden/>
              </w:rPr>
              <w:fldChar w:fldCharType="end"/>
            </w:r>
          </w:hyperlink>
        </w:p>
        <w:p w14:paraId="7DF331EE" w14:textId="1206F715" w:rsidR="0025660C" w:rsidRDefault="008D3724" w:rsidP="008D3724">
          <w:pPr>
            <w:pStyle w:val="NonTOCheading2"/>
          </w:pPr>
          <w:r>
            <w:rPr>
              <w:sz w:val="32"/>
            </w:rPr>
            <w:fldChar w:fldCharType="end"/>
          </w:r>
        </w:p>
      </w:sdtContent>
    </w:sdt>
    <w:p w14:paraId="7D59D89C" w14:textId="77777777" w:rsidR="00043548" w:rsidRPr="00BC2009" w:rsidRDefault="00043548" w:rsidP="00043548">
      <w:pPr>
        <w:pStyle w:val="Heading2"/>
        <w:pageBreakBefore/>
        <w:ind w:left="431" w:hanging="431"/>
      </w:pPr>
      <w:bookmarkStart w:id="4" w:name="_Toc56757032"/>
      <w:bookmarkStart w:id="5" w:name="_Toc69977411"/>
      <w:bookmarkEnd w:id="3"/>
      <w:bookmarkEnd w:id="2"/>
      <w:bookmarkEnd w:id="1"/>
      <w:r w:rsidRPr="00597B50">
        <w:t>Notice of final decisions to amend (or not amend) the current Poisons Standard</w:t>
      </w:r>
      <w:bookmarkEnd w:id="4"/>
      <w:bookmarkEnd w:id="5"/>
      <w:r w:rsidRPr="00597B50">
        <w:t xml:space="preserve"> </w:t>
      </w:r>
    </w:p>
    <w:p w14:paraId="7E47058B" w14:textId="369E076D" w:rsidR="00043548" w:rsidRDefault="00043548" w:rsidP="00043548">
      <w:r>
        <w:t xml:space="preserve">This web publication constitutes a notice for the purposes of </w:t>
      </w:r>
      <w:r w:rsidRPr="005D321C">
        <w:t xml:space="preserve">regulation 42ZCZS and regulation 42ZCZX of the </w:t>
      </w:r>
      <w:r w:rsidRPr="005D321C">
        <w:rPr>
          <w:i/>
        </w:rPr>
        <w:t xml:space="preserve">Therapeutic Goods Regulations 1990 </w:t>
      </w:r>
      <w:r w:rsidRPr="005D321C">
        <w:t xml:space="preserve">(the </w:t>
      </w:r>
      <w:r w:rsidRPr="005D321C">
        <w:rPr>
          <w:b/>
        </w:rPr>
        <w:t>Regulations</w:t>
      </w:r>
      <w:r w:rsidRPr="005D321C">
        <w:t>). In accordance with regulations</w:t>
      </w:r>
      <w:r>
        <w:t xml:space="preserve"> </w:t>
      </w:r>
      <w:r w:rsidRPr="006F0764">
        <w:t>42ZCZS and 42ZCZX</w:t>
      </w:r>
      <w:r w:rsidRPr="00597B50">
        <w:t>,</w:t>
      </w:r>
      <w:r>
        <w:t xml:space="preserve"> this notice publishes</w:t>
      </w:r>
      <w:r w:rsidR="00757E0E">
        <w:t xml:space="preserve"> the</w:t>
      </w:r>
      <w:r>
        <w:t>:</w:t>
      </w:r>
    </w:p>
    <w:p w14:paraId="05AC8E40" w14:textId="06AA0624" w:rsidR="00043548" w:rsidRPr="005D321C" w:rsidRDefault="00043548" w:rsidP="00043548">
      <w:pPr>
        <w:pStyle w:val="ListBullet"/>
        <w:numPr>
          <w:ilvl w:val="0"/>
          <w:numId w:val="1"/>
        </w:numPr>
      </w:pPr>
      <w:r w:rsidRPr="005D321C">
        <w:t>decisions made by a delegate of the Secretary pursuant to regulations 42ZCZR and 42ZCZU</w:t>
      </w:r>
      <w:r w:rsidR="00757E0E">
        <w:t>;</w:t>
      </w:r>
    </w:p>
    <w:p w14:paraId="47D9DE54" w14:textId="43BA39AB" w:rsidR="00043548" w:rsidRPr="005D321C" w:rsidRDefault="00043548" w:rsidP="00043548">
      <w:pPr>
        <w:pStyle w:val="ListBullet"/>
        <w:numPr>
          <w:ilvl w:val="0"/>
          <w:numId w:val="1"/>
        </w:numPr>
      </w:pPr>
      <w:r w:rsidRPr="005D321C">
        <w:t xml:space="preserve">reasons for those final decisions; and </w:t>
      </w:r>
    </w:p>
    <w:p w14:paraId="0C331562" w14:textId="5A431D80" w:rsidR="00043548" w:rsidRPr="005D321C" w:rsidRDefault="00043548" w:rsidP="00043548">
      <w:pPr>
        <w:pStyle w:val="ListBullet"/>
        <w:numPr>
          <w:ilvl w:val="0"/>
          <w:numId w:val="1"/>
        </w:numPr>
      </w:pPr>
      <w:proofErr w:type="gramStart"/>
      <w:r w:rsidRPr="005D321C">
        <w:t>date</w:t>
      </w:r>
      <w:proofErr w:type="gramEnd"/>
      <w:r w:rsidRPr="005D321C">
        <w:t xml:space="preserve"> of effect of those decisions.</w:t>
      </w:r>
    </w:p>
    <w:p w14:paraId="25B05DFB" w14:textId="0F29F712" w:rsidR="001F0330" w:rsidRPr="001F0330" w:rsidRDefault="001F0330" w:rsidP="001F0330">
      <w:pPr>
        <w:pStyle w:val="Heading2"/>
      </w:pPr>
      <w:bookmarkStart w:id="6" w:name="_Toc69977412"/>
      <w:r w:rsidRPr="001F0330">
        <w:t xml:space="preserve">Final decision in relation to psilocybin and </w:t>
      </w:r>
      <w:proofErr w:type="spellStart"/>
      <w:r w:rsidRPr="001F0330">
        <w:t>MDMA</w:t>
      </w:r>
      <w:proofErr w:type="spellEnd"/>
      <w:r w:rsidRPr="001F0330">
        <w:t> [N, α-Dimethyl-3</w:t>
      </w:r>
      <w:proofErr w:type="gramStart"/>
      <w:r w:rsidRPr="001F0330">
        <w:t>,4</w:t>
      </w:r>
      <w:proofErr w:type="gramEnd"/>
      <w:r w:rsidRPr="001F0330">
        <w:t>-(</w:t>
      </w:r>
      <w:proofErr w:type="spellStart"/>
      <w:r w:rsidRPr="001F0330">
        <w:t>methylenedioxy</w:t>
      </w:r>
      <w:proofErr w:type="spellEnd"/>
      <w:r w:rsidRPr="001F0330">
        <w:t>)</w:t>
      </w:r>
      <w:proofErr w:type="spellStart"/>
      <w:r w:rsidRPr="001F0330">
        <w:t>phenylethylamine</w:t>
      </w:r>
      <w:proofErr w:type="spellEnd"/>
      <w:r w:rsidRPr="001F0330">
        <w:t>]</w:t>
      </w:r>
      <w:bookmarkEnd w:id="6"/>
    </w:p>
    <w:p w14:paraId="269605F8" w14:textId="2CED8210" w:rsidR="001F0330" w:rsidRDefault="001F0330" w:rsidP="00416B66">
      <w:r w:rsidRPr="001F0330">
        <w:t xml:space="preserve">Note that the final decision for </w:t>
      </w:r>
      <w:hyperlink r:id="rId12" w:history="1">
        <w:r w:rsidRPr="001F0330">
          <w:t xml:space="preserve">psilocybin and </w:t>
        </w:r>
        <w:proofErr w:type="spellStart"/>
        <w:r w:rsidRPr="001F0330">
          <w:t>MDMA</w:t>
        </w:r>
        <w:proofErr w:type="spellEnd"/>
      </w:hyperlink>
      <w:r w:rsidRPr="001F0330">
        <w:t> [N, α-Dimethyl-3</w:t>
      </w:r>
      <w:proofErr w:type="gramStart"/>
      <w:r w:rsidRPr="001F0330">
        <w:t>,4</w:t>
      </w:r>
      <w:proofErr w:type="gramEnd"/>
      <w:r w:rsidRPr="001F0330">
        <w:t>-(</w:t>
      </w:r>
      <w:proofErr w:type="spellStart"/>
      <w:r w:rsidRPr="001F0330">
        <w:t>methylenedioxy</w:t>
      </w:r>
      <w:proofErr w:type="spellEnd"/>
      <w:r w:rsidRPr="001F0330">
        <w:t>)</w:t>
      </w:r>
      <w:proofErr w:type="spellStart"/>
      <w:r w:rsidRPr="001F0330">
        <w:t>phenylethylamine</w:t>
      </w:r>
      <w:proofErr w:type="spellEnd"/>
      <w:r w:rsidRPr="001F0330">
        <w:t xml:space="preserve">] are </w:t>
      </w:r>
      <w:hyperlink r:id="rId13" w:history="1">
        <w:r w:rsidRPr="001F0330">
          <w:rPr>
            <w:rStyle w:val="Hyperlink"/>
          </w:rPr>
          <w:t>not published in this notice.</w:t>
        </w:r>
      </w:hyperlink>
    </w:p>
    <w:p w14:paraId="18FD8D2C" w14:textId="3104F775" w:rsidR="00ED5D05" w:rsidRPr="001F0330" w:rsidRDefault="001F0330" w:rsidP="00416B66">
      <w:r w:rsidRPr="001F0330">
        <w:t xml:space="preserve">Amended timing on the scheduling process for these substances </w:t>
      </w:r>
      <w:proofErr w:type="gramStart"/>
      <w:r w:rsidRPr="001F0330">
        <w:t>will be published</w:t>
      </w:r>
      <w:proofErr w:type="gramEnd"/>
      <w:r w:rsidRPr="001F0330">
        <w:t xml:space="preserve"> on the TGA website following the completion of the independent review.</w:t>
      </w:r>
    </w:p>
    <w:p w14:paraId="5689F1E9" w14:textId="12075FA7" w:rsidR="00590608" w:rsidRDefault="00590608" w:rsidP="00590608">
      <w:pPr>
        <w:pStyle w:val="Heading2"/>
        <w:pageBreakBefore/>
        <w:ind w:left="431" w:hanging="431"/>
      </w:pPr>
      <w:bookmarkStart w:id="7" w:name="_Toc46325255"/>
      <w:bookmarkStart w:id="8" w:name="_Toc46325611"/>
      <w:bookmarkStart w:id="9" w:name="_Toc46327427"/>
      <w:bookmarkStart w:id="10" w:name="_Toc46412213"/>
      <w:bookmarkStart w:id="11" w:name="_Final_decision_in"/>
      <w:bookmarkStart w:id="12" w:name="_Toc46325256"/>
      <w:bookmarkStart w:id="13" w:name="_Toc46325612"/>
      <w:bookmarkStart w:id="14" w:name="_Toc46327428"/>
      <w:bookmarkStart w:id="15" w:name="_Toc46412214"/>
      <w:bookmarkStart w:id="16" w:name="_Toc46325257"/>
      <w:bookmarkStart w:id="17" w:name="_Toc46325613"/>
      <w:bookmarkStart w:id="18" w:name="_Toc46327429"/>
      <w:bookmarkStart w:id="19" w:name="_Toc46412215"/>
      <w:bookmarkStart w:id="20" w:name="_Toc46325258"/>
      <w:bookmarkStart w:id="21" w:name="_Toc46325614"/>
      <w:bookmarkStart w:id="22" w:name="_Toc46327430"/>
      <w:bookmarkStart w:id="23" w:name="_Toc46412216"/>
      <w:bookmarkStart w:id="24" w:name="_Toc46325259"/>
      <w:bookmarkStart w:id="25" w:name="_Toc46325615"/>
      <w:bookmarkStart w:id="26" w:name="_Toc46327431"/>
      <w:bookmarkStart w:id="27" w:name="_Toc46412217"/>
      <w:bookmarkStart w:id="28" w:name="_Final_decision_in_1"/>
      <w:bookmarkStart w:id="29" w:name="_Toc69977413"/>
      <w:bookmarkStart w:id="30" w:name="_Toc567570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 xml:space="preserve">Final decisions on proposed amendments </w:t>
      </w:r>
      <w:r w:rsidR="00697C50">
        <w:t xml:space="preserve">referred </w:t>
      </w:r>
      <w:r>
        <w:t>to the</w:t>
      </w:r>
      <w:r w:rsidR="00697C50">
        <w:t xml:space="preserve"> </w:t>
      </w:r>
      <w:r w:rsidR="00697C50" w:rsidRPr="00FA029A">
        <w:t>Advisory Committee o</w:t>
      </w:r>
      <w:r w:rsidR="00697C50">
        <w:t>n Medicines Scheduling (ACMS #32</w:t>
      </w:r>
      <w:r w:rsidR="00697C50" w:rsidRPr="00916415">
        <w:t xml:space="preserve">, </w:t>
      </w:r>
      <w:r w:rsidR="00697C50">
        <w:t>November</w:t>
      </w:r>
      <w:r w:rsidR="00697C50" w:rsidRPr="00916415">
        <w:t xml:space="preserve"> 2020</w:t>
      </w:r>
      <w:r w:rsidR="00697C50">
        <w:t>)</w:t>
      </w:r>
      <w:bookmarkEnd w:id="29"/>
      <w:r>
        <w:t xml:space="preserve"> </w:t>
      </w:r>
      <w:bookmarkEnd w:id="30"/>
    </w:p>
    <w:p w14:paraId="1B650FBC" w14:textId="041A2984" w:rsidR="00590608" w:rsidRPr="00916415" w:rsidRDefault="00590608" w:rsidP="00590608">
      <w:pPr>
        <w:pStyle w:val="Heading3"/>
      </w:pPr>
      <w:bookmarkStart w:id="31" w:name="_Toc56757035"/>
      <w:bookmarkStart w:id="32" w:name="_Toc69977414"/>
      <w:r>
        <w:t>F</w:t>
      </w:r>
      <w:bookmarkEnd w:id="31"/>
      <w:r w:rsidR="00697C50">
        <w:t>inal decision in relation to amygdalin and hydrocyanic acid</w:t>
      </w:r>
      <w:bookmarkEnd w:id="32"/>
    </w:p>
    <w:p w14:paraId="130A2A3A" w14:textId="728A83D6" w:rsidR="000D5645" w:rsidRDefault="000D5645" w:rsidP="002534B2">
      <w:pPr>
        <w:pStyle w:val="Heading4"/>
      </w:pPr>
      <w:r>
        <w:t>Proposal</w:t>
      </w:r>
      <w:r w:rsidR="00F44552">
        <w:t xml:space="preserve"> </w:t>
      </w:r>
    </w:p>
    <w:p w14:paraId="6984CFE5" w14:textId="1AEF6C87" w:rsidR="001C5B9C" w:rsidRPr="005E4BB5" w:rsidRDefault="00F44552" w:rsidP="005A0661">
      <w:pPr>
        <w:pStyle w:val="Normal-hanging"/>
        <w:ind w:left="0" w:firstLine="0"/>
      </w:pPr>
      <w:r w:rsidRPr="005A0661">
        <w:rPr>
          <w:rFonts w:ascii="Cambria" w:hAnsi="Cambria"/>
        </w:rPr>
        <w:t>The applicant proposed an amendment to m</w:t>
      </w:r>
      <w:r w:rsidR="00CA6A77" w:rsidRPr="005A0661">
        <w:rPr>
          <w:rFonts w:ascii="Cambria" w:hAnsi="Cambria"/>
        </w:rPr>
        <w:t>ove amygdalin as a natural component in Traditional Chinese Medicines (TCM) for oral use in adults from Schedule 10 to Schedule 4</w:t>
      </w:r>
      <w:r w:rsidR="001C5B9C">
        <w:rPr>
          <w:rFonts w:ascii="Cambria" w:hAnsi="Cambria"/>
        </w:rPr>
        <w:t>;</w:t>
      </w:r>
      <w:r w:rsidR="00CA6A77" w:rsidRPr="005A0661">
        <w:rPr>
          <w:rFonts w:ascii="Cambria" w:hAnsi="Cambria"/>
        </w:rPr>
        <w:t xml:space="preserve"> </w:t>
      </w:r>
      <w:r w:rsidR="004967FE" w:rsidRPr="005A0661">
        <w:rPr>
          <w:rFonts w:ascii="Cambria" w:hAnsi="Cambria"/>
        </w:rPr>
        <w:t>exempt amygdalin from scheduling</w:t>
      </w:r>
      <w:r w:rsidR="00CA6A77" w:rsidRPr="005A0661">
        <w:rPr>
          <w:rFonts w:ascii="Cambria" w:hAnsi="Cambria"/>
        </w:rPr>
        <w:t xml:space="preserve"> when the maximum recommended daily dose is ≤5 mg amygdalin; and </w:t>
      </w:r>
      <w:r w:rsidR="004967FE" w:rsidRPr="005A0661">
        <w:rPr>
          <w:rFonts w:ascii="Cambria" w:hAnsi="Cambria"/>
        </w:rPr>
        <w:t>exempt</w:t>
      </w:r>
      <w:r w:rsidR="00CA6A77" w:rsidRPr="005A0661">
        <w:rPr>
          <w:rFonts w:ascii="Cambria" w:hAnsi="Cambria"/>
        </w:rPr>
        <w:t xml:space="preserve"> </w:t>
      </w:r>
      <w:r w:rsidR="004967FE" w:rsidRPr="005A0661">
        <w:rPr>
          <w:rFonts w:ascii="Cambria" w:hAnsi="Cambria"/>
        </w:rPr>
        <w:t xml:space="preserve">from scheduling </w:t>
      </w:r>
      <w:r w:rsidR="00CA6A77" w:rsidRPr="005A0661">
        <w:rPr>
          <w:rFonts w:ascii="Cambria" w:hAnsi="Cambria"/>
        </w:rPr>
        <w:t>hydrocyanic acid  for therapeutic use when present as a natural component of amygdalin in TCM for oral use in adults</w:t>
      </w:r>
    </w:p>
    <w:p w14:paraId="0A505F77" w14:textId="1C841AF0" w:rsidR="00432FC5" w:rsidRPr="008036B7" w:rsidRDefault="001B0E74" w:rsidP="002534B2">
      <w:pPr>
        <w:pStyle w:val="Heading4"/>
      </w:pPr>
      <w:r>
        <w:t>Final</w:t>
      </w:r>
      <w:r w:rsidR="002534B2">
        <w:t xml:space="preserve"> decision</w:t>
      </w:r>
    </w:p>
    <w:p w14:paraId="486B0629" w14:textId="4401C43E" w:rsidR="00432FC5" w:rsidRDefault="00432FC5" w:rsidP="002534B2">
      <w:r w:rsidRPr="00C55FF4">
        <w:t xml:space="preserve">Pursuant to regulation </w:t>
      </w:r>
      <w:r w:rsidR="00D05B44" w:rsidRPr="00C21694">
        <w:t>42ZCZR of the Regulations, a Delegate of the Secretary has made a final decision to confirm the interim decision and not amend the current Poisons Sta</w:t>
      </w:r>
      <w:r w:rsidR="00D05B44">
        <w:t xml:space="preserve">ndard in relation </w:t>
      </w:r>
      <w:r>
        <w:t>to amygdalin and hydrocyanic acid</w:t>
      </w:r>
      <w:r w:rsidRPr="00E604FC">
        <w:t>.</w:t>
      </w:r>
    </w:p>
    <w:p w14:paraId="4CD839FF" w14:textId="79049BF0" w:rsidR="00432FC5" w:rsidRDefault="00432FC5" w:rsidP="002534B2">
      <w:pPr>
        <w:pStyle w:val="Heading4"/>
      </w:pPr>
      <w:r>
        <w:t>Materials considered</w:t>
      </w:r>
    </w:p>
    <w:p w14:paraId="1E35C315" w14:textId="089F02BD" w:rsidR="00432FC5" w:rsidRDefault="00A4484C" w:rsidP="00432FC5">
      <w:r>
        <w:t>In making this final</w:t>
      </w:r>
      <w:r w:rsidR="00432FC5">
        <w:t xml:space="preserve"> decision, the Delegate considered the following material:</w:t>
      </w:r>
    </w:p>
    <w:p w14:paraId="0F89AF22" w14:textId="03035D75" w:rsidR="00432FC5" w:rsidRDefault="00432FC5" w:rsidP="002534B2">
      <w:pPr>
        <w:pStyle w:val="ListBullet"/>
      </w:pPr>
      <w:r w:rsidRPr="000E0D69">
        <w:t xml:space="preserve">The </w:t>
      </w:r>
      <w:r w:rsidR="00CA6A77" w:rsidRPr="005A0661">
        <w:t>application</w:t>
      </w:r>
      <w:r w:rsidRPr="000E0D69">
        <w:t xml:space="preserve"> to amend the</w:t>
      </w:r>
      <w:r>
        <w:t xml:space="preserve"> current Poisons Standard with respect to amygdalin and hydrocyanic acid;</w:t>
      </w:r>
    </w:p>
    <w:p w14:paraId="30106F2A" w14:textId="5F9497E1" w:rsidR="00432FC5" w:rsidRDefault="00432FC5" w:rsidP="00432FC5">
      <w:pPr>
        <w:pStyle w:val="ListBullet"/>
      </w:pPr>
      <w:r>
        <w:t xml:space="preserve">The </w:t>
      </w:r>
      <w:r w:rsidR="00995103">
        <w:t>1</w:t>
      </w:r>
      <w:r>
        <w:t>2</w:t>
      </w:r>
      <w:r w:rsidR="00995103">
        <w:t>9</w:t>
      </w:r>
      <w:r w:rsidRPr="000E0D69">
        <w:t xml:space="preserve"> </w:t>
      </w:r>
      <w:hyperlink r:id="rId14" w:history="1">
        <w:r w:rsidRPr="00905BFB">
          <w:rPr>
            <w:rStyle w:val="Hyperlink"/>
          </w:rPr>
          <w:t>public submissions</w:t>
        </w:r>
      </w:hyperlink>
      <w:r w:rsidR="002B6147">
        <w:rPr>
          <w:rStyle w:val="Hyperlink"/>
        </w:rPr>
        <w:t>,</w:t>
      </w:r>
      <w:r w:rsidR="002B6147" w:rsidRPr="00C85183">
        <w:t xml:space="preserve"> including two written submissions,</w:t>
      </w:r>
      <w:r w:rsidRPr="00C85183">
        <w:t xml:space="preserve"> </w:t>
      </w:r>
      <w:r>
        <w:t xml:space="preserve">received in response to the </w:t>
      </w:r>
      <w:hyperlink r:id="rId15" w:history="1">
        <w:r w:rsidRPr="00A825A4">
          <w:rPr>
            <w:rStyle w:val="Hyperlink"/>
          </w:rPr>
          <w:t>pre-meeting consultation</w:t>
        </w:r>
      </w:hyperlink>
      <w:r w:rsidRPr="00A825A4">
        <w:t xml:space="preserve"> und</w:t>
      </w:r>
      <w:r>
        <w:t>er regulation 42ZCZK of the Regulations</w:t>
      </w:r>
      <w:r w:rsidR="00075612">
        <w:t>;</w:t>
      </w:r>
    </w:p>
    <w:p w14:paraId="01856080" w14:textId="519ECF2F" w:rsidR="00432FC5" w:rsidRDefault="00432FC5" w:rsidP="00432FC5">
      <w:pPr>
        <w:pStyle w:val="ListBullet"/>
      </w:pPr>
      <w:r>
        <w:t xml:space="preserve">The advice </w:t>
      </w:r>
      <w:r w:rsidRPr="00A825A4">
        <w:t>received from the Meeting of the Advisory Committee on Medicines Scheduling (ACMS #32);</w:t>
      </w:r>
    </w:p>
    <w:p w14:paraId="547F0DCC" w14:textId="530A6B2E" w:rsidR="00D05B44" w:rsidRDefault="00D05B44" w:rsidP="00432FC5">
      <w:pPr>
        <w:pStyle w:val="ListBullet"/>
      </w:pPr>
      <w:r>
        <w:t xml:space="preserve">The </w:t>
      </w:r>
      <w:r w:rsidR="009745A7">
        <w:t>154</w:t>
      </w:r>
      <w:r w:rsidR="000E2B9F">
        <w:t xml:space="preserve"> </w:t>
      </w:r>
      <w:hyperlink r:id="rId16" w:history="1">
        <w:r w:rsidRPr="00937E6E">
          <w:rPr>
            <w:rStyle w:val="Hyperlink"/>
          </w:rPr>
          <w:t>public submissions</w:t>
        </w:r>
      </w:hyperlink>
      <w:r w:rsidR="00954827">
        <w:t xml:space="preserve">, </w:t>
      </w:r>
      <w:r w:rsidR="00954827" w:rsidRPr="00C85183">
        <w:t xml:space="preserve">including </w:t>
      </w:r>
      <w:r w:rsidR="000E2B9F">
        <w:t xml:space="preserve">15 </w:t>
      </w:r>
      <w:r w:rsidR="00954827" w:rsidRPr="00C85183">
        <w:t>written submissions,</w:t>
      </w:r>
      <w:r w:rsidR="00A547D7">
        <w:t xml:space="preserve"> received in response to the </w:t>
      </w:r>
      <w:r w:rsidR="001509EE" w:rsidRPr="005A0661">
        <w:t>interim decision consultation</w:t>
      </w:r>
      <w:r w:rsidR="00A547D7" w:rsidRPr="00A547D7">
        <w:rPr>
          <w:rFonts w:asciiTheme="minorHAnsi" w:hAnsiTheme="minorHAnsi"/>
          <w:szCs w:val="22"/>
        </w:rPr>
        <w:t xml:space="preserve"> </w:t>
      </w:r>
      <w:r w:rsidR="00A547D7" w:rsidRPr="00F96EC2">
        <w:rPr>
          <w:rFonts w:asciiTheme="minorHAnsi" w:hAnsiTheme="minorHAnsi"/>
          <w:szCs w:val="22"/>
        </w:rPr>
        <w:t>under regulation 42ZCZP of the Regulations</w:t>
      </w:r>
      <w:r w:rsidR="00AE3FE3">
        <w:rPr>
          <w:rFonts w:asciiTheme="minorHAnsi" w:hAnsiTheme="minorHAnsi"/>
          <w:szCs w:val="22"/>
        </w:rPr>
        <w:t>;</w:t>
      </w:r>
    </w:p>
    <w:p w14:paraId="74D3B17D" w14:textId="23FE65F2" w:rsidR="00432FC5" w:rsidRDefault="00432FC5" w:rsidP="00432FC5">
      <w:pPr>
        <w:pStyle w:val="ListBullet"/>
      </w:pPr>
      <w:r w:rsidRPr="001169AC">
        <w:t xml:space="preserve">Subsection 52E(1) of </w:t>
      </w:r>
      <w:r w:rsidRPr="001169AC">
        <w:rPr>
          <w:i/>
        </w:rPr>
        <w:t>the Therapeutic Goods Act 1989</w:t>
      </w:r>
      <w:r w:rsidRPr="001169AC">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1169AC">
        <w:t>(e) the potential for abuse of a substance;</w:t>
      </w:r>
    </w:p>
    <w:p w14:paraId="784D01F1" w14:textId="769987EF" w:rsidR="00432FC5" w:rsidRDefault="00432FC5" w:rsidP="00432FC5">
      <w:pPr>
        <w:pStyle w:val="ListBullet"/>
      </w:pPr>
      <w:r w:rsidRPr="002C1418">
        <w:t xml:space="preserve">The Australian Health Ministers’ Advisory Council’s </w:t>
      </w:r>
      <w:hyperlink r:id="rId17" w:history="1">
        <w:r w:rsidRPr="001A7580">
          <w:rPr>
            <w:rStyle w:val="Hyperlink"/>
          </w:rPr>
          <w:t>Scheduling Policy Framework</w:t>
        </w:r>
      </w:hyperlink>
      <w:r>
        <w:t xml:space="preserve"> (SPF 2018</w:t>
      </w:r>
      <w:r w:rsidRPr="002C20AE">
        <w:t>);</w:t>
      </w:r>
    </w:p>
    <w:p w14:paraId="4586FEA5" w14:textId="0F3CC2C9" w:rsidR="00B40A9E" w:rsidRDefault="00432FC5" w:rsidP="00432FC5">
      <w:pPr>
        <w:pStyle w:val="ListBullet"/>
      </w:pPr>
      <w:r>
        <w:t xml:space="preserve">The </w:t>
      </w:r>
      <w:hyperlink r:id="rId18" w:history="1">
        <w:r w:rsidRPr="001A7580">
          <w:rPr>
            <w:rStyle w:val="Hyperlink"/>
          </w:rPr>
          <w:t>Scheduling handbook: Guidance for amending the Poisons Standard</w:t>
        </w:r>
      </w:hyperlink>
      <w:r w:rsidR="00B40A9E">
        <w:t>; and</w:t>
      </w:r>
    </w:p>
    <w:p w14:paraId="3D5077C2" w14:textId="69687BDD" w:rsidR="00432FC5" w:rsidRDefault="00B40A9E" w:rsidP="00B40A9E">
      <w:pPr>
        <w:pStyle w:val="ListBullet"/>
      </w:pPr>
      <w:r>
        <w:t xml:space="preserve">An external </w:t>
      </w:r>
      <w:hyperlink r:id="rId19" w:history="1">
        <w:r w:rsidRPr="00305DDB">
          <w:rPr>
            <w:rStyle w:val="Hyperlink"/>
          </w:rPr>
          <w:t>expert evaluation</w:t>
        </w:r>
      </w:hyperlink>
      <w:r>
        <w:t xml:space="preserve"> of the private application.</w:t>
      </w:r>
    </w:p>
    <w:p w14:paraId="3F81F7CC" w14:textId="77777777" w:rsidR="00261B77" w:rsidRDefault="00261B77" w:rsidP="00261B77">
      <w:pPr>
        <w:pStyle w:val="Heading5"/>
      </w:pPr>
      <w:r w:rsidRPr="00436C41">
        <w:t>Reasons for the final decision (including findings on material questions of fact)</w:t>
      </w:r>
    </w:p>
    <w:p w14:paraId="060A8A33" w14:textId="688F57C8" w:rsidR="00550632" w:rsidRDefault="008D7CD0" w:rsidP="008D7CD0">
      <w:r w:rsidRPr="0014113C">
        <w:t xml:space="preserve">I have made a final decision to confirm my </w:t>
      </w:r>
      <w:hyperlink r:id="rId20"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h respect to amygdalin and hydrocyanic acid</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 xml:space="preserve">e interim decision and the </w:t>
      </w:r>
      <w:r w:rsidR="00954827">
        <w:t>responses</w:t>
      </w:r>
      <w:r w:rsidRPr="0014113C">
        <w:t xml:space="preserve"> received</w:t>
      </w:r>
      <w:r w:rsidR="00954827">
        <w:t xml:space="preserve"> after</w:t>
      </w:r>
      <w:r w:rsidRPr="0014113C">
        <w:t xml:space="preserve"> the </w:t>
      </w:r>
      <w:r w:rsidR="00954827">
        <w:t xml:space="preserve">second </w:t>
      </w:r>
      <w:r w:rsidRPr="0014113C">
        <w:t>call</w:t>
      </w:r>
      <w:r w:rsidR="00954827">
        <w:t xml:space="preserve"> for public submissions,</w:t>
      </w:r>
      <w:r w:rsidRPr="0014113C">
        <w:t xml:space="preserve"> </w:t>
      </w:r>
      <w:r>
        <w:t>published on 3 February 2021</w:t>
      </w:r>
      <w:r w:rsidRPr="0014113C">
        <w:t xml:space="preserve"> under regulation 42ZCZP of the Regulations.</w:t>
      </w:r>
    </w:p>
    <w:p w14:paraId="25B973E8" w14:textId="5C35F72F" w:rsidR="009B0B5E" w:rsidRPr="008B78DC" w:rsidRDefault="0074700D" w:rsidP="009B0B5E">
      <w:r w:rsidRPr="008B78DC">
        <w:t>I note that that 14 of 15 written public submissions were opposed to the interim decision</w:t>
      </w:r>
      <w:r w:rsidR="00BE3C98">
        <w:t>, and that</w:t>
      </w:r>
      <w:r w:rsidR="00AE6736">
        <w:t xml:space="preserve"> a majority of these submissions came from registered </w:t>
      </w:r>
      <w:r w:rsidR="00E12E2F" w:rsidRPr="008B78DC">
        <w:t>Chinese Medicine</w:t>
      </w:r>
      <w:r w:rsidR="00E12E2F">
        <w:t xml:space="preserve"> (CM)</w:t>
      </w:r>
      <w:r w:rsidR="00E12E2F" w:rsidRPr="008B78DC">
        <w:t xml:space="preserve"> </w:t>
      </w:r>
      <w:r w:rsidR="00E12E2F">
        <w:t>practitioners</w:t>
      </w:r>
      <w:r w:rsidR="00AE6736">
        <w:t>.</w:t>
      </w:r>
      <w:r w:rsidRPr="008B78DC">
        <w:t xml:space="preserve"> </w:t>
      </w:r>
      <w:r w:rsidR="006F381D">
        <w:t>Several</w:t>
      </w:r>
      <w:r w:rsidR="008B78DC">
        <w:t xml:space="preserve"> r</w:t>
      </w:r>
      <w:r w:rsidR="00667971" w:rsidRPr="008B78DC">
        <w:t>espondents advise</w:t>
      </w:r>
      <w:r w:rsidR="008B78DC" w:rsidRPr="008B78DC">
        <w:t>d</w:t>
      </w:r>
      <w:r w:rsidR="00667971" w:rsidRPr="008B78DC">
        <w:t xml:space="preserve"> that </w:t>
      </w:r>
      <w:r w:rsidR="00550632" w:rsidRPr="008B78DC">
        <w:t>the</w:t>
      </w:r>
      <w:r w:rsidR="008B78DC" w:rsidRPr="008B78DC">
        <w:t xml:space="preserve"> amount of toxic amygdalin and cyanogenic glycosides is reduced to a safe level after processing by</w:t>
      </w:r>
      <w:r w:rsidR="00C539B1" w:rsidRPr="008B78DC">
        <w:t xml:space="preserve"> </w:t>
      </w:r>
      <w:r w:rsidR="00E12E2F">
        <w:t>qualified</w:t>
      </w:r>
      <w:r w:rsidR="00C539B1" w:rsidRPr="008B78DC">
        <w:t xml:space="preserve"> practitioners</w:t>
      </w:r>
      <w:r w:rsidR="008B78DC" w:rsidRPr="008B78DC">
        <w:t xml:space="preserve">. </w:t>
      </w:r>
      <w:r w:rsidR="008B78DC">
        <w:t xml:space="preserve">However, </w:t>
      </w:r>
      <w:r w:rsidR="00F50627">
        <w:t xml:space="preserve">as </w:t>
      </w:r>
      <w:r w:rsidR="00A672F1">
        <w:t xml:space="preserve">with any substance, </w:t>
      </w:r>
      <w:r w:rsidR="00677241" w:rsidRPr="008B78DC">
        <w:t xml:space="preserve">the </w:t>
      </w:r>
      <w:r w:rsidR="00F50627">
        <w:t xml:space="preserve">proposed </w:t>
      </w:r>
      <w:r w:rsidR="00A672F1">
        <w:t>Poison Standard entry</w:t>
      </w:r>
      <w:r w:rsidR="00F50627">
        <w:t xml:space="preserve"> relate</w:t>
      </w:r>
      <w:r w:rsidR="00A672F1">
        <w:t>s</w:t>
      </w:r>
      <w:r w:rsidR="00F50627">
        <w:t xml:space="preserve"> to the amount of amygdalin in the final </w:t>
      </w:r>
      <w:r w:rsidR="00A672F1">
        <w:t>product and so</w:t>
      </w:r>
      <w:r w:rsidR="00F50627">
        <w:t xml:space="preserve"> my concerns regarding safety remain</w:t>
      </w:r>
      <w:r w:rsidR="00D37201">
        <w:t xml:space="preserve"> pertinent</w:t>
      </w:r>
      <w:r w:rsidR="008B78DC" w:rsidRPr="008B78DC">
        <w:t>.</w:t>
      </w:r>
      <w:r w:rsidR="00587729" w:rsidRPr="008B78DC">
        <w:t xml:space="preserve"> </w:t>
      </w:r>
      <w:r w:rsidR="009B0B5E" w:rsidRPr="008B78DC">
        <w:t xml:space="preserve">I also reiterate that </w:t>
      </w:r>
      <w:r w:rsidR="00E12E2F">
        <w:t xml:space="preserve">a </w:t>
      </w:r>
      <w:r w:rsidR="007649CE">
        <w:t>CM</w:t>
      </w:r>
      <w:r w:rsidR="009B0B5E" w:rsidRPr="008B78DC">
        <w:t xml:space="preserve"> practitioner, unless also registered as a medical practitioner, do</w:t>
      </w:r>
      <w:r w:rsidR="00E12E2F">
        <w:t>es</w:t>
      </w:r>
      <w:r w:rsidR="009B0B5E" w:rsidRPr="008B78DC">
        <w:t xml:space="preserve"> not have the authority to </w:t>
      </w:r>
      <w:r w:rsidR="006F5D71">
        <w:t>prescribe Schedule 4 medicines.</w:t>
      </w:r>
    </w:p>
    <w:p w14:paraId="0C4D5D46" w14:textId="6A4F1947" w:rsidR="00261B77" w:rsidRPr="008B78DC" w:rsidRDefault="006F381D" w:rsidP="00432FC5">
      <w:r>
        <w:t xml:space="preserve">The interim submissions additionally outline that </w:t>
      </w:r>
      <w:r w:rsidR="00831B7A">
        <w:t xml:space="preserve">the diversion </w:t>
      </w:r>
      <w:r w:rsidR="00C7149F" w:rsidRPr="008B78DC">
        <w:t>of</w:t>
      </w:r>
      <w:r w:rsidR="009B0B5E" w:rsidRPr="008B78DC">
        <w:t xml:space="preserve"> amygdalin </w:t>
      </w:r>
      <w:r w:rsidR="00831B7A">
        <w:t>as a cancer treatment is not within the uses prescribed through</w:t>
      </w:r>
      <w:r w:rsidR="009B0B5E" w:rsidRPr="008B78DC">
        <w:t xml:space="preserve"> </w:t>
      </w:r>
      <w:r w:rsidR="007649CE">
        <w:t>CM</w:t>
      </w:r>
      <w:r w:rsidR="00831B7A">
        <w:t xml:space="preserve"> practitioners</w:t>
      </w:r>
      <w:r w:rsidR="00406071">
        <w:t xml:space="preserve"> and that a</w:t>
      </w:r>
      <w:r w:rsidR="00831B7A">
        <w:t xml:space="preserve">ccess to amygdalin-containing food products is </w:t>
      </w:r>
      <w:r w:rsidR="00406071">
        <w:t xml:space="preserve">not within the </w:t>
      </w:r>
      <w:r w:rsidR="00831B7A">
        <w:t>scope of scheduling</w:t>
      </w:r>
      <w:r w:rsidR="00406071">
        <w:t xml:space="preserve"> decisions</w:t>
      </w:r>
      <w:r w:rsidR="00831B7A">
        <w:t>.</w:t>
      </w:r>
      <w:r w:rsidR="007649CE">
        <w:t xml:space="preserve"> </w:t>
      </w:r>
      <w:r w:rsidR="00406071">
        <w:t xml:space="preserve">Although, </w:t>
      </w:r>
      <w:r w:rsidR="00C7149F" w:rsidRPr="008B78DC">
        <w:t xml:space="preserve">I am aware that cancer treatment is not among the indications suggested by </w:t>
      </w:r>
      <w:r w:rsidR="007649CE">
        <w:t>TCM</w:t>
      </w:r>
      <w:r w:rsidR="00C7149F" w:rsidRPr="008B78DC">
        <w:t xml:space="preserve">, </w:t>
      </w:r>
      <w:r w:rsidR="00406071">
        <w:t>I</w:t>
      </w:r>
      <w:r w:rsidR="00C7149F" w:rsidRPr="008B78DC">
        <w:t xml:space="preserve"> remain wary of the long history of diversion – especially given the lack of evidence </w:t>
      </w:r>
      <w:r w:rsidR="005320D7">
        <w:t>for</w:t>
      </w:r>
      <w:r w:rsidR="00C7149F" w:rsidRPr="008B78DC">
        <w:t xml:space="preserve"> therapeutic benefit.</w:t>
      </w:r>
      <w:r w:rsidR="00AC4297">
        <w:t xml:space="preserve"> I also note that </w:t>
      </w:r>
      <w:r w:rsidR="00C7149F" w:rsidRPr="008B78DC">
        <w:t>chronic use patterns associated with medicines raise a unique set of risks that do not necessarily relate to foods. I</w:t>
      </w:r>
      <w:r w:rsidR="007649CE">
        <w:t xml:space="preserve">n light of </w:t>
      </w:r>
      <w:r w:rsidR="001C2FB7">
        <w:t xml:space="preserve">the </w:t>
      </w:r>
      <w:r w:rsidR="007649CE">
        <w:t>public submissions, I</w:t>
      </w:r>
      <w:r w:rsidR="00C7149F" w:rsidRPr="008B78DC">
        <w:t xml:space="preserve"> remain of the view that products containing even low doses of amygdalin </w:t>
      </w:r>
      <w:r w:rsidR="008B78DC" w:rsidRPr="008B78DC">
        <w:t xml:space="preserve">cannot </w:t>
      </w:r>
      <w:r w:rsidR="00C7149F" w:rsidRPr="008B78DC">
        <w:t>be safely supplied</w:t>
      </w:r>
      <w:r w:rsidR="007649CE">
        <w:t xml:space="preserve"> as </w:t>
      </w:r>
      <w:r w:rsidR="00C7149F" w:rsidRPr="008B78DC">
        <w:t>medicine</w:t>
      </w:r>
      <w:r w:rsidR="007649CE">
        <w:t>s</w:t>
      </w:r>
      <w:r w:rsidR="00C7149F" w:rsidRPr="008B78DC">
        <w:t>.</w:t>
      </w:r>
    </w:p>
    <w:p w14:paraId="34E5164A" w14:textId="1A9D043E" w:rsidR="00E604FC" w:rsidRDefault="00954827" w:rsidP="00D045C1">
      <w:pPr>
        <w:pStyle w:val="Heading3"/>
      </w:pPr>
      <w:bookmarkStart w:id="33" w:name="_Toc69977415"/>
      <w:r>
        <w:t>Final</w:t>
      </w:r>
      <w:r w:rsidR="008E2279">
        <w:t xml:space="preserve"> decision in relation to b</w:t>
      </w:r>
      <w:r w:rsidR="00E604FC">
        <w:t>ilastine</w:t>
      </w:r>
      <w:bookmarkEnd w:id="33"/>
    </w:p>
    <w:p w14:paraId="2E65D3C7" w14:textId="77777777" w:rsidR="004A588F" w:rsidRDefault="004A588F" w:rsidP="004A588F">
      <w:pPr>
        <w:pStyle w:val="Heading4"/>
      </w:pPr>
      <w:r>
        <w:t>Proposal</w:t>
      </w:r>
    </w:p>
    <w:p w14:paraId="137A3BE8" w14:textId="5122368D" w:rsidR="004A588F" w:rsidRPr="000D5645" w:rsidRDefault="00F44552" w:rsidP="004A588F">
      <w:r>
        <w:t>The applicant proposed an amendment to i</w:t>
      </w:r>
      <w:r w:rsidR="004A588F">
        <w:t>nclu</w:t>
      </w:r>
      <w:r>
        <w:t>de</w:t>
      </w:r>
      <w:r w:rsidR="004A588F">
        <w:t xml:space="preserve"> bilastine in Schedule 2 in preparations for oral use, and Schedule 4 for all other uses.</w:t>
      </w:r>
    </w:p>
    <w:p w14:paraId="5394D505" w14:textId="0D8836DE" w:rsidR="00E604FC" w:rsidRPr="00D045C1" w:rsidRDefault="001B0E74" w:rsidP="00D045C1">
      <w:pPr>
        <w:pStyle w:val="Heading4"/>
      </w:pPr>
      <w:r>
        <w:t>Final</w:t>
      </w:r>
      <w:r w:rsidR="00D045C1">
        <w:t xml:space="preserve"> decision</w:t>
      </w:r>
    </w:p>
    <w:p w14:paraId="0FBD0D3E" w14:textId="393E8056" w:rsidR="00E604FC" w:rsidRDefault="00954827" w:rsidP="00E604FC">
      <w:r>
        <w:t xml:space="preserve">Pursuant to </w:t>
      </w:r>
      <w:r w:rsidRPr="00253509">
        <w:t xml:space="preserve">regulation 42ZCZR of the Regulations, a Delegate of the Secretary has made a final decision to confirm the interim decision and amend the current Poisons Standard in relation to </w:t>
      </w:r>
      <w:r>
        <w:t>bilastine</w:t>
      </w:r>
      <w:r w:rsidRPr="00253509">
        <w:t xml:space="preserve"> as follows:</w:t>
      </w:r>
      <w:r>
        <w:t xml:space="preserve"> </w:t>
      </w:r>
    </w:p>
    <w:p w14:paraId="2FF48817" w14:textId="70009CCB" w:rsidR="00BF3C45" w:rsidRPr="007F6D00" w:rsidRDefault="00BF3C45" w:rsidP="00BF3C45">
      <w:pPr>
        <w:ind w:left="426"/>
        <w:rPr>
          <w:b/>
        </w:rPr>
      </w:pPr>
      <w:r w:rsidRPr="007F6D00">
        <w:rPr>
          <w:b/>
        </w:rPr>
        <w:t xml:space="preserve">Schedule 4 </w:t>
      </w:r>
      <w:r w:rsidR="00D045C1">
        <w:rPr>
          <w:b/>
        </w:rPr>
        <w:t>- Amend Entry</w:t>
      </w:r>
    </w:p>
    <w:p w14:paraId="531597AF" w14:textId="155BBE34" w:rsidR="00BF3C45" w:rsidRPr="00D85B4E" w:rsidRDefault="00BF3C45" w:rsidP="00BF3C45">
      <w:pPr>
        <w:ind w:firstLine="426"/>
        <w:rPr>
          <w:color w:val="00B050"/>
        </w:rPr>
      </w:pPr>
      <w:r w:rsidRPr="007F6D00">
        <w:t xml:space="preserve">BILASTINE </w:t>
      </w:r>
      <m:oMath>
        <m:bar>
          <m:barPr>
            <m:pos m:val="top"/>
            <m:ctrlPr>
              <w:rPr>
                <w:rFonts w:ascii="Cambria Math" w:hAnsi="Cambria Math"/>
                <w:i/>
                <w:color w:val="00B050"/>
              </w:rPr>
            </m:ctrlPr>
          </m:barPr>
          <m:e>
            <m:r>
              <w:rPr>
                <w:rFonts w:ascii="Cambria Math" w:hAnsi="Cambria Math"/>
                <w:color w:val="00B050"/>
              </w:rPr>
              <m:t>except when included in Schedule 3.</m:t>
            </m:r>
          </m:e>
        </m:bar>
      </m:oMath>
    </w:p>
    <w:p w14:paraId="7E68F50A" w14:textId="77777777" w:rsidR="00BF3C45" w:rsidRPr="007F6D00" w:rsidRDefault="00BF3C45" w:rsidP="00BF3C45">
      <w:pPr>
        <w:ind w:left="426"/>
        <w:rPr>
          <w:b/>
        </w:rPr>
      </w:pPr>
      <w:r w:rsidRPr="007F6D00">
        <w:rPr>
          <w:b/>
        </w:rPr>
        <w:t>Schedule 3 - New Entry</w:t>
      </w:r>
    </w:p>
    <w:p w14:paraId="1B8D8EB3" w14:textId="77777777" w:rsidR="00BF3C45" w:rsidRPr="00D85B4E" w:rsidRDefault="00BF3C45" w:rsidP="00BF3C45">
      <w:pPr>
        <w:ind w:left="426"/>
        <w:rPr>
          <w:color w:val="00B050"/>
        </w:rPr>
      </w:pPr>
      <w:r w:rsidRPr="00D85B4E">
        <w:rPr>
          <w:color w:val="00B050"/>
        </w:rPr>
        <w:t>BILASTINE in divided oral preparations containing 2</w:t>
      </w:r>
      <w:r w:rsidRPr="00D85B4E">
        <w:rPr>
          <w:iCs/>
          <w:color w:val="00B050"/>
        </w:rPr>
        <w:t xml:space="preserve">0 mg or less in adults and adolescents </w:t>
      </w:r>
      <w:r w:rsidRPr="00D85B4E">
        <w:rPr>
          <w:color w:val="00B050"/>
        </w:rPr>
        <w:t>12 years of age and older.</w:t>
      </w:r>
    </w:p>
    <w:p w14:paraId="20A82B7E" w14:textId="77777777" w:rsidR="00BF3C45" w:rsidRPr="007F6D00" w:rsidRDefault="00BF3C45" w:rsidP="00BF3C45">
      <w:pPr>
        <w:ind w:left="426"/>
        <w:rPr>
          <w:b/>
        </w:rPr>
      </w:pPr>
      <w:r w:rsidRPr="007F6D00">
        <w:rPr>
          <w:b/>
        </w:rPr>
        <w:t>Appendix H – New Entry</w:t>
      </w:r>
    </w:p>
    <w:p w14:paraId="6E9938AB" w14:textId="0FD4B504" w:rsidR="00BF3C45" w:rsidRPr="00937E6E" w:rsidRDefault="00BF3C45" w:rsidP="00BF3C45">
      <w:pPr>
        <w:ind w:left="426"/>
      </w:pPr>
      <w:r w:rsidRPr="00D85B4E">
        <w:rPr>
          <w:color w:val="00B050"/>
        </w:rPr>
        <w:t>BILASTINE</w:t>
      </w:r>
    </w:p>
    <w:p w14:paraId="6E310C81" w14:textId="192F3880" w:rsidR="00BF3C45" w:rsidRPr="007F6D00" w:rsidRDefault="00BF3C45" w:rsidP="00BF3C45">
      <w:pPr>
        <w:ind w:left="426"/>
        <w:rPr>
          <w:b/>
        </w:rPr>
      </w:pPr>
      <w:r w:rsidRPr="007F6D00">
        <w:rPr>
          <w:b/>
        </w:rPr>
        <w:t xml:space="preserve">Index – </w:t>
      </w:r>
      <w:r w:rsidR="007F6D00">
        <w:rPr>
          <w:b/>
        </w:rPr>
        <w:t>Amend</w:t>
      </w:r>
      <w:r w:rsidR="007F6D00" w:rsidRPr="007F6D00">
        <w:rPr>
          <w:b/>
        </w:rPr>
        <w:t xml:space="preserve"> </w:t>
      </w:r>
      <w:r w:rsidR="00D045C1">
        <w:rPr>
          <w:b/>
        </w:rPr>
        <w:t>Entry</w:t>
      </w:r>
    </w:p>
    <w:p w14:paraId="2EDF1327" w14:textId="77777777" w:rsidR="00BF3C45" w:rsidRPr="00954827" w:rsidRDefault="00BF3C45" w:rsidP="00BF3C45">
      <w:pPr>
        <w:ind w:left="426"/>
      </w:pPr>
      <w:r w:rsidRPr="00954827">
        <w:t>BILASTINE</w:t>
      </w:r>
    </w:p>
    <w:p w14:paraId="3B92B276" w14:textId="44930647" w:rsidR="00BF3C45" w:rsidRPr="00D85B4E" w:rsidRDefault="00954827" w:rsidP="00954827">
      <w:pPr>
        <w:ind w:left="426"/>
        <w:rPr>
          <w:color w:val="00B050"/>
        </w:rPr>
      </w:pPr>
      <w:r>
        <w:t xml:space="preserve">Schedule 4 </w:t>
      </w:r>
      <w:r>
        <w:br/>
      </w:r>
      <w:r w:rsidR="00BF3C45" w:rsidRPr="00D85B4E">
        <w:rPr>
          <w:color w:val="00B050"/>
        </w:rPr>
        <w:t>Schedule 3</w:t>
      </w:r>
      <w:r w:rsidRPr="00D85B4E">
        <w:rPr>
          <w:color w:val="00B050"/>
        </w:rPr>
        <w:br/>
      </w:r>
      <w:r w:rsidR="00BF3C45" w:rsidRPr="00D85B4E">
        <w:rPr>
          <w:color w:val="00B050"/>
        </w:rPr>
        <w:t>Appendix H</w:t>
      </w:r>
    </w:p>
    <w:p w14:paraId="6F1C69F9" w14:textId="4B51DD3C" w:rsidR="00E604FC" w:rsidRDefault="00D045C1" w:rsidP="00D045C1">
      <w:pPr>
        <w:pStyle w:val="Heading4"/>
      </w:pPr>
      <w:r>
        <w:t>Materials considered</w:t>
      </w:r>
    </w:p>
    <w:p w14:paraId="301A7091" w14:textId="0295B5BC" w:rsidR="00E604FC" w:rsidRDefault="00A4484C" w:rsidP="00E604FC">
      <w:r>
        <w:t>In making this final</w:t>
      </w:r>
      <w:r w:rsidR="00E604FC">
        <w:t xml:space="preserve"> decision, the Delegate considered the following material:</w:t>
      </w:r>
    </w:p>
    <w:p w14:paraId="015D2EF1" w14:textId="77777777" w:rsidR="00E604FC" w:rsidRDefault="00E604FC" w:rsidP="00E604FC">
      <w:pPr>
        <w:pStyle w:val="ListBullet"/>
      </w:pPr>
      <w:r w:rsidRPr="000E0D69">
        <w:t xml:space="preserve">The </w:t>
      </w:r>
      <w:hyperlink r:id="rId21" w:history="1">
        <w:r w:rsidRPr="000E0D69">
          <w:rPr>
            <w:rStyle w:val="Hyperlink"/>
          </w:rPr>
          <w:t>application</w:t>
        </w:r>
      </w:hyperlink>
      <w:r w:rsidRPr="000E0D69">
        <w:t xml:space="preserve"> to amend the</w:t>
      </w:r>
      <w:r>
        <w:t xml:space="preserve"> current Poisons Standard with respect to bilastine;</w:t>
      </w:r>
    </w:p>
    <w:p w14:paraId="6EDE72DE" w14:textId="26446703" w:rsidR="00E604FC" w:rsidRDefault="00E604FC" w:rsidP="00E604FC">
      <w:pPr>
        <w:pStyle w:val="ListBullet"/>
      </w:pPr>
      <w:r w:rsidRPr="000E0D69">
        <w:t xml:space="preserve">The </w:t>
      </w:r>
      <w:r w:rsidR="007F6D00">
        <w:t>127</w:t>
      </w:r>
      <w:r w:rsidRPr="000E0D69">
        <w:t xml:space="preserve"> </w:t>
      </w:r>
      <w:hyperlink r:id="rId22" w:history="1">
        <w:r w:rsidRPr="00905BFB">
          <w:rPr>
            <w:rStyle w:val="Hyperlink"/>
          </w:rPr>
          <w:t>public submissions</w:t>
        </w:r>
      </w:hyperlink>
      <w:r w:rsidR="001C6414" w:rsidRPr="00D045C1">
        <w:rPr>
          <w:rStyle w:val="Hyperlink"/>
          <w:color w:val="auto"/>
          <w:u w:val="none"/>
        </w:rPr>
        <w:t>,</w:t>
      </w:r>
      <w:r w:rsidR="001C6414" w:rsidRPr="00C85183">
        <w:t xml:space="preserve"> including three written submissions,</w:t>
      </w:r>
      <w:r w:rsidRPr="00C85183">
        <w:t xml:space="preserve"> </w:t>
      </w:r>
      <w:r>
        <w:t xml:space="preserve">received in response to the </w:t>
      </w:r>
      <w:hyperlink r:id="rId23" w:history="1">
        <w:r w:rsidRPr="00A825A4">
          <w:rPr>
            <w:rStyle w:val="Hyperlink"/>
          </w:rPr>
          <w:t>pre-meeting consultation</w:t>
        </w:r>
      </w:hyperlink>
      <w:r w:rsidRPr="00A825A4">
        <w:t xml:space="preserve"> und</w:t>
      </w:r>
      <w:r>
        <w:t>er regulation 42ZCZK of the Regulations</w:t>
      </w:r>
      <w:r w:rsidR="00075612">
        <w:t>;</w:t>
      </w:r>
    </w:p>
    <w:p w14:paraId="66E9AC01" w14:textId="2CCAF140" w:rsidR="00E604FC" w:rsidRDefault="00E604FC" w:rsidP="00E604FC">
      <w:pPr>
        <w:pStyle w:val="ListBullet"/>
      </w:pPr>
      <w:r>
        <w:t xml:space="preserve">The advice </w:t>
      </w:r>
      <w:r w:rsidRPr="00A825A4">
        <w:t>received from the Meeting of the Advisory Committee on Medicines Scheduling (ACMS #32);</w:t>
      </w:r>
    </w:p>
    <w:p w14:paraId="0095F2B4" w14:textId="786309D0" w:rsidR="00954827" w:rsidRDefault="00954827" w:rsidP="00954827">
      <w:pPr>
        <w:pStyle w:val="ListBullet"/>
      </w:pPr>
      <w:r>
        <w:t xml:space="preserve">The </w:t>
      </w:r>
      <w:r w:rsidR="009745A7">
        <w:t>84</w:t>
      </w:r>
      <w:r w:rsidR="000E2B9F">
        <w:t xml:space="preserve"> </w:t>
      </w:r>
      <w:hyperlink r:id="rId24" w:history="1">
        <w:r w:rsidRPr="00937E6E">
          <w:rPr>
            <w:rStyle w:val="Hyperlink"/>
          </w:rPr>
          <w:t>public submissions</w:t>
        </w:r>
      </w:hyperlink>
      <w:r>
        <w:t xml:space="preserve">, </w:t>
      </w:r>
      <w:r w:rsidR="000E2B9F">
        <w:t>which included</w:t>
      </w:r>
      <w:r w:rsidRPr="00C85183">
        <w:t xml:space="preserve"> </w:t>
      </w:r>
      <w:r w:rsidR="000E2B9F" w:rsidRPr="000E2B9F">
        <w:t>no</w:t>
      </w:r>
      <w:r w:rsidRPr="00C85183">
        <w:t xml:space="preserve"> written submissions,</w:t>
      </w:r>
      <w:r>
        <w:t xml:space="preserve"> received in response to the </w:t>
      </w:r>
      <w:r w:rsidR="001509EE"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sidR="00AE3FE3">
        <w:rPr>
          <w:rFonts w:asciiTheme="minorHAnsi" w:hAnsiTheme="minorHAnsi"/>
          <w:szCs w:val="22"/>
        </w:rPr>
        <w:t>;</w:t>
      </w:r>
    </w:p>
    <w:p w14:paraId="2D788366" w14:textId="77777777" w:rsidR="00E604FC" w:rsidRDefault="00E604FC" w:rsidP="00E604F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w:t>
      </w:r>
      <w:r>
        <w:t xml:space="preserve"> and</w:t>
      </w:r>
      <w:r w:rsidRPr="001169AC">
        <w:t xml:space="preserve"> (d) the dosage, formulation, labelling, packaging a</w:t>
      </w:r>
      <w:r>
        <w:t>nd presentation of a substance.</w:t>
      </w:r>
    </w:p>
    <w:p w14:paraId="03559C27" w14:textId="77777777" w:rsidR="00E604FC" w:rsidRDefault="00E604FC" w:rsidP="00E604FC">
      <w:pPr>
        <w:pStyle w:val="ListBullet"/>
      </w:pPr>
      <w:r w:rsidRPr="002C1418">
        <w:t xml:space="preserve">The Australian Health Ministers’ Advisory Council’s </w:t>
      </w:r>
      <w:hyperlink r:id="rId25" w:history="1">
        <w:r w:rsidRPr="001A7580">
          <w:rPr>
            <w:rStyle w:val="Hyperlink"/>
          </w:rPr>
          <w:t>Scheduling Policy Framework</w:t>
        </w:r>
      </w:hyperlink>
      <w:r>
        <w:t xml:space="preserve"> (SPF 2018</w:t>
      </w:r>
      <w:r w:rsidRPr="002C20AE">
        <w:t>); and</w:t>
      </w:r>
    </w:p>
    <w:p w14:paraId="06542B36" w14:textId="77777777" w:rsidR="00E604FC" w:rsidRDefault="00E604FC" w:rsidP="00E604FC">
      <w:pPr>
        <w:pStyle w:val="ListBullet"/>
      </w:pPr>
      <w:r>
        <w:t xml:space="preserve">The </w:t>
      </w:r>
      <w:hyperlink r:id="rId26" w:history="1">
        <w:r w:rsidRPr="001A7580">
          <w:rPr>
            <w:rStyle w:val="Hyperlink"/>
          </w:rPr>
          <w:t>Scheduling handbook: Guidance for amending the Poisons Standard</w:t>
        </w:r>
      </w:hyperlink>
      <w:r>
        <w:t>.</w:t>
      </w:r>
    </w:p>
    <w:p w14:paraId="10246B7E" w14:textId="77777777" w:rsidR="00954827" w:rsidRDefault="00954827" w:rsidP="00954827">
      <w:pPr>
        <w:pStyle w:val="Heading5"/>
      </w:pPr>
      <w:r w:rsidRPr="00436C41">
        <w:t>Reasons for the final decision (including findings on material questions of fact)</w:t>
      </w:r>
    </w:p>
    <w:p w14:paraId="6B74604F" w14:textId="588D675E" w:rsidR="00A4484C" w:rsidRDefault="00A4484C" w:rsidP="00A4484C">
      <w:r w:rsidRPr="00253509">
        <w:t>I have made a final decision to confirm</w:t>
      </w:r>
      <w:r>
        <w:t xml:space="preserve"> my </w:t>
      </w:r>
      <w:hyperlink r:id="rId27" w:history="1">
        <w:r w:rsidRPr="008F73DD">
          <w:rPr>
            <w:rStyle w:val="Hyperlink"/>
          </w:rPr>
          <w:t>interim decision</w:t>
        </w:r>
      </w:hyperlink>
      <w:r>
        <w:t xml:space="preserve"> to amend</w:t>
      </w:r>
      <w:r w:rsidRPr="00253509">
        <w:t xml:space="preserve"> the current Poisons Standard with re</w:t>
      </w:r>
      <w:r>
        <w:t>spect to bilastine</w:t>
      </w:r>
      <w:r w:rsidRPr="00253509">
        <w:t xml:space="preserve">. </w:t>
      </w:r>
      <w:r w:rsidRPr="008F73DD">
        <w:t>My reasons for making the final decision are those s</w:t>
      </w:r>
      <w:r>
        <w:t>et out in the interim decision.</w:t>
      </w:r>
      <w:r w:rsidRPr="008F73DD">
        <w:t xml:space="preserve"> </w:t>
      </w:r>
      <w:r w:rsidRPr="00253509">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r w:rsidR="000E2B9F" w:rsidRPr="000E2B9F">
        <w:t>I note that no written public submissions were received in response to the interim decision. </w:t>
      </w:r>
    </w:p>
    <w:p w14:paraId="62A3D9F2" w14:textId="5AE952FA" w:rsidR="000B1220" w:rsidRPr="009B0447" w:rsidRDefault="000B1220" w:rsidP="000B1220">
      <w:pPr>
        <w:pStyle w:val="Heading4"/>
        <w:ind w:left="0" w:firstLine="0"/>
      </w:pPr>
      <w:r>
        <w:t>Implementation date</w:t>
      </w:r>
    </w:p>
    <w:p w14:paraId="43C362C8" w14:textId="74C1CC18" w:rsidR="000B1220" w:rsidRPr="000B1220" w:rsidRDefault="000B1220" w:rsidP="000B1220">
      <w:pPr>
        <w:spacing w:after="240"/>
        <w:rPr>
          <w:rFonts w:asciiTheme="minorHAnsi" w:hAnsiTheme="minorHAnsi"/>
          <w:bCs/>
          <w:szCs w:val="22"/>
        </w:rPr>
      </w:pPr>
      <w:r w:rsidRPr="00AD5029">
        <w:rPr>
          <w:b/>
        </w:rPr>
        <w:t>1 June 2021</w:t>
      </w:r>
    </w:p>
    <w:p w14:paraId="29DD552B" w14:textId="4F0E0393" w:rsidR="00996C3D" w:rsidRDefault="00A4484C" w:rsidP="00154919">
      <w:pPr>
        <w:pStyle w:val="Heading3"/>
      </w:pPr>
      <w:bookmarkStart w:id="34" w:name="_Toc69977416"/>
      <w:r>
        <w:t>Final</w:t>
      </w:r>
      <w:r w:rsidR="00996C3D">
        <w:t xml:space="preserve"> deci</w:t>
      </w:r>
      <w:r w:rsidR="00697C50">
        <w:t>sion in relation to budesonide and</w:t>
      </w:r>
      <w:r w:rsidR="00996C3D">
        <w:t xml:space="preserve"> formoterol</w:t>
      </w:r>
      <w:bookmarkEnd w:id="34"/>
    </w:p>
    <w:p w14:paraId="0499CA5C" w14:textId="77777777" w:rsidR="004A588F" w:rsidRDefault="004A588F" w:rsidP="004A588F">
      <w:pPr>
        <w:pStyle w:val="Heading4"/>
      </w:pPr>
      <w:r>
        <w:t>Proposal</w:t>
      </w:r>
    </w:p>
    <w:p w14:paraId="18B81D11" w14:textId="41CB47D4" w:rsidR="004A588F" w:rsidRDefault="008C257A" w:rsidP="004A588F">
      <w:r>
        <w:t>The applicant proposed an amendment to move</w:t>
      </w:r>
      <w:r w:rsidR="004A588F">
        <w:t xml:space="preserve"> budesonide and formoterol </w:t>
      </w:r>
      <w:r>
        <w:t xml:space="preserve">from Schedule 4 to </w:t>
      </w:r>
      <w:r w:rsidR="004A588F">
        <w:t xml:space="preserve">Schedule 3 when combined </w:t>
      </w:r>
      <w:r w:rsidR="0039416D">
        <w:t>in an inhaler, for use as an anti-inflammatory reliever in the treatment of medically diagnosed asthma.</w:t>
      </w:r>
    </w:p>
    <w:p w14:paraId="2B1929C4" w14:textId="15B6967E" w:rsidR="00996C3D" w:rsidRPr="008036B7" w:rsidRDefault="001B0E74" w:rsidP="007B6332">
      <w:pPr>
        <w:pStyle w:val="Heading4"/>
      </w:pPr>
      <w:r>
        <w:t>Final</w:t>
      </w:r>
      <w:r w:rsidR="00154919">
        <w:t xml:space="preserve"> decision</w:t>
      </w:r>
    </w:p>
    <w:p w14:paraId="7F640131" w14:textId="0EB5A8B8" w:rsidR="00996C3D" w:rsidRDefault="00A4484C" w:rsidP="00996C3D">
      <w:r>
        <w:t xml:space="preserve">Pursuant to </w:t>
      </w:r>
      <w:r w:rsidRPr="00253509">
        <w:t xml:space="preserve">regulation 42ZCZR of the Regulations, a Delegate of the Secretary has made a final decision to confirm the interim decision and </w:t>
      </w:r>
      <w:r>
        <w:t xml:space="preserve">not </w:t>
      </w:r>
      <w:r w:rsidRPr="00253509">
        <w:t>amend the current Poisons Standard in relation to</w:t>
      </w:r>
      <w:r w:rsidR="00996C3D" w:rsidRPr="003C1E35">
        <w:t xml:space="preserve"> budesonide and formoterol.</w:t>
      </w:r>
      <w:r>
        <w:t xml:space="preserve"> </w:t>
      </w:r>
    </w:p>
    <w:p w14:paraId="3A8EAF76" w14:textId="3254CED3" w:rsidR="00996C3D" w:rsidRDefault="00921218" w:rsidP="00921218">
      <w:pPr>
        <w:pStyle w:val="Heading4"/>
      </w:pPr>
      <w:r>
        <w:t>Materials considered</w:t>
      </w:r>
    </w:p>
    <w:p w14:paraId="0EEE02AF" w14:textId="7EE0B0F8" w:rsidR="00996C3D" w:rsidRDefault="001B0E74" w:rsidP="00996C3D">
      <w:r>
        <w:t>In making this final</w:t>
      </w:r>
      <w:r w:rsidR="00996C3D">
        <w:t xml:space="preserve"> decision, the Delegate considered the following material:</w:t>
      </w:r>
    </w:p>
    <w:p w14:paraId="5BE9AB9F" w14:textId="2E8F6E80" w:rsidR="00996C3D" w:rsidRPr="003C1E35" w:rsidRDefault="00996C3D" w:rsidP="00996C3D">
      <w:pPr>
        <w:pStyle w:val="ListBullet"/>
        <w:numPr>
          <w:ilvl w:val="0"/>
          <w:numId w:val="1"/>
        </w:numPr>
      </w:pPr>
      <w:r>
        <w:t xml:space="preserve">The </w:t>
      </w:r>
      <w:r w:rsidR="00CA6A77" w:rsidRPr="005A0661">
        <w:t>application</w:t>
      </w:r>
      <w:r w:rsidRPr="003C1E35">
        <w:t xml:space="preserve"> to amend the current Poisons Standard with respect to budesonide </w:t>
      </w:r>
      <w:r w:rsidR="001509EE">
        <w:t>and</w:t>
      </w:r>
      <w:r w:rsidRPr="003C1E35">
        <w:t xml:space="preserve"> formoterol;</w:t>
      </w:r>
    </w:p>
    <w:p w14:paraId="2E69C782" w14:textId="55815F4C" w:rsidR="00996C3D" w:rsidRDefault="00996C3D" w:rsidP="00996C3D">
      <w:pPr>
        <w:pStyle w:val="ListBullet"/>
        <w:numPr>
          <w:ilvl w:val="0"/>
          <w:numId w:val="1"/>
        </w:numPr>
      </w:pPr>
      <w:r w:rsidRPr="003C1E35">
        <w:t xml:space="preserve">The 138 </w:t>
      </w:r>
      <w:hyperlink r:id="rId28" w:history="1">
        <w:r w:rsidRPr="00905BFB">
          <w:rPr>
            <w:rStyle w:val="Hyperlink"/>
          </w:rPr>
          <w:t>public submissions</w:t>
        </w:r>
      </w:hyperlink>
      <w:r w:rsidR="001C6414" w:rsidRPr="00921218">
        <w:rPr>
          <w:rStyle w:val="Hyperlink"/>
          <w:color w:val="auto"/>
          <w:u w:val="none"/>
        </w:rPr>
        <w:t>,</w:t>
      </w:r>
      <w:r w:rsidR="001C6414" w:rsidRPr="00C85183">
        <w:t xml:space="preserve"> including 12 written submissions,</w:t>
      </w:r>
      <w:r w:rsidRPr="00C85183">
        <w:t xml:space="preserve"> </w:t>
      </w:r>
      <w:r w:rsidRPr="003C1E35">
        <w:t xml:space="preserve">received in response to the </w:t>
      </w:r>
      <w:hyperlink r:id="rId29" w:history="1">
        <w:r w:rsidRPr="003C1E35">
          <w:rPr>
            <w:rStyle w:val="Hyperlink"/>
          </w:rPr>
          <w:t>pre-meeting consultation</w:t>
        </w:r>
      </w:hyperlink>
      <w:r w:rsidRPr="003C1E35">
        <w:t xml:space="preserve"> under regulation 42ZCZK of the Regulations</w:t>
      </w:r>
      <w:r w:rsidR="00075612">
        <w:t>;</w:t>
      </w:r>
    </w:p>
    <w:p w14:paraId="2B178A6A" w14:textId="634AB012" w:rsidR="00996C3D" w:rsidRDefault="00996C3D" w:rsidP="00996C3D">
      <w:pPr>
        <w:pStyle w:val="ListBullet"/>
        <w:numPr>
          <w:ilvl w:val="0"/>
          <w:numId w:val="1"/>
        </w:numPr>
      </w:pPr>
      <w:r>
        <w:t>The advice received from th</w:t>
      </w:r>
      <w:r w:rsidRPr="00C51001">
        <w:t>e Meeting of the Advisory Committee on Medicines Scheduling (</w:t>
      </w:r>
      <w:r w:rsidRPr="003C1E35">
        <w:t>ACMS #32);</w:t>
      </w:r>
    </w:p>
    <w:p w14:paraId="43519687" w14:textId="20E74F21" w:rsidR="00A4484C" w:rsidRDefault="00A4484C" w:rsidP="00A4484C">
      <w:pPr>
        <w:pStyle w:val="ListBullet"/>
      </w:pPr>
      <w:r>
        <w:t xml:space="preserve">The </w:t>
      </w:r>
      <w:r w:rsidR="009745A7">
        <w:t>88</w:t>
      </w:r>
      <w:r w:rsidR="000B1220">
        <w:t xml:space="preserve"> </w:t>
      </w:r>
      <w:hyperlink r:id="rId30" w:history="1">
        <w:r w:rsidRPr="00937E6E">
          <w:rPr>
            <w:rStyle w:val="Hyperlink"/>
          </w:rPr>
          <w:t>public submissions</w:t>
        </w:r>
      </w:hyperlink>
      <w:r>
        <w:t xml:space="preserve">, </w:t>
      </w:r>
      <w:r w:rsidRPr="00C85183">
        <w:t xml:space="preserve">including </w:t>
      </w:r>
      <w:r w:rsidR="000B1220" w:rsidRPr="000B1220">
        <w:t>two</w:t>
      </w:r>
      <w:r w:rsidRPr="00C85183">
        <w:t xml:space="preserve"> written submissions,</w:t>
      </w:r>
      <w:r>
        <w:t xml:space="preserve"> received in response to the </w:t>
      </w:r>
      <w:r w:rsidR="001509EE"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sidR="00AE3FE3">
        <w:rPr>
          <w:rFonts w:asciiTheme="minorHAnsi" w:hAnsiTheme="minorHAnsi"/>
          <w:szCs w:val="22"/>
        </w:rPr>
        <w:t>;</w:t>
      </w:r>
    </w:p>
    <w:p w14:paraId="4125C339" w14:textId="77777777" w:rsidR="00996C3D" w:rsidRDefault="00996C3D" w:rsidP="00996C3D">
      <w:pPr>
        <w:pStyle w:val="ListBullet"/>
        <w:numPr>
          <w:ilvl w:val="0"/>
          <w:numId w:val="1"/>
        </w:numPr>
      </w:pPr>
      <w:r w:rsidRPr="001169AC">
        <w:t xml:space="preserve">Subsection 52E(1) of </w:t>
      </w:r>
      <w:r w:rsidRPr="001169AC">
        <w:rPr>
          <w:i/>
        </w:rPr>
        <w:t>the Therapeutic Goods Act 1989</w:t>
      </w:r>
      <w:r w:rsidRPr="001169AC">
        <w:t>, in particular (a) the ri</w:t>
      </w:r>
      <w:r>
        <w:t>sks and benefits of the use of the</w:t>
      </w:r>
      <w:r w:rsidRPr="001169AC">
        <w:t xml:space="preserve"> substance; (b) the purposes for which a substance is to be</w:t>
      </w:r>
      <w:r>
        <w:t xml:space="preserve"> used and the extent of use of the</w:t>
      </w:r>
      <w:r w:rsidRPr="001169AC">
        <w:t xml:space="preserve"> </w:t>
      </w:r>
      <w:r>
        <w:t>substance; (c) the toxicity of the</w:t>
      </w:r>
      <w:r w:rsidRPr="001169AC">
        <w:t xml:space="preserve"> substance; (d) the dosage, formulation, labelling,</w:t>
      </w:r>
      <w:r>
        <w:t xml:space="preserve"> packaging and presentation of the</w:t>
      </w:r>
      <w:r w:rsidRPr="001169AC">
        <w:t xml:space="preserve"> substance; (</w:t>
      </w:r>
      <w:r>
        <w:t xml:space="preserve">e) the potential for abuse of the </w:t>
      </w:r>
      <w:r w:rsidRPr="001169AC">
        <w:t>substance; and (f) any other matters considered nece</w:t>
      </w:r>
      <w:r>
        <w:t>ssary to protect public health;</w:t>
      </w:r>
    </w:p>
    <w:p w14:paraId="60BF3CD1" w14:textId="631F3EFE" w:rsidR="00996C3D" w:rsidRDefault="00996C3D" w:rsidP="00996C3D">
      <w:pPr>
        <w:pStyle w:val="ListBullet"/>
        <w:numPr>
          <w:ilvl w:val="0"/>
          <w:numId w:val="1"/>
        </w:numPr>
      </w:pPr>
      <w:r w:rsidRPr="002C1418">
        <w:t xml:space="preserve">The Australian Health Ministers’ Advisory Council’s </w:t>
      </w:r>
      <w:hyperlink r:id="rId31" w:history="1">
        <w:r w:rsidRPr="001A7580">
          <w:rPr>
            <w:rStyle w:val="Hyperlink"/>
          </w:rPr>
          <w:t>Scheduling Policy Framework</w:t>
        </w:r>
      </w:hyperlink>
      <w:r>
        <w:t xml:space="preserve"> (SPF 2018</w:t>
      </w:r>
      <w:r w:rsidR="00921218">
        <w:t>);</w:t>
      </w:r>
    </w:p>
    <w:p w14:paraId="238D1956" w14:textId="683800BF" w:rsidR="00996C3D" w:rsidRDefault="00996C3D" w:rsidP="00996C3D">
      <w:pPr>
        <w:pStyle w:val="ListBullet"/>
        <w:numPr>
          <w:ilvl w:val="0"/>
          <w:numId w:val="1"/>
        </w:numPr>
      </w:pPr>
      <w:r>
        <w:t xml:space="preserve">The </w:t>
      </w:r>
      <w:hyperlink r:id="rId32" w:history="1">
        <w:r w:rsidRPr="001A7580">
          <w:rPr>
            <w:rStyle w:val="Hyperlink"/>
          </w:rPr>
          <w:t>Scheduling handbook: Guidance for amending the Poisons Standard</w:t>
        </w:r>
      </w:hyperlink>
      <w:r w:rsidR="001A6F0B" w:rsidRPr="00921218">
        <w:rPr>
          <w:rStyle w:val="Hyperlink"/>
          <w:color w:val="auto"/>
          <w:u w:val="none"/>
        </w:rPr>
        <w:t>;</w:t>
      </w:r>
      <w:r w:rsidR="001A6F0B" w:rsidRPr="00921218">
        <w:t xml:space="preserve"> </w:t>
      </w:r>
      <w:r w:rsidR="001A6F0B">
        <w:t>and</w:t>
      </w:r>
    </w:p>
    <w:p w14:paraId="33444CB1" w14:textId="19716E39" w:rsidR="00AC423A" w:rsidRDefault="00AC423A" w:rsidP="00996C3D">
      <w:pPr>
        <w:pStyle w:val="ListBullet"/>
        <w:numPr>
          <w:ilvl w:val="0"/>
          <w:numId w:val="1"/>
        </w:numPr>
      </w:pPr>
      <w:r>
        <w:t xml:space="preserve">The </w:t>
      </w:r>
      <w:r w:rsidR="001A6F0B" w:rsidRPr="00FB54DC">
        <w:rPr>
          <w:rStyle w:val="Hyperlink"/>
        </w:rPr>
        <w:t xml:space="preserve">Australian Asthma </w:t>
      </w:r>
      <w:hyperlink r:id="rId33" w:history="1">
        <w:r w:rsidR="001A6F0B" w:rsidRPr="00FB54DC">
          <w:rPr>
            <w:rStyle w:val="Hyperlink"/>
          </w:rPr>
          <w:t>H</w:t>
        </w:r>
        <w:r w:rsidRPr="00FB54DC">
          <w:rPr>
            <w:rStyle w:val="Hyperlink"/>
          </w:rPr>
          <w:t>andbook</w:t>
        </w:r>
      </w:hyperlink>
      <w:r w:rsidR="00FB54DC">
        <w:rPr>
          <w:rStyle w:val="Hyperlink"/>
        </w:rPr>
        <w:t>.</w:t>
      </w:r>
    </w:p>
    <w:p w14:paraId="7711B1EF" w14:textId="0CE8A224" w:rsidR="00996C3D" w:rsidRPr="00A4484C" w:rsidRDefault="00A4484C" w:rsidP="00937E6E">
      <w:pPr>
        <w:pStyle w:val="Heading4"/>
        <w:rPr>
          <w:rStyle w:val="Heading6Char"/>
          <w:b/>
          <w:bCs/>
          <w:i/>
          <w:szCs w:val="26"/>
        </w:rPr>
      </w:pPr>
      <w:r w:rsidRPr="00436C41">
        <w:t>Reasons for the final decision (including findings on material questions of fact)</w:t>
      </w:r>
    </w:p>
    <w:p w14:paraId="66D6932F" w14:textId="77777777" w:rsidR="00931C2D" w:rsidRDefault="00A4484C" w:rsidP="00E27C3A">
      <w:pPr>
        <w:spacing w:after="240"/>
      </w:pPr>
      <w:r w:rsidRPr="0014113C">
        <w:t xml:space="preserve">I have made a final decision to confirm my </w:t>
      </w:r>
      <w:hyperlink r:id="rId34"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 xml:space="preserve">h respect to </w:t>
      </w:r>
      <w:r w:rsidR="004E2BF9" w:rsidRPr="003C1E35">
        <w:t>budesonide and formoterol</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p>
    <w:p w14:paraId="091E1823" w14:textId="4A5B1FD5" w:rsidR="00E9082C" w:rsidRDefault="00A4484C" w:rsidP="00E27C3A">
      <w:pPr>
        <w:spacing w:after="240"/>
      </w:pPr>
      <w:r w:rsidRPr="0010792D">
        <w:t xml:space="preserve">I note that </w:t>
      </w:r>
      <w:r w:rsidR="00931C2D" w:rsidRPr="0010792D">
        <w:t xml:space="preserve">two written submissions were received, both opposing the interim decision. </w:t>
      </w:r>
      <w:r w:rsidR="00655146">
        <w:t>These argued</w:t>
      </w:r>
      <w:r w:rsidR="00801D9F" w:rsidRPr="0010792D">
        <w:t xml:space="preserve"> tha</w:t>
      </w:r>
      <w:r w:rsidR="004660A0">
        <w:t>t the product would</w:t>
      </w:r>
      <w:r w:rsidR="00801D9F" w:rsidRPr="0010792D">
        <w:t xml:space="preserve"> deliver better patient outcomes compared to over the counter use of short acting beta agonists</w:t>
      </w:r>
      <w:r w:rsidR="00655146">
        <w:t xml:space="preserve">. </w:t>
      </w:r>
      <w:r w:rsidR="004660A0">
        <w:t>The submissions</w:t>
      </w:r>
      <w:r w:rsidR="00655146">
        <w:t xml:space="preserve"> also noted</w:t>
      </w:r>
      <w:r w:rsidR="00801D9F" w:rsidRPr="0010792D">
        <w:t xml:space="preserve"> t</w:t>
      </w:r>
      <w:r w:rsidR="00A81281">
        <w:t>hat pharmacists are already</w:t>
      </w:r>
      <w:r w:rsidR="00801D9F" w:rsidRPr="0010792D">
        <w:t xml:space="preserve"> familiar with the medicine, and can ensure patient safety in conjunction with Appendix M criteria. </w:t>
      </w:r>
      <w:r w:rsidR="007003ED" w:rsidRPr="0010792D">
        <w:t>I</w:t>
      </w:r>
      <w:r w:rsidR="00926C0B">
        <w:t>n light of these points,</w:t>
      </w:r>
      <w:r w:rsidR="00831B7A">
        <w:t xml:space="preserve"> and taking into consideration the restrictions proposed for the Appendix M entry,</w:t>
      </w:r>
      <w:r w:rsidR="00926C0B">
        <w:t xml:space="preserve"> I remain of the view</w:t>
      </w:r>
      <w:r w:rsidR="00E9082C">
        <w:t xml:space="preserve"> that</w:t>
      </w:r>
      <w:r w:rsidR="003D6C87">
        <w:t xml:space="preserve"> the potential benefits</w:t>
      </w:r>
      <w:r w:rsidR="00831B7A">
        <w:t xml:space="preserve"> for inclusion in Appendix M</w:t>
      </w:r>
      <w:r w:rsidR="003D6C87">
        <w:t xml:space="preserve"> are outweighed by the risks of inappropriate use </w:t>
      </w:r>
      <w:r w:rsidR="00831B7A">
        <w:t>of the substance.</w:t>
      </w:r>
    </w:p>
    <w:p w14:paraId="1E742988" w14:textId="1A4618F6" w:rsidR="007003ED" w:rsidRPr="0010792D" w:rsidRDefault="00822C71" w:rsidP="00E27C3A">
      <w:pPr>
        <w:spacing w:after="240"/>
      </w:pPr>
      <w:r>
        <w:t xml:space="preserve">While the two written </w:t>
      </w:r>
      <w:r w:rsidR="00926C0B">
        <w:t xml:space="preserve">post-meeting </w:t>
      </w:r>
      <w:r>
        <w:t>submissions opposed the interim decision,</w:t>
      </w:r>
      <w:r w:rsidR="007003ED" w:rsidRPr="0010792D">
        <w:t xml:space="preserve"> the</w:t>
      </w:r>
      <w:r w:rsidR="0010792D">
        <w:t xml:space="preserve"> </w:t>
      </w:r>
      <w:r w:rsidR="00A81281">
        <w:t>majority of pre-meeting public submissions</w:t>
      </w:r>
      <w:r w:rsidR="002F5EC3">
        <w:t xml:space="preserve"> did not support the proposed rescheduling</w:t>
      </w:r>
      <w:r w:rsidR="00A81281">
        <w:t xml:space="preserve"> – including </w:t>
      </w:r>
      <w:r w:rsidR="002F5EC3">
        <w:t xml:space="preserve">responses </w:t>
      </w:r>
      <w:r w:rsidR="00A81281">
        <w:t xml:space="preserve">from several </w:t>
      </w:r>
      <w:r w:rsidR="00A81281" w:rsidRPr="0010792D">
        <w:t>as</w:t>
      </w:r>
      <w:r w:rsidR="00A81281">
        <w:t>thma peak representative bodies.</w:t>
      </w:r>
      <w:r w:rsidR="0010792D">
        <w:t xml:space="preserve"> </w:t>
      </w:r>
      <w:r>
        <w:t>Taking into consideration</w:t>
      </w:r>
      <w:r w:rsidR="00A81281">
        <w:t xml:space="preserve"> all</w:t>
      </w:r>
      <w:r w:rsidR="00EF08F0">
        <w:t xml:space="preserve"> submissions</w:t>
      </w:r>
      <w:r w:rsidR="008D1120">
        <w:t xml:space="preserve"> received</w:t>
      </w:r>
      <w:r w:rsidR="00EF08F0">
        <w:t>, I</w:t>
      </w:r>
      <w:r w:rsidR="0010792D" w:rsidRPr="0010792D">
        <w:t xml:space="preserve"> remain of the view that</w:t>
      </w:r>
      <w:r w:rsidR="0010792D" w:rsidRPr="0010792D">
        <w:rPr>
          <w:rFonts w:asciiTheme="minorHAnsi" w:hAnsiTheme="minorHAnsi"/>
          <w:bCs/>
          <w:szCs w:val="22"/>
        </w:rPr>
        <w:t xml:space="preserve"> the </w:t>
      </w:r>
      <w:r w:rsidR="00EF08F0">
        <w:rPr>
          <w:rFonts w:asciiTheme="minorHAnsi" w:hAnsiTheme="minorHAnsi"/>
          <w:bCs/>
          <w:szCs w:val="22"/>
        </w:rPr>
        <w:t>risks</w:t>
      </w:r>
      <w:r w:rsidR="00A81281">
        <w:rPr>
          <w:rFonts w:asciiTheme="minorHAnsi" w:hAnsiTheme="minorHAnsi"/>
          <w:bCs/>
          <w:szCs w:val="22"/>
        </w:rPr>
        <w:t xml:space="preserve">, and need for </w:t>
      </w:r>
      <w:r w:rsidR="0010792D" w:rsidRPr="0010792D">
        <w:rPr>
          <w:rFonts w:asciiTheme="minorHAnsi" w:hAnsiTheme="minorHAnsi"/>
          <w:bCs/>
          <w:szCs w:val="22"/>
        </w:rPr>
        <w:t>medical practitioner oversight</w:t>
      </w:r>
      <w:r w:rsidR="00A81281">
        <w:rPr>
          <w:rFonts w:asciiTheme="minorHAnsi" w:hAnsiTheme="minorHAnsi"/>
          <w:bCs/>
          <w:szCs w:val="22"/>
        </w:rPr>
        <w:t>,</w:t>
      </w:r>
      <w:r w:rsidR="0010792D" w:rsidRPr="0010792D">
        <w:rPr>
          <w:rFonts w:asciiTheme="minorHAnsi" w:hAnsiTheme="minorHAnsi"/>
          <w:bCs/>
          <w:szCs w:val="22"/>
        </w:rPr>
        <w:t xml:space="preserve"> </w:t>
      </w:r>
      <w:r w:rsidR="0010792D" w:rsidRPr="0010792D">
        <w:rPr>
          <w:lang w:eastAsia="en-AU"/>
        </w:rPr>
        <w:t>significantly outweigh the benefits of increased access.</w:t>
      </w:r>
      <w:r w:rsidR="0010792D" w:rsidRPr="0010792D">
        <w:t> </w:t>
      </w:r>
    </w:p>
    <w:p w14:paraId="70278371" w14:textId="0523CF95" w:rsidR="00A177FD" w:rsidRPr="00A177FD" w:rsidRDefault="00697C50" w:rsidP="00A177FD">
      <w:pPr>
        <w:pStyle w:val="Heading2"/>
      </w:pPr>
      <w:bookmarkStart w:id="35" w:name="_Toc69977417"/>
      <w:r>
        <w:t>Final</w:t>
      </w:r>
      <w:r w:rsidR="00F41DCE" w:rsidRPr="00FA029A">
        <w:t xml:space="preserve"> decisi</w:t>
      </w:r>
      <w:r w:rsidR="00F41DCE" w:rsidRPr="00AC209E">
        <w:t>ons</w:t>
      </w:r>
      <w:r w:rsidR="00F41DCE" w:rsidRPr="00FA029A">
        <w:t xml:space="preserve"> on proposed amendments referred to the </w:t>
      </w:r>
      <w:r w:rsidR="00F41DCE" w:rsidRPr="00F41DCE">
        <w:t>Advisory Commi</w:t>
      </w:r>
      <w:r w:rsidR="00F41DCE" w:rsidRPr="00C24C50">
        <w:t>ttee on Chemicals Scheduling (ACCS #</w:t>
      </w:r>
      <w:r w:rsidR="00AC209E" w:rsidRPr="00C24C50">
        <w:t>29</w:t>
      </w:r>
      <w:r w:rsidR="00F41DCE" w:rsidRPr="00C24C50">
        <w:t xml:space="preserve">, </w:t>
      </w:r>
      <w:r w:rsidR="00C24C50" w:rsidRPr="00C24C50">
        <w:t>November</w:t>
      </w:r>
      <w:r w:rsidR="00F41DCE" w:rsidRPr="00C24C50">
        <w:t xml:space="preserve"> 20</w:t>
      </w:r>
      <w:r w:rsidR="00C24C50" w:rsidRPr="00C24C50">
        <w:t>20</w:t>
      </w:r>
      <w:r w:rsidR="00F41DCE" w:rsidRPr="00C24C50">
        <w:t>)</w:t>
      </w:r>
      <w:bookmarkEnd w:id="35"/>
    </w:p>
    <w:p w14:paraId="56BDDF03" w14:textId="6D99A957" w:rsidR="00D72019" w:rsidRDefault="00AA68A3" w:rsidP="007426B9">
      <w:pPr>
        <w:pStyle w:val="Heading3"/>
      </w:pPr>
      <w:bookmarkStart w:id="36" w:name="_Toc69977418"/>
      <w:r>
        <w:t>Final</w:t>
      </w:r>
      <w:r w:rsidR="00D72019">
        <w:t xml:space="preserve"> decision in relation to azoxystrobin</w:t>
      </w:r>
      <w:bookmarkEnd w:id="36"/>
    </w:p>
    <w:p w14:paraId="727E566F" w14:textId="77777777" w:rsidR="0039416D" w:rsidRDefault="0039416D" w:rsidP="0039416D">
      <w:pPr>
        <w:pStyle w:val="Heading4"/>
      </w:pPr>
      <w:r>
        <w:t>Proposal</w:t>
      </w:r>
    </w:p>
    <w:p w14:paraId="73C6CA1F" w14:textId="21972067" w:rsidR="0039416D" w:rsidRPr="000D5645" w:rsidRDefault="00822C71" w:rsidP="0039416D">
      <w:r>
        <w:t xml:space="preserve">The applicant proposed an amendment to exempt </w:t>
      </w:r>
      <w:r w:rsidR="0039416D">
        <w:t xml:space="preserve">azoxystrobin from </w:t>
      </w:r>
      <w:r>
        <w:t>scheduling</w:t>
      </w:r>
      <w:r w:rsidR="0039416D">
        <w:t xml:space="preserve"> in preparations with a concentration of 10% or less.</w:t>
      </w:r>
      <w:r>
        <w:t xml:space="preserve"> Azoxystrobin is currently in Schedule 5.</w:t>
      </w:r>
    </w:p>
    <w:p w14:paraId="4D215B05" w14:textId="375CAF4D" w:rsidR="00D72019" w:rsidRPr="008036B7" w:rsidRDefault="00AA68A3" w:rsidP="007426B9">
      <w:pPr>
        <w:pStyle w:val="Heading4"/>
      </w:pPr>
      <w:r>
        <w:t>Final</w:t>
      </w:r>
      <w:r w:rsidR="007426B9">
        <w:t xml:space="preserve"> decision</w:t>
      </w:r>
    </w:p>
    <w:p w14:paraId="13AD9BFF" w14:textId="1B487821" w:rsidR="00D72019" w:rsidRDefault="00AA68A3" w:rsidP="00D72019">
      <w:r w:rsidRPr="00C21694">
        <w:t>Pursuant to regulation 42ZCZR of the Regulations, a Delegate of the Secretary has made a final decision to confirm the interim decision and not amend the current Poisons Standard in relation to</w:t>
      </w:r>
      <w:r w:rsidR="00D72019" w:rsidRPr="0089347D">
        <w:t xml:space="preserve"> azoxystrobin.</w:t>
      </w:r>
    </w:p>
    <w:p w14:paraId="06463C90" w14:textId="2E3C6554" w:rsidR="00D72019" w:rsidRPr="00CF61D1" w:rsidRDefault="007426B9" w:rsidP="00CF61D1">
      <w:pPr>
        <w:pStyle w:val="Heading4"/>
      </w:pPr>
      <w:r w:rsidRPr="00CF61D1">
        <w:t>Materials considered</w:t>
      </w:r>
    </w:p>
    <w:p w14:paraId="4F8E1942" w14:textId="46B8503B" w:rsidR="00D72019" w:rsidRDefault="00AA68A3" w:rsidP="007426B9">
      <w:r>
        <w:t>In making this final</w:t>
      </w:r>
      <w:r w:rsidR="00D72019">
        <w:t xml:space="preserve"> decision, the Delegate considered the following material:</w:t>
      </w:r>
    </w:p>
    <w:p w14:paraId="196BD49E" w14:textId="2F67DAB1" w:rsidR="00D72019" w:rsidRDefault="00D72019" w:rsidP="00D72019">
      <w:pPr>
        <w:pStyle w:val="ListBullet"/>
        <w:numPr>
          <w:ilvl w:val="0"/>
          <w:numId w:val="1"/>
        </w:numPr>
      </w:pPr>
      <w:r>
        <w:t xml:space="preserve">The </w:t>
      </w:r>
      <w:r w:rsidR="00CA6A77" w:rsidRPr="005A0661">
        <w:t>application</w:t>
      </w:r>
      <w:r>
        <w:rPr>
          <w:rStyle w:val="Hyperlink"/>
        </w:rPr>
        <w:t xml:space="preserve"> </w:t>
      </w:r>
      <w:r>
        <w:t>to amend the current Poisons Standard with respect to azoxystrobin;</w:t>
      </w:r>
    </w:p>
    <w:p w14:paraId="62B13D63" w14:textId="2DD97351" w:rsidR="00A177FD" w:rsidRDefault="00A177FD" w:rsidP="00A177FD">
      <w:pPr>
        <w:pStyle w:val="ListBullet"/>
        <w:numPr>
          <w:ilvl w:val="0"/>
          <w:numId w:val="1"/>
        </w:numPr>
      </w:pPr>
      <w:r>
        <w:t xml:space="preserve">The 124 </w:t>
      </w:r>
      <w:hyperlink r:id="rId35" w:history="1">
        <w:r w:rsidRPr="00905BFB">
          <w:rPr>
            <w:rStyle w:val="Hyperlink"/>
          </w:rPr>
          <w:t>public submissions</w:t>
        </w:r>
      </w:hyperlink>
      <w:r w:rsidR="00CE28B7" w:rsidRPr="00C85183">
        <w:t>,</w:t>
      </w:r>
      <w:r w:rsidR="001C6414" w:rsidRPr="00C85183">
        <w:t xml:space="preserve"> </w:t>
      </w:r>
      <w:r w:rsidR="00CE28B7" w:rsidRPr="00C85183">
        <w:t xml:space="preserve">which included no </w:t>
      </w:r>
      <w:r w:rsidR="001C6414" w:rsidRPr="00C85183">
        <w:t>written submissions,</w:t>
      </w:r>
      <w:r>
        <w:t xml:space="preserve"> received in response to t</w:t>
      </w:r>
      <w:r w:rsidRPr="00FD4B84">
        <w:t xml:space="preserve">he </w:t>
      </w:r>
      <w:hyperlink r:id="rId36" w:history="1">
        <w:r w:rsidRPr="00FD4B84">
          <w:rPr>
            <w:rStyle w:val="Hyperlink"/>
          </w:rPr>
          <w:t>pre-meeting consultation</w:t>
        </w:r>
      </w:hyperlink>
      <w:r>
        <w:t xml:space="preserve"> under regulation 42ZCZK of the Regulations;</w:t>
      </w:r>
    </w:p>
    <w:p w14:paraId="1BAA4D5A" w14:textId="6278CFCE" w:rsidR="00D72019" w:rsidRDefault="00D72019" w:rsidP="00D72019">
      <w:pPr>
        <w:pStyle w:val="ListBullet"/>
        <w:numPr>
          <w:ilvl w:val="0"/>
          <w:numId w:val="1"/>
        </w:numPr>
      </w:pPr>
      <w:r>
        <w:t>The advice received from th</w:t>
      </w:r>
      <w:r w:rsidRPr="00C51001">
        <w:t xml:space="preserve">e Meeting of the Advisory Committee on </w:t>
      </w:r>
      <w:r>
        <w:t>Chemicals Scheduling (ACC</w:t>
      </w:r>
      <w:r w:rsidRPr="00C51001">
        <w:t>S #</w:t>
      </w:r>
      <w:r>
        <w:t>29</w:t>
      </w:r>
      <w:r w:rsidRPr="00C51001">
        <w:t>);</w:t>
      </w:r>
    </w:p>
    <w:p w14:paraId="4FC8F112" w14:textId="534EB004" w:rsidR="00AA68A3" w:rsidRDefault="00AA68A3" w:rsidP="00AA68A3">
      <w:pPr>
        <w:pStyle w:val="ListBullet"/>
      </w:pPr>
      <w:r>
        <w:t xml:space="preserve">The </w:t>
      </w:r>
      <w:r w:rsidR="009745A7">
        <w:t>75</w:t>
      </w:r>
      <w:r w:rsidR="000E2B9F">
        <w:t xml:space="preserve"> </w:t>
      </w:r>
      <w:hyperlink r:id="rId37" w:history="1">
        <w:r w:rsidRPr="00937E6E">
          <w:rPr>
            <w:rStyle w:val="Hyperlink"/>
          </w:rPr>
          <w:t>public submissions</w:t>
        </w:r>
      </w:hyperlink>
      <w:r>
        <w:t xml:space="preserve">, </w:t>
      </w:r>
      <w:r w:rsidR="000E2B9F">
        <w:t>which included</w:t>
      </w:r>
      <w:r w:rsidRPr="00C85183">
        <w:t xml:space="preserve"> </w:t>
      </w:r>
      <w:r w:rsidR="000E2B9F">
        <w:t xml:space="preserve">no </w:t>
      </w:r>
      <w:r w:rsidRPr="00C85183">
        <w:t>written submissions,</w:t>
      </w:r>
      <w:r>
        <w:t xml:space="preserve"> received in response to the </w:t>
      </w:r>
      <w:r w:rsidR="001509EE"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sidR="00AE3FE3">
        <w:rPr>
          <w:rFonts w:asciiTheme="minorHAnsi" w:hAnsiTheme="minorHAnsi"/>
          <w:szCs w:val="22"/>
        </w:rPr>
        <w:t>;</w:t>
      </w:r>
    </w:p>
    <w:p w14:paraId="6F66268C" w14:textId="77777777" w:rsidR="00D72019" w:rsidRDefault="00D72019" w:rsidP="00D72019">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w:t>
      </w:r>
      <w:r>
        <w:t>d presentation of a substance;</w:t>
      </w:r>
      <w:r w:rsidRPr="001169AC">
        <w:t xml:space="preserve"> and (f) any other matters considered nece</w:t>
      </w:r>
      <w:r>
        <w:t>ssary to protect public health;</w:t>
      </w:r>
    </w:p>
    <w:p w14:paraId="3CE1B32F" w14:textId="77777777" w:rsidR="00D72019" w:rsidRDefault="00D72019" w:rsidP="00D72019">
      <w:pPr>
        <w:pStyle w:val="ListBullet"/>
        <w:numPr>
          <w:ilvl w:val="0"/>
          <w:numId w:val="1"/>
        </w:numPr>
      </w:pPr>
      <w:r w:rsidRPr="002C1418">
        <w:t xml:space="preserve">The Australian Health Ministers’ Advisory Council’s </w:t>
      </w:r>
      <w:hyperlink r:id="rId38" w:history="1">
        <w:r w:rsidRPr="001A7580">
          <w:rPr>
            <w:rStyle w:val="Hyperlink"/>
          </w:rPr>
          <w:t>Scheduling Policy Framework</w:t>
        </w:r>
      </w:hyperlink>
      <w:r>
        <w:t xml:space="preserve"> (SPF 2018</w:t>
      </w:r>
      <w:r w:rsidRPr="008D5FEB">
        <w:t>); and</w:t>
      </w:r>
    </w:p>
    <w:p w14:paraId="39A3E253" w14:textId="77777777" w:rsidR="00D72019" w:rsidRDefault="00D72019" w:rsidP="00D72019">
      <w:pPr>
        <w:pStyle w:val="ListBullet"/>
        <w:numPr>
          <w:ilvl w:val="0"/>
          <w:numId w:val="1"/>
        </w:numPr>
      </w:pPr>
      <w:r>
        <w:t xml:space="preserve">The </w:t>
      </w:r>
      <w:hyperlink r:id="rId39" w:history="1">
        <w:r w:rsidRPr="001A7580">
          <w:rPr>
            <w:rStyle w:val="Hyperlink"/>
          </w:rPr>
          <w:t>Scheduling handbook: Guidance for amending the Poisons Standard</w:t>
        </w:r>
      </w:hyperlink>
      <w:r>
        <w:t>.</w:t>
      </w:r>
    </w:p>
    <w:p w14:paraId="41208A8D" w14:textId="73AEDD7C" w:rsidR="00AF7023" w:rsidRPr="00B36764" w:rsidRDefault="00AF7023" w:rsidP="00AF7023">
      <w:pPr>
        <w:pStyle w:val="Heading4"/>
        <w:rPr>
          <w:rStyle w:val="Heading6Char"/>
          <w:rFonts w:eastAsia="Cambria"/>
          <w:b/>
          <w:i/>
        </w:rPr>
      </w:pPr>
      <w:r w:rsidRPr="00436C41">
        <w:t>Reasons for the final decision (including findings on material questions of fact)</w:t>
      </w:r>
      <w:r>
        <w:t xml:space="preserve"> </w:t>
      </w:r>
    </w:p>
    <w:p w14:paraId="552B406D" w14:textId="2B4E385F" w:rsidR="00D72019" w:rsidRPr="00AE3FE3" w:rsidRDefault="00AF7023" w:rsidP="00D72019">
      <w:r w:rsidRPr="0014113C">
        <w:t xml:space="preserve">I have made a final decision to confirm my </w:t>
      </w:r>
      <w:hyperlink r:id="rId40"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h respect to azoxystrobin</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r w:rsidR="00E779B6" w:rsidRPr="000E2B9F">
        <w:t>I note that no</w:t>
      </w:r>
      <w:r w:rsidR="00AE3FE3" w:rsidRPr="000E2B9F">
        <w:t xml:space="preserve"> written</w:t>
      </w:r>
      <w:r w:rsidR="00E779B6" w:rsidRPr="000E2B9F">
        <w:t xml:space="preserve"> public submissions were received in response to the interim decision. </w:t>
      </w:r>
    </w:p>
    <w:p w14:paraId="77537C65" w14:textId="3FFBAACC" w:rsidR="00D72019" w:rsidRDefault="00AE3FE3" w:rsidP="00893167">
      <w:pPr>
        <w:pStyle w:val="Heading3"/>
      </w:pPr>
      <w:bookmarkStart w:id="37" w:name="_Toc69977419"/>
      <w:r>
        <w:t>Final</w:t>
      </w:r>
      <w:r w:rsidR="00D72019">
        <w:t xml:space="preserve"> decision in relation to triticonazole</w:t>
      </w:r>
      <w:bookmarkEnd w:id="37"/>
    </w:p>
    <w:p w14:paraId="77B0C85D" w14:textId="77777777" w:rsidR="0039416D" w:rsidRDefault="0039416D" w:rsidP="0039416D">
      <w:pPr>
        <w:pStyle w:val="Heading4"/>
      </w:pPr>
      <w:r>
        <w:t>Proposal</w:t>
      </w:r>
    </w:p>
    <w:p w14:paraId="540388A0" w14:textId="10BAC55C" w:rsidR="0039416D" w:rsidRPr="000D5645" w:rsidRDefault="00F111FA" w:rsidP="0039416D">
      <w:r>
        <w:t>The applicant proposed an amendment to exempt</w:t>
      </w:r>
      <w:r w:rsidR="0039416D">
        <w:t xml:space="preserve"> triticonazole from </w:t>
      </w:r>
      <w:r>
        <w:t xml:space="preserve">scheduling </w:t>
      </w:r>
      <w:r w:rsidR="0039416D">
        <w:t>in preparations with a concentration of 20% or less.</w:t>
      </w:r>
      <w:r>
        <w:t xml:space="preserve"> Triticonazole is currently in Schedule 5. </w:t>
      </w:r>
    </w:p>
    <w:p w14:paraId="58D836FC" w14:textId="4F93A2F4" w:rsidR="00D72019" w:rsidRPr="008036B7" w:rsidRDefault="00AE3FE3" w:rsidP="007426B9">
      <w:pPr>
        <w:pStyle w:val="Heading4"/>
      </w:pPr>
      <w:r>
        <w:t>Final</w:t>
      </w:r>
      <w:r w:rsidR="007426B9">
        <w:t xml:space="preserve"> decision</w:t>
      </w:r>
    </w:p>
    <w:p w14:paraId="79C24AF8" w14:textId="6013C16F" w:rsidR="00D72019" w:rsidRDefault="00AE3FE3" w:rsidP="00D72019">
      <w:r w:rsidRPr="00C21694">
        <w:t>Pursuant to regulation 42ZCZR of the Regulations, a Delegate of the Secretary has made a final decision to confirm the interim decision and not amend the current Poisons Standard in relation to</w:t>
      </w:r>
      <w:r w:rsidR="00D72019" w:rsidRPr="000C41EC">
        <w:t xml:space="preserve"> triticonazole.</w:t>
      </w:r>
    </w:p>
    <w:p w14:paraId="2DC2FBBD" w14:textId="36D71F68" w:rsidR="00D72019" w:rsidRDefault="00D72019" w:rsidP="007426B9">
      <w:pPr>
        <w:pStyle w:val="Heading4"/>
      </w:pPr>
      <w:r>
        <w:t>Materials considered</w:t>
      </w:r>
    </w:p>
    <w:p w14:paraId="2C404E03" w14:textId="161D7335" w:rsidR="00D72019" w:rsidRDefault="00AE3FE3" w:rsidP="00D72019">
      <w:r>
        <w:t>In making this final</w:t>
      </w:r>
      <w:r w:rsidR="00D72019">
        <w:t xml:space="preserve"> decision, the Delegate considered the following material:</w:t>
      </w:r>
    </w:p>
    <w:p w14:paraId="39FDA674" w14:textId="6F431EC6" w:rsidR="00D72019" w:rsidRDefault="00D72019" w:rsidP="00D72019">
      <w:pPr>
        <w:pStyle w:val="ListBullet"/>
        <w:numPr>
          <w:ilvl w:val="0"/>
          <w:numId w:val="1"/>
        </w:numPr>
      </w:pPr>
      <w:r>
        <w:t xml:space="preserve">The </w:t>
      </w:r>
      <w:r w:rsidR="00CA6A77" w:rsidRPr="005A0661">
        <w:t>application</w:t>
      </w:r>
      <w:r>
        <w:rPr>
          <w:rStyle w:val="Hyperlink"/>
        </w:rPr>
        <w:t xml:space="preserve"> </w:t>
      </w:r>
      <w:r>
        <w:t>to amend the current Poisons Standard with respect to triticonazole;</w:t>
      </w:r>
    </w:p>
    <w:p w14:paraId="52D040D5" w14:textId="272C95A0" w:rsidR="00A177FD" w:rsidRDefault="00A177FD" w:rsidP="00A177FD">
      <w:pPr>
        <w:pStyle w:val="ListBullet"/>
        <w:numPr>
          <w:ilvl w:val="0"/>
          <w:numId w:val="1"/>
        </w:numPr>
      </w:pPr>
      <w:r>
        <w:t xml:space="preserve">The 124 </w:t>
      </w:r>
      <w:hyperlink r:id="rId41" w:history="1">
        <w:r w:rsidRPr="00905BFB">
          <w:rPr>
            <w:rStyle w:val="Hyperlink"/>
          </w:rPr>
          <w:t>public submissions</w:t>
        </w:r>
      </w:hyperlink>
      <w:r w:rsidR="00CE28B7" w:rsidRPr="008D5396">
        <w:t>, which included no written submissions,</w:t>
      </w:r>
      <w:r w:rsidRPr="008D5396">
        <w:t xml:space="preserve"> </w:t>
      </w:r>
      <w:r>
        <w:t>received in response to t</w:t>
      </w:r>
      <w:r w:rsidRPr="00FD4B84">
        <w:t xml:space="preserve">he </w:t>
      </w:r>
      <w:hyperlink r:id="rId42" w:history="1">
        <w:r w:rsidRPr="00FD4B84">
          <w:rPr>
            <w:rStyle w:val="Hyperlink"/>
          </w:rPr>
          <w:t>pre-meeting consultation</w:t>
        </w:r>
      </w:hyperlink>
      <w:r>
        <w:t xml:space="preserve"> under regulation 42ZCZK of the Regulations;</w:t>
      </w:r>
    </w:p>
    <w:p w14:paraId="13C2A09B" w14:textId="63C4746A" w:rsidR="00D72019" w:rsidRDefault="00D72019" w:rsidP="00D72019">
      <w:pPr>
        <w:pStyle w:val="ListBullet"/>
        <w:numPr>
          <w:ilvl w:val="0"/>
          <w:numId w:val="1"/>
        </w:numPr>
      </w:pPr>
      <w:r>
        <w:t>The advice received from th</w:t>
      </w:r>
      <w:r w:rsidRPr="00C51001">
        <w:t xml:space="preserve">e Meeting of the Advisory Committee on </w:t>
      </w:r>
      <w:r>
        <w:t>Chemicals Scheduling (ACC</w:t>
      </w:r>
      <w:r w:rsidRPr="00C51001">
        <w:t>S #</w:t>
      </w:r>
      <w:r>
        <w:t>29</w:t>
      </w:r>
      <w:r w:rsidRPr="00C51001">
        <w:t>);</w:t>
      </w:r>
    </w:p>
    <w:p w14:paraId="02B2F448" w14:textId="0EDC86CF" w:rsidR="00AE3FE3" w:rsidRDefault="00AE3FE3" w:rsidP="00AE3FE3">
      <w:pPr>
        <w:pStyle w:val="ListBullet"/>
      </w:pPr>
      <w:r>
        <w:t xml:space="preserve">The </w:t>
      </w:r>
      <w:r w:rsidR="009745A7">
        <w:t>77</w:t>
      </w:r>
      <w:r w:rsidR="000E2B9F">
        <w:t xml:space="preserve"> </w:t>
      </w:r>
      <w:hyperlink r:id="rId43" w:history="1">
        <w:r w:rsidRPr="00937E6E">
          <w:rPr>
            <w:rStyle w:val="Hyperlink"/>
          </w:rPr>
          <w:t>public submissions</w:t>
        </w:r>
      </w:hyperlink>
      <w:r>
        <w:t xml:space="preserve">, </w:t>
      </w:r>
      <w:r w:rsidR="000E2B9F">
        <w:t>which included</w:t>
      </w:r>
      <w:r w:rsidRPr="00C85183">
        <w:t xml:space="preserve"> </w:t>
      </w:r>
      <w:r w:rsidR="000E2B9F" w:rsidRPr="000E2B9F">
        <w:t>no</w:t>
      </w:r>
      <w:r w:rsidRPr="00C85183">
        <w:t xml:space="preserve"> written submissions,</w:t>
      </w:r>
      <w:r>
        <w:t xml:space="preserve"> received in response to the </w:t>
      </w:r>
      <w:r w:rsidR="001509EE"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2C9813C8" w14:textId="77777777" w:rsidR="00D72019" w:rsidRDefault="00D72019" w:rsidP="00D72019">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w:t>
      </w:r>
      <w:r>
        <w:t>d presentation of a substance;</w:t>
      </w:r>
      <w:r w:rsidRPr="001169AC">
        <w:t xml:space="preserve"> and (f) any other matters considered nece</w:t>
      </w:r>
      <w:r>
        <w:t>ssary to protect public health;</w:t>
      </w:r>
    </w:p>
    <w:p w14:paraId="613B9F58" w14:textId="77777777" w:rsidR="00D72019" w:rsidRDefault="00D72019" w:rsidP="00D72019">
      <w:pPr>
        <w:pStyle w:val="ListBullet"/>
        <w:numPr>
          <w:ilvl w:val="0"/>
          <w:numId w:val="1"/>
        </w:numPr>
      </w:pPr>
      <w:r w:rsidRPr="002C1418">
        <w:t xml:space="preserve">The Australian Health Ministers’ Advisory Council’s </w:t>
      </w:r>
      <w:hyperlink r:id="rId44" w:history="1">
        <w:r w:rsidRPr="001A7580">
          <w:rPr>
            <w:rStyle w:val="Hyperlink"/>
          </w:rPr>
          <w:t>Scheduling Policy Framework</w:t>
        </w:r>
      </w:hyperlink>
      <w:r>
        <w:t xml:space="preserve"> (SPF 2018</w:t>
      </w:r>
      <w:r w:rsidRPr="008D5FEB">
        <w:t>); and</w:t>
      </w:r>
    </w:p>
    <w:p w14:paraId="475CDBF1" w14:textId="77777777" w:rsidR="00D72019" w:rsidRDefault="00D72019" w:rsidP="00D72019">
      <w:pPr>
        <w:pStyle w:val="ListBullet"/>
        <w:numPr>
          <w:ilvl w:val="0"/>
          <w:numId w:val="1"/>
        </w:numPr>
      </w:pPr>
      <w:r>
        <w:t xml:space="preserve">The </w:t>
      </w:r>
      <w:hyperlink r:id="rId45" w:history="1">
        <w:r w:rsidRPr="001A7580">
          <w:rPr>
            <w:rStyle w:val="Hyperlink"/>
          </w:rPr>
          <w:t>Scheduling handbook: Guidance for amending the Poisons Standard</w:t>
        </w:r>
      </w:hyperlink>
      <w:r>
        <w:t>.</w:t>
      </w:r>
    </w:p>
    <w:p w14:paraId="51F445FA" w14:textId="77777777" w:rsidR="00FE3D96" w:rsidRPr="00B36764" w:rsidRDefault="00FE3D96" w:rsidP="00FE3D96">
      <w:pPr>
        <w:pStyle w:val="Heading4"/>
        <w:rPr>
          <w:rStyle w:val="Heading6Char"/>
          <w:rFonts w:eastAsia="Cambria"/>
          <w:b/>
          <w:i/>
        </w:rPr>
      </w:pPr>
      <w:r w:rsidRPr="00436C41">
        <w:t>Reasons for the final decision (including findings on material questions of fact)</w:t>
      </w:r>
      <w:r>
        <w:t xml:space="preserve"> </w:t>
      </w:r>
    </w:p>
    <w:p w14:paraId="6CEB94D5" w14:textId="2D09C32F" w:rsidR="00804F8F" w:rsidRPr="00AE3FE3" w:rsidRDefault="00804F8F" w:rsidP="00804F8F">
      <w:r w:rsidRPr="0014113C">
        <w:t xml:space="preserve">I have made a final decision to confirm my </w:t>
      </w:r>
      <w:hyperlink r:id="rId46"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h respect to triticonazole</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r w:rsidRPr="000E2B9F">
        <w:t>I note that no written public submissions were received in response to the interim decision. </w:t>
      </w:r>
    </w:p>
    <w:p w14:paraId="7C82034B" w14:textId="5C3A94E3" w:rsidR="00893167" w:rsidRPr="00893167" w:rsidRDefault="00804F8F" w:rsidP="00074560">
      <w:pPr>
        <w:pStyle w:val="Heading2"/>
      </w:pPr>
      <w:bookmarkStart w:id="38" w:name="_Toc47103709"/>
      <w:bookmarkStart w:id="39" w:name="_Toc69977420"/>
      <w:r>
        <w:t>Final</w:t>
      </w:r>
      <w:r w:rsidR="0015522E" w:rsidRPr="00D72019">
        <w:t xml:space="preserve"> decisions on proposed amendments referred to the Advisory Committee on Medicines and Chemicals Scheduling in joint session (Joint ACMS-ACCS #</w:t>
      </w:r>
      <w:r w:rsidR="00D72019" w:rsidRPr="00D72019">
        <w:t>26</w:t>
      </w:r>
      <w:r w:rsidR="0015522E" w:rsidRPr="00D72019">
        <w:t xml:space="preserve">, </w:t>
      </w:r>
      <w:r w:rsidR="00D72019" w:rsidRPr="00D72019">
        <w:t>November</w:t>
      </w:r>
      <w:r w:rsidR="0015522E" w:rsidRPr="00D72019">
        <w:t xml:space="preserve"> 20</w:t>
      </w:r>
      <w:r w:rsidR="00D72019" w:rsidRPr="00D72019">
        <w:t>20</w:t>
      </w:r>
      <w:bookmarkEnd w:id="38"/>
      <w:r w:rsidR="00893167">
        <w:t>)</w:t>
      </w:r>
      <w:bookmarkEnd w:id="39"/>
    </w:p>
    <w:p w14:paraId="4401B574" w14:textId="55811155" w:rsidR="00D72019" w:rsidRDefault="00804F8F" w:rsidP="00074560">
      <w:pPr>
        <w:pStyle w:val="Heading3"/>
      </w:pPr>
      <w:bookmarkStart w:id="40" w:name="_Toc69977421"/>
      <w:r>
        <w:t>Final</w:t>
      </w:r>
      <w:r w:rsidR="00D72019">
        <w:t xml:space="preserve"> decision in relation to azelaic acid</w:t>
      </w:r>
      <w:bookmarkEnd w:id="40"/>
    </w:p>
    <w:p w14:paraId="31CB9C2D" w14:textId="77777777" w:rsidR="0039416D" w:rsidRDefault="0039416D" w:rsidP="0039416D">
      <w:pPr>
        <w:pStyle w:val="Heading4"/>
      </w:pPr>
      <w:r>
        <w:t>Proposal</w:t>
      </w:r>
    </w:p>
    <w:p w14:paraId="75645D8E" w14:textId="45A7E3D4" w:rsidR="005E4BB5" w:rsidRPr="000D5645" w:rsidRDefault="005E4BB5" w:rsidP="005E4BB5">
      <w:r>
        <w:t xml:space="preserve">The applicant proposed amendments to the scheduling of azelaic acid with the intent that it is down-scheduled </w:t>
      </w:r>
      <w:r w:rsidR="00B4544E" w:rsidRPr="00B4544E">
        <w:t xml:space="preserve">to general sales level (unscheduled) in topical preparations </w:t>
      </w:r>
      <w:r w:rsidR="00D53163">
        <w:t>with</w:t>
      </w:r>
      <w:r w:rsidR="00B4544E" w:rsidRPr="00B4544E">
        <w:t xml:space="preserve"> a concentration of 10% </w:t>
      </w:r>
      <w:r w:rsidR="00B4544E" w:rsidRPr="00FB54DC">
        <w:t>or less</w:t>
      </w:r>
      <w:r w:rsidR="00FB54DC" w:rsidRPr="00FB54DC">
        <w:t>.</w:t>
      </w:r>
      <w:r w:rsidR="005A0661" w:rsidRPr="00FB54DC">
        <w:t xml:space="preserve"> The proposal w</w:t>
      </w:r>
      <w:r w:rsidR="005A0661">
        <w:t xml:space="preserve">ould </w:t>
      </w:r>
      <w:r w:rsidR="00FB54DC">
        <w:t xml:space="preserve">also </w:t>
      </w:r>
      <w:r w:rsidR="005A0661">
        <w:t>c</w:t>
      </w:r>
      <w:r w:rsidR="00406071">
        <w:t xml:space="preserve">reate a new Schedule 5 entry for all </w:t>
      </w:r>
      <w:r w:rsidR="00B4544E" w:rsidRPr="00B4544E">
        <w:t>therapeutic and cosmetic preparations with a concentratio</w:t>
      </w:r>
      <w:r>
        <w:t>n greater than 10%</w:t>
      </w:r>
      <w:r w:rsidR="00B4544E" w:rsidRPr="00B4544E">
        <w:t>.</w:t>
      </w:r>
      <w:r w:rsidRPr="005E4BB5">
        <w:t xml:space="preserve"> </w:t>
      </w:r>
      <w:r w:rsidR="00406071">
        <w:t>Azelaic acid is currently unscheduled for preparations with less than 1% for non-human use</w:t>
      </w:r>
      <w:r w:rsidR="005A0661">
        <w:t>. D</w:t>
      </w:r>
      <w:r w:rsidR="00406071">
        <w:t>ermal preparations are in Schedule 2 (pharmacy only) and the remainder of products are in Schedule 4 (prescription only).</w:t>
      </w:r>
    </w:p>
    <w:p w14:paraId="109AFC3C" w14:textId="228B5DA2" w:rsidR="00D72019" w:rsidRPr="008036B7" w:rsidRDefault="00804F8F" w:rsidP="00074560">
      <w:pPr>
        <w:pStyle w:val="Heading4"/>
      </w:pPr>
      <w:r>
        <w:t>Final</w:t>
      </w:r>
      <w:r w:rsidR="00074560">
        <w:t xml:space="preserve"> decision</w:t>
      </w:r>
    </w:p>
    <w:p w14:paraId="24CB3C27" w14:textId="080615A7" w:rsidR="00D72019" w:rsidRDefault="00804F8F" w:rsidP="00D72019">
      <w:r w:rsidRPr="00C21694">
        <w:t>Pursuant to regulation 42ZCZR of the Regulations, a Delegate of the Secretary has made a final decision to confirm the interim decision and not amend the current Poisons Standard in relation to</w:t>
      </w:r>
      <w:r w:rsidR="00D72019" w:rsidRPr="0034194E">
        <w:t xml:space="preserve"> azelaic acid.</w:t>
      </w:r>
    </w:p>
    <w:p w14:paraId="23CF5A0B" w14:textId="12E8F1A4" w:rsidR="00D72019" w:rsidRDefault="00D72019" w:rsidP="00074560">
      <w:pPr>
        <w:pStyle w:val="Heading4"/>
      </w:pPr>
      <w:r>
        <w:t>Materials con</w:t>
      </w:r>
      <w:r w:rsidR="00074560">
        <w:t>sidered</w:t>
      </w:r>
    </w:p>
    <w:p w14:paraId="64BE2279" w14:textId="6C86BC01" w:rsidR="00D72019" w:rsidRDefault="00D72019" w:rsidP="00074560">
      <w:r>
        <w:t>I</w:t>
      </w:r>
      <w:r w:rsidR="00804F8F">
        <w:t>n making this final</w:t>
      </w:r>
      <w:r>
        <w:t xml:space="preserve"> decision, the Delegate considered the following material:</w:t>
      </w:r>
    </w:p>
    <w:p w14:paraId="6D3D6AEC" w14:textId="77777777" w:rsidR="00D72019" w:rsidRDefault="00D72019" w:rsidP="00D72019">
      <w:pPr>
        <w:pStyle w:val="ListBullet"/>
        <w:numPr>
          <w:ilvl w:val="0"/>
          <w:numId w:val="1"/>
        </w:numPr>
      </w:pPr>
      <w:r>
        <w:t xml:space="preserve">The </w:t>
      </w:r>
      <w:hyperlink r:id="rId47" w:history="1">
        <w:r w:rsidRPr="0034194E">
          <w:rPr>
            <w:rStyle w:val="Hyperlink"/>
          </w:rPr>
          <w:t>application</w:t>
        </w:r>
      </w:hyperlink>
      <w:r>
        <w:t xml:space="preserve"> to amend the current Poisons Standard with respect to azelaic acid;</w:t>
      </w:r>
    </w:p>
    <w:p w14:paraId="683BE04F" w14:textId="5DAFD001" w:rsidR="00D72019" w:rsidRDefault="00D72019" w:rsidP="00D72019">
      <w:pPr>
        <w:pStyle w:val="ListBullet"/>
        <w:numPr>
          <w:ilvl w:val="0"/>
          <w:numId w:val="1"/>
        </w:numPr>
      </w:pPr>
      <w:r>
        <w:t xml:space="preserve">The </w:t>
      </w:r>
      <w:r w:rsidR="00AB76F6">
        <w:t>129</w:t>
      </w:r>
      <w:r>
        <w:t xml:space="preserve"> </w:t>
      </w:r>
      <w:hyperlink r:id="rId48" w:history="1">
        <w:r w:rsidRPr="00905BFB">
          <w:rPr>
            <w:rStyle w:val="Hyperlink"/>
          </w:rPr>
          <w:t>public submissions</w:t>
        </w:r>
      </w:hyperlink>
      <w:r w:rsidR="00CE28B7" w:rsidRPr="008D5396">
        <w:t>, including seven written submissions,</w:t>
      </w:r>
      <w:r>
        <w:t xml:space="preserve"> received in response to the </w:t>
      </w:r>
      <w:hyperlink r:id="rId49" w:history="1">
        <w:r w:rsidRPr="008B04C4">
          <w:rPr>
            <w:rStyle w:val="Hyperlink"/>
          </w:rPr>
          <w:t>pre-meeting consultation</w:t>
        </w:r>
      </w:hyperlink>
      <w:r>
        <w:t xml:space="preserve"> under regulation 42ZCZK of the Regulations</w:t>
      </w:r>
      <w:r w:rsidR="00075612">
        <w:t>;</w:t>
      </w:r>
    </w:p>
    <w:p w14:paraId="5C192B36" w14:textId="64EE08D7" w:rsidR="00D72019" w:rsidRDefault="00D72019" w:rsidP="00D72019">
      <w:pPr>
        <w:pStyle w:val="ListBullet"/>
        <w:numPr>
          <w:ilvl w:val="0"/>
          <w:numId w:val="1"/>
        </w:numPr>
      </w:pPr>
      <w:r>
        <w:t>The advice received from th</w:t>
      </w:r>
      <w:r w:rsidRPr="00C51001">
        <w:t xml:space="preserve">e </w:t>
      </w:r>
      <w:r w:rsidRPr="00487D10">
        <w:t>Advisory Committee on Medicines and Chemicals Scheduling in joi</w:t>
      </w:r>
      <w:r>
        <w:t>nt session (Joint ACMS-ACCS #</w:t>
      </w:r>
      <w:r w:rsidRPr="008B04C4">
        <w:t>26</w:t>
      </w:r>
      <w:r>
        <w:t>)</w:t>
      </w:r>
      <w:r w:rsidRPr="00C51001">
        <w:t>;</w:t>
      </w:r>
    </w:p>
    <w:p w14:paraId="1AD6160C" w14:textId="708FC5FA" w:rsidR="00B65D5C" w:rsidRDefault="00B65D5C" w:rsidP="00B65D5C">
      <w:pPr>
        <w:pStyle w:val="ListBullet"/>
      </w:pPr>
      <w:r>
        <w:t xml:space="preserve">The </w:t>
      </w:r>
      <w:r w:rsidR="009745A7">
        <w:t>91</w:t>
      </w:r>
      <w:r w:rsidR="000E2B9F">
        <w:t xml:space="preserve"> </w:t>
      </w:r>
      <w:hyperlink r:id="rId50" w:history="1">
        <w:r w:rsidRPr="00937E6E">
          <w:rPr>
            <w:rStyle w:val="Hyperlink"/>
          </w:rPr>
          <w:t>public submissions</w:t>
        </w:r>
      </w:hyperlink>
      <w:r>
        <w:t xml:space="preserve">, </w:t>
      </w:r>
      <w:r w:rsidRPr="00C85183">
        <w:t xml:space="preserve">including </w:t>
      </w:r>
      <w:r w:rsidR="000B1220">
        <w:t xml:space="preserve">one </w:t>
      </w:r>
      <w:r w:rsidR="000E2B9F">
        <w:t>written submission</w:t>
      </w:r>
      <w:r w:rsidRPr="00C85183">
        <w:t>,</w:t>
      </w:r>
      <w:r>
        <w:t xml:space="preserve"> received in response to the </w:t>
      </w:r>
      <w:r w:rsidR="001509EE"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4C9BA1C4" w14:textId="77777777" w:rsidR="00D72019" w:rsidRDefault="00D72019" w:rsidP="00D72019">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and (f) any other matters considered nece</w:t>
      </w:r>
      <w:r>
        <w:t>ssary to protect public health;</w:t>
      </w:r>
    </w:p>
    <w:p w14:paraId="0999AC4E" w14:textId="77777777" w:rsidR="00D72019" w:rsidRDefault="00D72019" w:rsidP="00D72019">
      <w:pPr>
        <w:pStyle w:val="ListBullet"/>
        <w:numPr>
          <w:ilvl w:val="0"/>
          <w:numId w:val="1"/>
        </w:numPr>
      </w:pPr>
      <w:r w:rsidRPr="002C1418">
        <w:t xml:space="preserve">The Australian Health Ministers’ Advisory Council’s </w:t>
      </w:r>
      <w:hyperlink r:id="rId51" w:history="1">
        <w:r w:rsidRPr="001A7580">
          <w:rPr>
            <w:rStyle w:val="Hyperlink"/>
          </w:rPr>
          <w:t>Scheduling Policy Framework</w:t>
        </w:r>
      </w:hyperlink>
      <w:r>
        <w:t xml:space="preserve"> (SPF 2018); </w:t>
      </w:r>
      <w:r w:rsidRPr="00D94FB3">
        <w:t>and</w:t>
      </w:r>
    </w:p>
    <w:p w14:paraId="6773E67A" w14:textId="5F3B7FAB" w:rsidR="00D72019" w:rsidRDefault="00D72019" w:rsidP="00D72019">
      <w:pPr>
        <w:pStyle w:val="ListBullet"/>
        <w:numPr>
          <w:ilvl w:val="0"/>
          <w:numId w:val="1"/>
        </w:numPr>
      </w:pPr>
      <w:r>
        <w:t xml:space="preserve">The </w:t>
      </w:r>
      <w:hyperlink r:id="rId52" w:history="1">
        <w:r w:rsidRPr="001A7580">
          <w:rPr>
            <w:rStyle w:val="Hyperlink"/>
          </w:rPr>
          <w:t>Scheduling handbook: Guidance for amending the Poisons Standard</w:t>
        </w:r>
      </w:hyperlink>
      <w:r>
        <w:t>.</w:t>
      </w:r>
    </w:p>
    <w:p w14:paraId="7E5B3904" w14:textId="75524DB6" w:rsidR="00D72019" w:rsidRPr="002C61B3" w:rsidRDefault="007A0D56" w:rsidP="008B1EFB">
      <w:pPr>
        <w:pStyle w:val="Heading4"/>
      </w:pPr>
      <w:r>
        <w:t>Reasons for the final</w:t>
      </w:r>
      <w:r w:rsidR="00D72019" w:rsidRPr="00436C41">
        <w:t xml:space="preserve"> decision (including findings on material questions of fact)</w:t>
      </w:r>
    </w:p>
    <w:p w14:paraId="7D7D221C" w14:textId="77777777" w:rsidR="003A5F97" w:rsidRDefault="00FE3D96" w:rsidP="00D72019">
      <w:r w:rsidRPr="0014113C">
        <w:t xml:space="preserve">I have made a final decision to confirm my </w:t>
      </w:r>
      <w:hyperlink r:id="rId53"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h respect to azelaic acid</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p>
    <w:p w14:paraId="746A7E31" w14:textId="3D9386FA" w:rsidR="00A80AF1" w:rsidRDefault="002B06A7" w:rsidP="00D72019">
      <w:r w:rsidRPr="00495EB5">
        <w:t>I note that one written public submission was received, from Accord Australasia, which was partially supportive of the interim decision.</w:t>
      </w:r>
      <w:r w:rsidR="009B3D15" w:rsidRPr="00495EB5">
        <w:t xml:space="preserve"> The submission highlighted that </w:t>
      </w:r>
      <w:r w:rsidR="00495EB5" w:rsidRPr="00495EB5">
        <w:t xml:space="preserve">cosmetic </w:t>
      </w:r>
      <w:r w:rsidR="009B3D15" w:rsidRPr="00495EB5">
        <w:t>azelaic acid</w:t>
      </w:r>
      <w:r w:rsidR="00495EB5" w:rsidRPr="00495EB5">
        <w:t xml:space="preserve"> products have fewer restrictions in comparable overseas markets</w:t>
      </w:r>
      <w:r w:rsidR="007451AD">
        <w:t>,</w:t>
      </w:r>
      <w:r w:rsidR="00EE5B70">
        <w:t xml:space="preserve"> such as the EU, US and New Zealand,</w:t>
      </w:r>
      <w:r w:rsidR="007451AD">
        <w:t xml:space="preserve"> and that </w:t>
      </w:r>
      <w:r w:rsidR="00406071">
        <w:t xml:space="preserve">the view expressed in the submission was that </w:t>
      </w:r>
      <w:r w:rsidR="007451AD">
        <w:t>Australia should harmonise its scheduling controls</w:t>
      </w:r>
      <w:r w:rsidR="00EE5B70">
        <w:t xml:space="preserve"> with these countries</w:t>
      </w:r>
      <w:r w:rsidR="009B3D15" w:rsidRPr="00495EB5">
        <w:t xml:space="preserve">. </w:t>
      </w:r>
      <w:r w:rsidR="00F111FA">
        <w:t>This scheduling decision does not preclude future applications to harmonise scheduling controls.</w:t>
      </w:r>
      <w:r w:rsidR="00A80AF1">
        <w:t xml:space="preserve"> However, </w:t>
      </w:r>
      <w:r w:rsidR="007451AD">
        <w:t xml:space="preserve">the current application </w:t>
      </w:r>
      <w:r w:rsidR="00947AC6" w:rsidRPr="00495EB5">
        <w:t>did not include sufficient supporting evidence to warrant rescheduling</w:t>
      </w:r>
      <w:r w:rsidR="00F111FA">
        <w:t xml:space="preserve"> at this time</w:t>
      </w:r>
      <w:r w:rsidR="00947AC6" w:rsidRPr="00495EB5">
        <w:t>.</w:t>
      </w:r>
      <w:r w:rsidR="00947AC6">
        <w:t xml:space="preserve"> </w:t>
      </w:r>
    </w:p>
    <w:p w14:paraId="76764A32" w14:textId="4FDF989D" w:rsidR="00432FC5" w:rsidRDefault="00FE3D96" w:rsidP="00A35BA2">
      <w:pPr>
        <w:pStyle w:val="Heading3"/>
      </w:pPr>
      <w:bookmarkStart w:id="41" w:name="_Toc69977422"/>
      <w:r>
        <w:t>Final</w:t>
      </w:r>
      <w:r w:rsidR="00432FC5">
        <w:t xml:space="preserve"> decision in relation to 2-hydroxyethyl methacrylate (2-HEMA)</w:t>
      </w:r>
      <w:bookmarkEnd w:id="41"/>
    </w:p>
    <w:p w14:paraId="4F9DE222" w14:textId="77777777" w:rsidR="0039416D" w:rsidRDefault="0039416D" w:rsidP="0039416D">
      <w:pPr>
        <w:pStyle w:val="Heading4"/>
      </w:pPr>
      <w:r>
        <w:t>Proposal</w:t>
      </w:r>
    </w:p>
    <w:p w14:paraId="76F914BB" w14:textId="588EEDE9" w:rsidR="0039416D" w:rsidRPr="000D5645" w:rsidRDefault="00CA6A77" w:rsidP="0039416D">
      <w:r>
        <w:t>T</w:t>
      </w:r>
      <w:r w:rsidR="00ED72F3">
        <w:t xml:space="preserve">he </w:t>
      </w:r>
      <w:r w:rsidR="00530625">
        <w:t>applicant proposed an</w:t>
      </w:r>
      <w:r>
        <w:t xml:space="preserve"> amend</w:t>
      </w:r>
      <w:r w:rsidR="00530625">
        <w:t>ment to the Schedule 5 entry for</w:t>
      </w:r>
      <w:r w:rsidR="0039416D">
        <w:t xml:space="preserve"> </w:t>
      </w:r>
      <w:r w:rsidR="00926541">
        <w:t>2-hydroxyethyl methacrylate</w:t>
      </w:r>
      <w:r w:rsidR="0039416D">
        <w:t xml:space="preserve"> </w:t>
      </w:r>
      <w:r>
        <w:t xml:space="preserve">to </w:t>
      </w:r>
      <w:r w:rsidR="00530625">
        <w:t xml:space="preserve">exempt </w:t>
      </w:r>
      <w:r w:rsidR="0039416D">
        <w:t>concentration</w:t>
      </w:r>
      <w:r>
        <w:t>s</w:t>
      </w:r>
      <w:r w:rsidR="0039416D">
        <w:t xml:space="preserve"> of</w:t>
      </w:r>
      <w:r w:rsidR="00926541">
        <w:t xml:space="preserve"> 1</w:t>
      </w:r>
      <w:r w:rsidR="0039416D">
        <w:t>% or less</w:t>
      </w:r>
      <w:r>
        <w:t xml:space="preserve"> </w:t>
      </w:r>
      <w:r w:rsidR="00530625">
        <w:t>from scheduling</w:t>
      </w:r>
      <w:r w:rsidR="0039416D">
        <w:t>.</w:t>
      </w:r>
    </w:p>
    <w:p w14:paraId="33094A6A" w14:textId="15460D0A" w:rsidR="00432FC5" w:rsidRPr="008036B7" w:rsidRDefault="00FE3D96" w:rsidP="00A35BA2">
      <w:pPr>
        <w:pStyle w:val="Heading4"/>
      </w:pPr>
      <w:r>
        <w:t>Final</w:t>
      </w:r>
      <w:r w:rsidR="00A35BA2">
        <w:t xml:space="preserve"> decision</w:t>
      </w:r>
    </w:p>
    <w:p w14:paraId="06788DDE" w14:textId="06B659E9" w:rsidR="00432FC5" w:rsidRPr="006B47B8" w:rsidRDefault="00FE3D96" w:rsidP="00432FC5">
      <w:r>
        <w:t xml:space="preserve">Pursuant to </w:t>
      </w:r>
      <w:r w:rsidRPr="00253509">
        <w:t xml:space="preserve">regulation 42ZCZR of the Regulations, a Delegate of the Secretary has made a final decision to confirm the interim decision and amend the current Poisons Standard in relation to </w:t>
      </w:r>
      <w:r>
        <w:t>2-hydroxyethyl methacrylate</w:t>
      </w:r>
      <w:r w:rsidRPr="00253509">
        <w:t xml:space="preserve"> as follows:</w:t>
      </w:r>
      <w:r>
        <w:t xml:space="preserve"> </w:t>
      </w:r>
    </w:p>
    <w:p w14:paraId="59E72A74" w14:textId="204794C3" w:rsidR="00432FC5" w:rsidRPr="006B47B8" w:rsidRDefault="00FE3D96" w:rsidP="00A35BA2">
      <w:pPr>
        <w:keepNext/>
        <w:ind w:left="426"/>
        <w:rPr>
          <w:rFonts w:asciiTheme="minorHAnsi" w:hAnsiTheme="minorHAnsi"/>
          <w:b/>
        </w:rPr>
      </w:pPr>
      <w:r>
        <w:rPr>
          <w:rFonts w:asciiTheme="minorHAnsi" w:hAnsiTheme="minorHAnsi"/>
          <w:b/>
        </w:rPr>
        <w:t>Schedule 5 – Amend</w:t>
      </w:r>
      <w:r w:rsidR="00432FC5" w:rsidRPr="006B47B8">
        <w:rPr>
          <w:rFonts w:asciiTheme="minorHAnsi" w:hAnsiTheme="minorHAnsi"/>
          <w:b/>
        </w:rPr>
        <w:t xml:space="preserve"> entry</w:t>
      </w:r>
    </w:p>
    <w:p w14:paraId="145495CF" w14:textId="77777777" w:rsidR="00432FC5" w:rsidRPr="006B47B8" w:rsidRDefault="00432FC5" w:rsidP="00A35BA2">
      <w:pPr>
        <w:pStyle w:val="Normal-hanging"/>
        <w:ind w:left="426" w:firstLine="0"/>
        <w:rPr>
          <w:rFonts w:asciiTheme="minorHAnsi" w:hAnsiTheme="minorHAnsi"/>
          <w:b/>
        </w:rPr>
      </w:pPr>
      <w:r w:rsidRPr="006B47B8">
        <w:rPr>
          <w:rFonts w:asciiTheme="minorHAnsi" w:hAnsiTheme="minorHAnsi"/>
        </w:rPr>
        <w:t xml:space="preserve">2-HYDROXYETHYL METHACRYLATE </w:t>
      </w:r>
      <w:r w:rsidRPr="006B47B8">
        <w:rPr>
          <w:rFonts w:asciiTheme="minorHAnsi" w:hAnsiTheme="minorHAnsi"/>
          <w:b/>
        </w:rPr>
        <w:t>except</w:t>
      </w:r>
      <w:r w:rsidRPr="006B47B8">
        <w:rPr>
          <w:rFonts w:asciiTheme="minorHAnsi" w:hAnsiTheme="minorHAnsi"/>
          <w:b/>
          <w:color w:val="FF0000"/>
        </w:rPr>
        <w:t>:</w:t>
      </w:r>
    </w:p>
    <w:p w14:paraId="0C03EEBC" w14:textId="1A0E0EFA" w:rsidR="00432FC5" w:rsidRPr="00D85B4E" w:rsidRDefault="00432FC5" w:rsidP="00A35BA2">
      <w:pPr>
        <w:pStyle w:val="Numberbullet2ared"/>
        <w:ind w:left="851" w:hanging="425"/>
        <w:rPr>
          <w:rFonts w:asciiTheme="minorHAnsi" w:hAnsiTheme="minorHAnsi"/>
          <w:color w:val="00B050"/>
        </w:rPr>
      </w:pPr>
      <w:r w:rsidRPr="006B47B8">
        <w:rPr>
          <w:rFonts w:asciiTheme="minorHAnsi" w:hAnsiTheme="minorHAnsi"/>
          <w:color w:val="auto"/>
        </w:rPr>
        <w:t>when included in dental restorative preparations for therapeutic use</w:t>
      </w:r>
      <w:r w:rsidRPr="006B47B8">
        <w:rPr>
          <w:rFonts w:asciiTheme="minorHAnsi" w:hAnsiTheme="minorHAnsi"/>
        </w:rPr>
        <w:t>;</w:t>
      </w:r>
      <w:r w:rsidR="00EE148A">
        <w:rPr>
          <w:rFonts w:asciiTheme="minorHAnsi" w:hAnsiTheme="minorHAnsi"/>
          <w:color w:val="auto"/>
        </w:rPr>
        <w:t xml:space="preserve"> or</w:t>
      </w:r>
    </w:p>
    <w:p w14:paraId="0DEA4F2F" w14:textId="77777777" w:rsidR="00432FC5" w:rsidRPr="00D85B4E" w:rsidRDefault="00432FC5" w:rsidP="00A35BA2">
      <w:pPr>
        <w:pStyle w:val="Numberbullet2ared"/>
        <w:ind w:left="851" w:hanging="425"/>
        <w:rPr>
          <w:rFonts w:asciiTheme="minorHAnsi" w:hAnsiTheme="minorHAnsi"/>
          <w:color w:val="00B050"/>
        </w:rPr>
      </w:pPr>
      <w:r w:rsidRPr="006B47B8">
        <w:rPr>
          <w:rFonts w:asciiTheme="minorHAnsi" w:hAnsiTheme="minorHAnsi"/>
          <w:color w:val="auto"/>
        </w:rPr>
        <w:t>in nail preparations when labelled “Avoid contact with skin</w:t>
      </w:r>
      <w:r w:rsidRPr="00D85B4E">
        <w:rPr>
          <w:rFonts w:asciiTheme="minorHAnsi" w:hAnsiTheme="minorHAnsi"/>
          <w:color w:val="00B050"/>
        </w:rPr>
        <w:t>”; or</w:t>
      </w:r>
    </w:p>
    <w:p w14:paraId="70EC69FB" w14:textId="0F2B7B98" w:rsidR="00432FC5" w:rsidRPr="00D85B4E" w:rsidRDefault="00432FC5" w:rsidP="00A35BA2">
      <w:pPr>
        <w:pStyle w:val="Numberbullet2ared"/>
        <w:ind w:left="851" w:hanging="425"/>
        <w:rPr>
          <w:rFonts w:asciiTheme="minorHAnsi" w:hAnsiTheme="minorHAnsi"/>
          <w:color w:val="00B050"/>
        </w:rPr>
      </w:pPr>
      <w:proofErr w:type="gramStart"/>
      <w:r w:rsidRPr="00D85B4E">
        <w:rPr>
          <w:rFonts w:asciiTheme="minorHAnsi" w:hAnsiTheme="minorHAnsi"/>
          <w:color w:val="00B050"/>
        </w:rPr>
        <w:t>in</w:t>
      </w:r>
      <w:proofErr w:type="gramEnd"/>
      <w:r w:rsidRPr="00D85B4E">
        <w:rPr>
          <w:rFonts w:asciiTheme="minorHAnsi" w:hAnsiTheme="minorHAnsi"/>
          <w:color w:val="00B050"/>
        </w:rPr>
        <w:t xml:space="preserve"> other preparations containing 0.1 per cent or less of 2-hydroxyethyl methacrylate</w:t>
      </w:r>
      <w:r w:rsidRPr="00D85B4E">
        <w:rPr>
          <w:rFonts w:asciiTheme="minorHAnsi" w:eastAsiaTheme="minorEastAsia" w:hAnsiTheme="minorHAnsi" w:cstheme="minorBidi"/>
          <w:color w:val="00B050"/>
        </w:rPr>
        <w:t xml:space="preserve"> </w:t>
      </w:r>
      <w:r w:rsidRPr="00D85B4E">
        <w:rPr>
          <w:rFonts w:asciiTheme="minorHAnsi" w:hAnsiTheme="minorHAnsi"/>
          <w:color w:val="00B050"/>
        </w:rPr>
        <w:t>when labelled “Avoid contact with skin”.</w:t>
      </w:r>
    </w:p>
    <w:p w14:paraId="0F23F474" w14:textId="087571A8" w:rsidR="00527135" w:rsidRDefault="00CA6A77" w:rsidP="00937E6E">
      <w:pPr>
        <w:pStyle w:val="Numberbullet2ared"/>
        <w:keepNext/>
        <w:numPr>
          <w:ilvl w:val="0"/>
          <w:numId w:val="0"/>
        </w:numPr>
        <w:ind w:firstLine="425"/>
        <w:rPr>
          <w:color w:val="auto"/>
        </w:rPr>
      </w:pPr>
      <w:r w:rsidRPr="00220A61">
        <w:rPr>
          <w:b/>
          <w:color w:val="auto"/>
        </w:rPr>
        <w:t>Appendix E, Part 2</w:t>
      </w:r>
    </w:p>
    <w:tbl>
      <w:tblPr>
        <w:tblpPr w:leftFromText="180" w:rightFromText="180" w:vertAnchor="text" w:horzAnchor="margin" w:tblpX="418" w:tblpY="277"/>
        <w:tblW w:w="8636" w:type="dxa"/>
        <w:tblCellMar>
          <w:top w:w="15" w:type="dxa"/>
          <w:left w:w="15" w:type="dxa"/>
          <w:bottom w:w="15" w:type="dxa"/>
          <w:right w:w="15" w:type="dxa"/>
        </w:tblCellMar>
        <w:tblLook w:val="04A0" w:firstRow="1" w:lastRow="0" w:firstColumn="1" w:lastColumn="0" w:noHBand="0" w:noVBand="1"/>
      </w:tblPr>
      <w:tblGrid>
        <w:gridCol w:w="2126"/>
        <w:gridCol w:w="6510"/>
      </w:tblGrid>
      <w:tr w:rsidR="004C0707" w:rsidRPr="00CA6A77" w14:paraId="3F0DD604" w14:textId="77777777" w:rsidTr="00937E6E">
        <w:trPr>
          <w:tblHeader/>
        </w:trPr>
        <w:tc>
          <w:tcPr>
            <w:tcW w:w="2126"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4FFE5060" w14:textId="77777777" w:rsidR="004C0707" w:rsidRPr="00CA6A77" w:rsidRDefault="004C0707" w:rsidP="00937E6E">
            <w:pPr>
              <w:spacing w:after="120" w:line="240" w:lineRule="auto"/>
              <w:rPr>
                <w:rFonts w:ascii="Verdana" w:eastAsia="Times New Roman" w:hAnsi="Verdana"/>
                <w:b/>
                <w:bCs/>
                <w:color w:val="FFFFFF"/>
                <w:szCs w:val="22"/>
                <w:lang w:eastAsia="en-AU"/>
              </w:rPr>
            </w:pPr>
            <w:r w:rsidRPr="00CA6A77">
              <w:rPr>
                <w:rFonts w:ascii="Verdana" w:eastAsia="Times New Roman" w:hAnsi="Verdana"/>
                <w:b/>
                <w:bCs/>
                <w:color w:val="FFFFFF"/>
                <w:szCs w:val="22"/>
                <w:lang w:eastAsia="en-AU"/>
              </w:rPr>
              <w:t>POISON</w:t>
            </w:r>
          </w:p>
        </w:tc>
        <w:tc>
          <w:tcPr>
            <w:tcW w:w="6510"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6A5E4F1C" w14:textId="77777777" w:rsidR="004C0707" w:rsidRPr="00CA6A77" w:rsidRDefault="004C0707" w:rsidP="00937E6E">
            <w:pPr>
              <w:spacing w:after="120" w:line="240" w:lineRule="auto"/>
              <w:rPr>
                <w:rFonts w:ascii="Verdana" w:eastAsia="Times New Roman" w:hAnsi="Verdana"/>
                <w:b/>
                <w:bCs/>
                <w:color w:val="FFFFFF"/>
                <w:szCs w:val="22"/>
                <w:lang w:eastAsia="en-AU"/>
              </w:rPr>
            </w:pPr>
            <w:r w:rsidRPr="00CA6A77">
              <w:rPr>
                <w:rFonts w:ascii="Verdana" w:eastAsia="Times New Roman" w:hAnsi="Verdana"/>
                <w:b/>
                <w:bCs/>
                <w:color w:val="FFFFFF"/>
                <w:szCs w:val="22"/>
                <w:lang w:eastAsia="en-AU"/>
              </w:rPr>
              <w:t>STANDARD STATEMENTS</w:t>
            </w:r>
          </w:p>
        </w:tc>
      </w:tr>
      <w:tr w:rsidR="004C0707" w:rsidRPr="00CA6A77" w14:paraId="56A97CE8" w14:textId="77777777" w:rsidTr="00937E6E">
        <w:tc>
          <w:tcPr>
            <w:tcW w:w="21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0D82010" w14:textId="77777777" w:rsidR="004C0707" w:rsidRPr="00CA6A77" w:rsidRDefault="004C0707" w:rsidP="00937E6E">
            <w:pPr>
              <w:rPr>
                <w:lang w:eastAsia="en-AU"/>
              </w:rPr>
            </w:pPr>
            <w:r w:rsidRPr="00CA6A77">
              <w:rPr>
                <w:lang w:eastAsia="en-AU"/>
              </w:rPr>
              <w:t>2-HYDROXYETHYL METHACRYLATE</w:t>
            </w:r>
          </w:p>
        </w:tc>
        <w:tc>
          <w:tcPr>
            <w:tcW w:w="65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E52B9AA" w14:textId="5899147C" w:rsidR="004C0707" w:rsidRPr="00CA6A77" w:rsidRDefault="004C0707" w:rsidP="00937E6E">
            <w:pPr>
              <w:rPr>
                <w:lang w:eastAsia="en-AU"/>
              </w:rPr>
            </w:pPr>
            <w:r w:rsidRPr="00CA6A77">
              <w:rPr>
                <w:b/>
                <w:bCs/>
                <w:lang w:eastAsia="en-AU"/>
              </w:rPr>
              <w:t>A</w:t>
            </w:r>
            <w:r w:rsidR="00937E6E">
              <w:rPr>
                <w:b/>
                <w:bCs/>
                <w:lang w:eastAsia="en-AU"/>
              </w:rPr>
              <w:t xml:space="preserve"> </w:t>
            </w:r>
            <w:r w:rsidRPr="00CA6A77">
              <w:rPr>
                <w:lang w:eastAsia="en-AU"/>
              </w:rPr>
              <w:t>(For advice, contact a Poisons Information Centre (e.g. phone Australia 13 11 26; New Zealand 0800 764 766) or a doctor (at once)).</w:t>
            </w:r>
            <w:r w:rsidR="00937E6E">
              <w:rPr>
                <w:lang w:eastAsia="en-AU"/>
              </w:rPr>
              <w:t xml:space="preserve"> </w:t>
            </w:r>
            <w:r w:rsidRPr="00CA6A77">
              <w:rPr>
                <w:b/>
                <w:bCs/>
                <w:lang w:eastAsia="en-AU"/>
              </w:rPr>
              <w:t>E1</w:t>
            </w:r>
            <w:r w:rsidR="00937E6E">
              <w:rPr>
                <w:b/>
                <w:bCs/>
                <w:lang w:eastAsia="en-AU"/>
              </w:rPr>
              <w:t xml:space="preserve"> </w:t>
            </w:r>
            <w:r w:rsidRPr="00CA6A77">
              <w:rPr>
                <w:lang w:eastAsia="en-AU"/>
              </w:rPr>
              <w:t>(If in eyes was</w:t>
            </w:r>
            <w:r w:rsidR="00937E6E">
              <w:rPr>
                <w:lang w:eastAsia="en-AU"/>
              </w:rPr>
              <w:t xml:space="preserve">h out immediately with water.), </w:t>
            </w:r>
            <w:r w:rsidRPr="00CA6A77">
              <w:rPr>
                <w:b/>
                <w:bCs/>
                <w:lang w:eastAsia="en-AU"/>
              </w:rPr>
              <w:t>S1</w:t>
            </w:r>
            <w:r w:rsidR="00937E6E">
              <w:rPr>
                <w:lang w:eastAsia="en-AU"/>
              </w:rPr>
              <w:t xml:space="preserve"> </w:t>
            </w:r>
            <w:r w:rsidRPr="00CA6A77">
              <w:rPr>
                <w:lang w:eastAsia="en-AU"/>
              </w:rPr>
              <w:t xml:space="preserve">(If skin or hair contact </w:t>
            </w:r>
            <w:proofErr w:type="gramStart"/>
            <w:r w:rsidRPr="00CA6A77">
              <w:rPr>
                <w:lang w:eastAsia="en-AU"/>
              </w:rPr>
              <w:t>occurs,</w:t>
            </w:r>
            <w:proofErr w:type="gramEnd"/>
            <w:r w:rsidRPr="00CA6A77">
              <w:rPr>
                <w:lang w:eastAsia="en-AU"/>
              </w:rPr>
              <w:t xml:space="preserve"> remove contaminated clothing and flush skin and hair with running water.)</w:t>
            </w:r>
          </w:p>
        </w:tc>
      </w:tr>
    </w:tbl>
    <w:p w14:paraId="782A94B2" w14:textId="5FB5C475" w:rsidR="00527135" w:rsidRPr="00220A61" w:rsidRDefault="00527135" w:rsidP="00220A61">
      <w:pPr>
        <w:pStyle w:val="Numberbullet2ared"/>
        <w:numPr>
          <w:ilvl w:val="0"/>
          <w:numId w:val="0"/>
        </w:numPr>
        <w:ind w:firstLine="426"/>
        <w:rPr>
          <w:b/>
          <w:color w:val="auto"/>
        </w:rPr>
      </w:pPr>
      <w:r w:rsidRPr="00220A61">
        <w:rPr>
          <w:b/>
          <w:color w:val="auto"/>
        </w:rPr>
        <w:t>Appendix F, Part 3</w:t>
      </w:r>
    </w:p>
    <w:tbl>
      <w:tblPr>
        <w:tblW w:w="8644" w:type="dxa"/>
        <w:tblInd w:w="418" w:type="dxa"/>
        <w:tblCellMar>
          <w:top w:w="15" w:type="dxa"/>
          <w:left w:w="15" w:type="dxa"/>
          <w:bottom w:w="15" w:type="dxa"/>
          <w:right w:w="15" w:type="dxa"/>
        </w:tblCellMar>
        <w:tblLook w:val="04A0" w:firstRow="1" w:lastRow="0" w:firstColumn="1" w:lastColumn="0" w:noHBand="0" w:noVBand="1"/>
      </w:tblPr>
      <w:tblGrid>
        <w:gridCol w:w="2438"/>
        <w:gridCol w:w="3904"/>
        <w:gridCol w:w="2302"/>
      </w:tblGrid>
      <w:tr w:rsidR="001C5B9C" w:rsidRPr="00CA6A77" w14:paraId="3F04B927" w14:textId="77777777" w:rsidTr="00937E6E">
        <w:trPr>
          <w:tblHeader/>
        </w:trPr>
        <w:tc>
          <w:tcPr>
            <w:tcW w:w="2438"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421E49E5" w14:textId="77777777" w:rsidR="001C5B9C" w:rsidRPr="00CA6A77" w:rsidRDefault="001C5B9C" w:rsidP="00B4544E">
            <w:pPr>
              <w:spacing w:before="0" w:after="0" w:line="240" w:lineRule="auto"/>
              <w:rPr>
                <w:rFonts w:ascii="Verdana" w:eastAsia="Times New Roman" w:hAnsi="Verdana"/>
                <w:b/>
                <w:bCs/>
                <w:color w:val="FFFFFF"/>
                <w:szCs w:val="22"/>
                <w:lang w:eastAsia="en-AU"/>
              </w:rPr>
            </w:pPr>
            <w:r w:rsidRPr="00CA6A77">
              <w:rPr>
                <w:rFonts w:ascii="Verdana" w:eastAsia="Times New Roman" w:hAnsi="Verdana"/>
                <w:b/>
                <w:bCs/>
                <w:color w:val="FFFFFF"/>
                <w:szCs w:val="22"/>
                <w:lang w:eastAsia="en-AU"/>
              </w:rPr>
              <w:t>POISON</w:t>
            </w:r>
          </w:p>
        </w:tc>
        <w:tc>
          <w:tcPr>
            <w:tcW w:w="0" w:type="auto"/>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1F05A671" w14:textId="77777777" w:rsidR="001C5B9C" w:rsidRPr="00CA6A77" w:rsidRDefault="001C5B9C" w:rsidP="00B4544E">
            <w:pPr>
              <w:spacing w:before="0" w:after="0" w:line="240" w:lineRule="auto"/>
              <w:rPr>
                <w:rFonts w:ascii="Verdana" w:eastAsia="Times New Roman" w:hAnsi="Verdana"/>
                <w:b/>
                <w:bCs/>
                <w:color w:val="FFFFFF"/>
                <w:szCs w:val="22"/>
                <w:lang w:eastAsia="en-AU"/>
              </w:rPr>
            </w:pPr>
            <w:r w:rsidRPr="00CA6A77">
              <w:rPr>
                <w:rFonts w:ascii="Verdana" w:eastAsia="Times New Roman" w:hAnsi="Verdana"/>
                <w:b/>
                <w:bCs/>
                <w:color w:val="FFFFFF"/>
                <w:szCs w:val="22"/>
                <w:lang w:eastAsia="en-AU"/>
              </w:rPr>
              <w:t>WARNING STATEMENTS</w:t>
            </w:r>
          </w:p>
        </w:tc>
        <w:tc>
          <w:tcPr>
            <w:tcW w:w="0" w:type="auto"/>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36CF0522" w14:textId="77777777" w:rsidR="001C5B9C" w:rsidRPr="00CA6A77" w:rsidRDefault="001C5B9C" w:rsidP="00B4544E">
            <w:pPr>
              <w:spacing w:before="0" w:after="0" w:line="240" w:lineRule="auto"/>
              <w:rPr>
                <w:rFonts w:ascii="Verdana" w:eastAsia="Times New Roman" w:hAnsi="Verdana"/>
                <w:b/>
                <w:bCs/>
                <w:color w:val="FFFFFF"/>
                <w:szCs w:val="22"/>
                <w:lang w:eastAsia="en-AU"/>
              </w:rPr>
            </w:pPr>
            <w:r w:rsidRPr="00CA6A77">
              <w:rPr>
                <w:rFonts w:ascii="Verdana" w:eastAsia="Times New Roman" w:hAnsi="Verdana"/>
                <w:b/>
                <w:bCs/>
                <w:color w:val="FFFFFF"/>
                <w:szCs w:val="22"/>
                <w:lang w:eastAsia="en-AU"/>
              </w:rPr>
              <w:t>SAFETY DIRECTION</w:t>
            </w:r>
          </w:p>
        </w:tc>
      </w:tr>
      <w:tr w:rsidR="001C5B9C" w:rsidRPr="00CA6A77" w14:paraId="1C2FA542" w14:textId="77777777" w:rsidTr="00937E6E">
        <w:tc>
          <w:tcPr>
            <w:tcW w:w="243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3FD1CE" w14:textId="77777777" w:rsidR="001C5B9C" w:rsidRPr="00CA6A77" w:rsidRDefault="001C5B9C" w:rsidP="00B4544E">
            <w:pPr>
              <w:rPr>
                <w:lang w:eastAsia="en-AU"/>
              </w:rPr>
            </w:pPr>
            <w:r w:rsidRPr="00CA6A77">
              <w:rPr>
                <w:lang w:eastAsia="en-AU"/>
              </w:rPr>
              <w:t>2-HYDROXYETHYL METHACRYLATE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2608E00" w14:textId="187024F7" w:rsidR="001C5B9C" w:rsidRPr="00CA6A77" w:rsidRDefault="001C5B9C" w:rsidP="00937E6E">
            <w:pPr>
              <w:rPr>
                <w:lang w:eastAsia="en-AU"/>
              </w:rPr>
            </w:pPr>
            <w:r w:rsidRPr="00CA6A77">
              <w:rPr>
                <w:b/>
                <w:bCs/>
                <w:lang w:eastAsia="en-AU"/>
              </w:rPr>
              <w:t>28</w:t>
            </w:r>
            <w:r w:rsidR="00937E6E">
              <w:rPr>
                <w:b/>
                <w:bCs/>
                <w:lang w:eastAsia="en-AU"/>
              </w:rPr>
              <w:t xml:space="preserve"> </w:t>
            </w:r>
            <w:r w:rsidRPr="00CA6A77">
              <w:rPr>
                <w:lang w:eastAsia="en-AU"/>
              </w:rPr>
              <w:t>((Over) (Repeated) exposure may cause sensitisation</w:t>
            </w:r>
            <w:r>
              <w:rPr>
                <w:lang w:eastAsia="en-AU"/>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D345863" w14:textId="5C1967F0" w:rsidR="001C5B9C" w:rsidRPr="00CA6A77" w:rsidRDefault="001C5B9C" w:rsidP="00937E6E">
            <w:pPr>
              <w:rPr>
                <w:lang w:eastAsia="en-AU"/>
              </w:rPr>
            </w:pPr>
            <w:r w:rsidRPr="00CA6A77">
              <w:rPr>
                <w:b/>
                <w:bCs/>
                <w:lang w:eastAsia="en-AU"/>
              </w:rPr>
              <w:t>4</w:t>
            </w:r>
            <w:r w:rsidR="00937E6E">
              <w:rPr>
                <w:b/>
                <w:bCs/>
                <w:lang w:eastAsia="en-AU"/>
              </w:rPr>
              <w:t xml:space="preserve"> </w:t>
            </w:r>
            <w:r w:rsidRPr="00CA6A77">
              <w:rPr>
                <w:lang w:eastAsia="en-AU"/>
              </w:rPr>
              <w:t>(Avoid contact with skin.)</w:t>
            </w:r>
          </w:p>
        </w:tc>
      </w:tr>
    </w:tbl>
    <w:p w14:paraId="33BBF902" w14:textId="77777777" w:rsidR="00CA6A77" w:rsidRPr="00220A61" w:rsidRDefault="00CA6A77" w:rsidP="00220A61">
      <w:pPr>
        <w:pStyle w:val="Numberbullet2ared"/>
        <w:numPr>
          <w:ilvl w:val="0"/>
          <w:numId w:val="0"/>
        </w:numPr>
        <w:ind w:left="426"/>
        <w:rPr>
          <w:b/>
          <w:color w:val="auto"/>
        </w:rPr>
      </w:pPr>
      <w:r w:rsidRPr="00220A61">
        <w:rPr>
          <w:b/>
          <w:color w:val="auto"/>
        </w:rPr>
        <w:t>Index</w:t>
      </w:r>
    </w:p>
    <w:p w14:paraId="4D4C8ED4" w14:textId="4DF616D4" w:rsidR="00CA6A77" w:rsidRDefault="00CA6A77" w:rsidP="00220A61">
      <w:pPr>
        <w:pStyle w:val="Numberbullet2ared"/>
        <w:numPr>
          <w:ilvl w:val="0"/>
          <w:numId w:val="0"/>
        </w:numPr>
        <w:ind w:firstLine="426"/>
        <w:rPr>
          <w:color w:val="auto"/>
        </w:rPr>
      </w:pPr>
      <w:r w:rsidRPr="00220A61">
        <w:rPr>
          <w:color w:val="auto"/>
        </w:rPr>
        <w:t>2-HYDROXYETHYL METHACRYLATE</w:t>
      </w:r>
    </w:p>
    <w:p w14:paraId="05DC9778" w14:textId="3414CFD6" w:rsidR="001C5B9C" w:rsidRPr="00220A61" w:rsidRDefault="001C5B9C" w:rsidP="00220A61">
      <w:pPr>
        <w:pStyle w:val="Numberbullet2ared"/>
        <w:numPr>
          <w:ilvl w:val="0"/>
          <w:numId w:val="0"/>
        </w:numPr>
        <w:ind w:left="426"/>
        <w:rPr>
          <w:color w:val="auto"/>
        </w:rPr>
      </w:pPr>
      <w:r w:rsidRPr="0015500D">
        <w:rPr>
          <w:color w:val="auto"/>
        </w:rPr>
        <w:t>Schedule 5</w:t>
      </w:r>
      <w:r w:rsidRPr="001C5B9C">
        <w:rPr>
          <w:color w:val="auto"/>
        </w:rPr>
        <w:t xml:space="preserve"> </w:t>
      </w:r>
      <w:r>
        <w:rPr>
          <w:color w:val="auto"/>
        </w:rPr>
        <w:br/>
      </w:r>
      <w:r w:rsidRPr="0015500D">
        <w:rPr>
          <w:color w:val="auto"/>
        </w:rPr>
        <w:t>Appendix E, Part 2</w:t>
      </w:r>
      <w:r w:rsidRPr="0015500D">
        <w:rPr>
          <w:color w:val="auto"/>
        </w:rPr>
        <w:br/>
        <w:t>Appendix F, Part 3</w:t>
      </w:r>
    </w:p>
    <w:p w14:paraId="62A7D6A7" w14:textId="0399ADF9" w:rsidR="007A0D56" w:rsidRPr="002C61B3" w:rsidRDefault="0070510D" w:rsidP="007A0D56">
      <w:pPr>
        <w:pStyle w:val="Heading4"/>
      </w:pPr>
      <w:r>
        <w:t>Reasons for the final</w:t>
      </w:r>
      <w:r w:rsidR="007A0D56" w:rsidRPr="00436C41">
        <w:t xml:space="preserve"> decision (including findings on material questions of fact)</w:t>
      </w:r>
    </w:p>
    <w:p w14:paraId="56415BC3" w14:textId="1601CC93" w:rsidR="00432FC5" w:rsidRDefault="007A0D56" w:rsidP="00432FC5">
      <w:r>
        <w:t>In making this final</w:t>
      </w:r>
      <w:r w:rsidR="00432FC5">
        <w:t xml:space="preserve"> decision, the Delegate considered the following material:</w:t>
      </w:r>
    </w:p>
    <w:p w14:paraId="246A395C" w14:textId="640E37FD" w:rsidR="00432FC5" w:rsidRDefault="00432FC5" w:rsidP="00432FC5">
      <w:pPr>
        <w:pStyle w:val="ListBullet"/>
        <w:numPr>
          <w:ilvl w:val="0"/>
          <w:numId w:val="1"/>
        </w:numPr>
      </w:pPr>
      <w:r w:rsidRPr="006B47B8">
        <w:t xml:space="preserve">The </w:t>
      </w:r>
      <w:r w:rsidR="00ED72F3" w:rsidRPr="00220A61">
        <w:t>application</w:t>
      </w:r>
      <w:r w:rsidRPr="006B47B8">
        <w:t xml:space="preserve"> to amend</w:t>
      </w:r>
      <w:r>
        <w:t xml:space="preserve"> the current Poisons Standard with respect to </w:t>
      </w:r>
      <w:r w:rsidRPr="006B47B8">
        <w:t>2-hydroxyethyl methacrylate</w:t>
      </w:r>
      <w:r>
        <w:t>;</w:t>
      </w:r>
    </w:p>
    <w:p w14:paraId="1183A935" w14:textId="3E15D6B6" w:rsidR="001121D6" w:rsidRDefault="001121D6" w:rsidP="001121D6">
      <w:pPr>
        <w:pStyle w:val="ListBullet"/>
        <w:numPr>
          <w:ilvl w:val="0"/>
          <w:numId w:val="1"/>
        </w:numPr>
      </w:pPr>
      <w:r>
        <w:t xml:space="preserve">The 122 </w:t>
      </w:r>
      <w:hyperlink r:id="rId54" w:history="1">
        <w:r w:rsidRPr="00905BFB">
          <w:rPr>
            <w:rStyle w:val="Hyperlink"/>
          </w:rPr>
          <w:t>public submissions</w:t>
        </w:r>
      </w:hyperlink>
      <w:r w:rsidR="00CE28B7" w:rsidRPr="008D5396">
        <w:t>, which included no written submissions,</w:t>
      </w:r>
      <w:r>
        <w:t xml:space="preserve"> received in response to the </w:t>
      </w:r>
      <w:hyperlink r:id="rId55" w:history="1">
        <w:r w:rsidRPr="008B04C4">
          <w:rPr>
            <w:rStyle w:val="Hyperlink"/>
          </w:rPr>
          <w:t>pre-meeting consultation</w:t>
        </w:r>
      </w:hyperlink>
      <w:r>
        <w:t xml:space="preserve"> under regulation 42ZCZK of the Regulations; </w:t>
      </w:r>
    </w:p>
    <w:p w14:paraId="1A273905" w14:textId="7A963743" w:rsidR="00432FC5" w:rsidRDefault="00432FC5" w:rsidP="00432FC5">
      <w:pPr>
        <w:pStyle w:val="ListBullet"/>
        <w:numPr>
          <w:ilvl w:val="0"/>
          <w:numId w:val="1"/>
        </w:numPr>
      </w:pPr>
      <w:r>
        <w:t>The advice received from th</w:t>
      </w:r>
      <w:r w:rsidRPr="00C51001">
        <w:t xml:space="preserve">e </w:t>
      </w:r>
      <w:r w:rsidRPr="00487D10">
        <w:t>Advisory Committee on Medicines and Chemicals Scheduling in joi</w:t>
      </w:r>
      <w:r>
        <w:t>nt session (Jo</w:t>
      </w:r>
      <w:r w:rsidRPr="006B47B8">
        <w:t>int ACMS-ACCS #26);</w:t>
      </w:r>
    </w:p>
    <w:p w14:paraId="6FD2F774" w14:textId="1D1E820B" w:rsidR="007A0D56" w:rsidRDefault="007A0D56" w:rsidP="007A0D56">
      <w:pPr>
        <w:pStyle w:val="ListBullet"/>
      </w:pPr>
      <w:r>
        <w:t xml:space="preserve">The </w:t>
      </w:r>
      <w:r w:rsidR="009745A7">
        <w:t>82</w:t>
      </w:r>
      <w:r w:rsidR="000E2B9F">
        <w:t xml:space="preserve"> </w:t>
      </w:r>
      <w:hyperlink r:id="rId56" w:history="1">
        <w:r w:rsidRPr="002C365A">
          <w:rPr>
            <w:rStyle w:val="Hyperlink"/>
          </w:rPr>
          <w:t>public submissions</w:t>
        </w:r>
      </w:hyperlink>
      <w:r>
        <w:t xml:space="preserve">, </w:t>
      </w:r>
      <w:r w:rsidR="000E2B9F">
        <w:t>which included</w:t>
      </w:r>
      <w:r w:rsidRPr="00C85183">
        <w:t xml:space="preserve"> </w:t>
      </w:r>
      <w:r w:rsidR="000E2B9F">
        <w:t xml:space="preserve">no </w:t>
      </w:r>
      <w:r w:rsidRPr="00C85183">
        <w:t>written submissions,</w:t>
      </w:r>
      <w:r>
        <w:t xml:space="preserve"> received in response to the </w:t>
      </w:r>
      <w:r w:rsidR="001509EE" w:rsidRPr="00220A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6DC329F0" w14:textId="77777777" w:rsidR="00432FC5" w:rsidRDefault="00432FC5" w:rsidP="00432FC5">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w:t>
      </w:r>
      <w:r>
        <w:t>d presentation of a substance;</w:t>
      </w:r>
      <w:r w:rsidRPr="001169AC">
        <w:t xml:space="preserve"> and (f) any other matters considered nece</w:t>
      </w:r>
      <w:r>
        <w:t>ssary to protect public health;</w:t>
      </w:r>
    </w:p>
    <w:p w14:paraId="732CD412" w14:textId="77777777" w:rsidR="00432FC5" w:rsidRDefault="00432FC5" w:rsidP="00432FC5">
      <w:pPr>
        <w:pStyle w:val="ListBullet"/>
        <w:numPr>
          <w:ilvl w:val="0"/>
          <w:numId w:val="1"/>
        </w:numPr>
      </w:pPr>
      <w:r w:rsidRPr="002C1418">
        <w:t xml:space="preserve">The Australian Health Ministers’ Advisory Council’s </w:t>
      </w:r>
      <w:hyperlink r:id="rId57" w:history="1">
        <w:r w:rsidRPr="001A7580">
          <w:rPr>
            <w:rStyle w:val="Hyperlink"/>
          </w:rPr>
          <w:t>Scheduling Policy Framework</w:t>
        </w:r>
      </w:hyperlink>
      <w:r>
        <w:t xml:space="preserve"> (SPF 2018</w:t>
      </w:r>
      <w:r w:rsidRPr="006B47B8">
        <w:t>); and</w:t>
      </w:r>
    </w:p>
    <w:p w14:paraId="19D0A85C" w14:textId="77777777" w:rsidR="00432FC5" w:rsidRDefault="00432FC5" w:rsidP="00432FC5">
      <w:pPr>
        <w:pStyle w:val="ListBullet"/>
        <w:numPr>
          <w:ilvl w:val="0"/>
          <w:numId w:val="1"/>
        </w:numPr>
      </w:pPr>
      <w:r>
        <w:t xml:space="preserve">The </w:t>
      </w:r>
      <w:hyperlink r:id="rId58" w:history="1">
        <w:r w:rsidRPr="001A7580">
          <w:rPr>
            <w:rStyle w:val="Hyperlink"/>
          </w:rPr>
          <w:t>Scheduling handbook: Guidance for amending the Poisons Standard</w:t>
        </w:r>
      </w:hyperlink>
      <w:r>
        <w:t>.</w:t>
      </w:r>
    </w:p>
    <w:p w14:paraId="423F8782" w14:textId="77777777" w:rsidR="007A0D56" w:rsidRPr="002C61B3" w:rsidRDefault="007A0D56" w:rsidP="007A0D56">
      <w:pPr>
        <w:pStyle w:val="Heading4"/>
      </w:pPr>
      <w:r>
        <w:t>Reasons for the final</w:t>
      </w:r>
      <w:r w:rsidRPr="00436C41">
        <w:t xml:space="preserve"> decision (including findings on material questions of fact)</w:t>
      </w:r>
    </w:p>
    <w:p w14:paraId="5668E125" w14:textId="5A420574" w:rsidR="0070510D" w:rsidRDefault="0070510D" w:rsidP="00432FC5">
      <w:r w:rsidRPr="00253509">
        <w:t>I have made a final decision to confirm</w:t>
      </w:r>
      <w:r>
        <w:t xml:space="preserve"> my </w:t>
      </w:r>
      <w:hyperlink r:id="rId59" w:history="1">
        <w:r w:rsidRPr="008F73DD">
          <w:rPr>
            <w:rStyle w:val="Hyperlink"/>
          </w:rPr>
          <w:t>interim decision</w:t>
        </w:r>
      </w:hyperlink>
      <w:r>
        <w:t xml:space="preserve"> to amend</w:t>
      </w:r>
      <w:r w:rsidRPr="00253509">
        <w:t xml:space="preserve"> the current Poisons Standard with re</w:t>
      </w:r>
      <w:r>
        <w:t>spect to 2-hydroxyethyl methacrylate</w:t>
      </w:r>
      <w:r w:rsidRPr="00253509">
        <w:t xml:space="preserve">. </w:t>
      </w:r>
      <w:r w:rsidRPr="008F73DD">
        <w:t>My reasons for making the final decision are those s</w:t>
      </w:r>
      <w:r>
        <w:t>et out in the interim decision.</w:t>
      </w:r>
      <w:r w:rsidRPr="008F73DD">
        <w:t xml:space="preserve"> </w:t>
      </w:r>
      <w:r w:rsidRPr="00253509">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r w:rsidRPr="00191C26">
        <w:t>I note that no written public submissions were received in response to the interim decision. </w:t>
      </w:r>
    </w:p>
    <w:p w14:paraId="6C139187" w14:textId="0F8A0FDF" w:rsidR="00432FC5" w:rsidRPr="009B0447" w:rsidRDefault="00191C26" w:rsidP="00046DBE">
      <w:pPr>
        <w:pStyle w:val="Heading4"/>
      </w:pPr>
      <w:r>
        <w:t>I</w:t>
      </w:r>
      <w:r w:rsidR="00432FC5">
        <w:t>mplementation date</w:t>
      </w:r>
    </w:p>
    <w:p w14:paraId="4A7BDBDC" w14:textId="01468C32" w:rsidR="00432FC5" w:rsidRPr="00C04EDA" w:rsidRDefault="00432FC5" w:rsidP="00432FC5">
      <w:pPr>
        <w:spacing w:after="240"/>
        <w:rPr>
          <w:rFonts w:asciiTheme="minorHAnsi" w:hAnsiTheme="minorHAnsi"/>
          <w:bCs/>
          <w:szCs w:val="22"/>
        </w:rPr>
      </w:pPr>
      <w:r w:rsidRPr="00F31279">
        <w:rPr>
          <w:rFonts w:asciiTheme="minorHAnsi" w:hAnsiTheme="minorHAnsi"/>
          <w:b/>
          <w:bCs/>
          <w:szCs w:val="22"/>
        </w:rPr>
        <w:t>1 June 2021.</w:t>
      </w:r>
    </w:p>
    <w:p w14:paraId="6509F94D" w14:textId="7B578D16" w:rsidR="00D72019" w:rsidRDefault="0070510D" w:rsidP="009A29F4">
      <w:pPr>
        <w:pStyle w:val="Heading3"/>
      </w:pPr>
      <w:bookmarkStart w:id="42" w:name="_Toc69977423"/>
      <w:r>
        <w:t>Final</w:t>
      </w:r>
      <w:r w:rsidR="008E2279">
        <w:t xml:space="preserve"> decision in relation to m</w:t>
      </w:r>
      <w:r w:rsidR="00D72019">
        <w:t>agnesium hydroxide</w:t>
      </w:r>
      <w:bookmarkEnd w:id="42"/>
    </w:p>
    <w:p w14:paraId="598CA25E" w14:textId="77777777" w:rsidR="00926541" w:rsidRDefault="00926541" w:rsidP="00926541">
      <w:pPr>
        <w:pStyle w:val="Heading4"/>
      </w:pPr>
      <w:r>
        <w:t>Proposal</w:t>
      </w:r>
    </w:p>
    <w:p w14:paraId="033DE4F7" w14:textId="52FE5487" w:rsidR="00926541" w:rsidRPr="000D5645" w:rsidRDefault="00530625" w:rsidP="00926541">
      <w:r>
        <w:t>The applicant proposed a</w:t>
      </w:r>
      <w:r w:rsidR="00CA6A77">
        <w:t xml:space="preserve"> new entry for</w:t>
      </w:r>
      <w:r w:rsidR="00926541">
        <w:t xml:space="preserve"> magnesium hydroxide in Appendix B</w:t>
      </w:r>
      <w:r w:rsidR="007F3727">
        <w:t xml:space="preserve"> (substances considered not requiring control by scheduling).</w:t>
      </w:r>
    </w:p>
    <w:p w14:paraId="4AADDB49" w14:textId="07C58718" w:rsidR="00D72019" w:rsidRPr="007465EC" w:rsidRDefault="0070510D" w:rsidP="007465EC">
      <w:pPr>
        <w:pStyle w:val="Heading4"/>
      </w:pPr>
      <w:r>
        <w:t>Final</w:t>
      </w:r>
      <w:r w:rsidR="00046DBE" w:rsidRPr="007465EC">
        <w:t xml:space="preserve"> decision</w:t>
      </w:r>
    </w:p>
    <w:p w14:paraId="7C4A0A45" w14:textId="6167FED7" w:rsidR="0070510D" w:rsidRPr="006B47B8" w:rsidRDefault="0070510D" w:rsidP="0070510D">
      <w:r>
        <w:t xml:space="preserve">Pursuant to </w:t>
      </w:r>
      <w:r w:rsidRPr="00253509">
        <w:t xml:space="preserve">regulation 42ZCZR of the Regulations, a Delegate of the Secretary has made a final decision to confirm the interim decision and amend the current Poisons Standard in relation to </w:t>
      </w:r>
      <w:r>
        <w:t>magnesium hydroxide</w:t>
      </w:r>
      <w:r w:rsidRPr="00253509">
        <w:t xml:space="preserve"> as follows:</w:t>
      </w:r>
      <w:r>
        <w:t xml:space="preserve"> </w:t>
      </w:r>
    </w:p>
    <w:p w14:paraId="5BA8FE94" w14:textId="77777777" w:rsidR="00D72019" w:rsidRPr="00F421AB" w:rsidRDefault="00D72019" w:rsidP="002267E6">
      <w:pPr>
        <w:ind w:left="426"/>
        <w:rPr>
          <w:rFonts w:eastAsia="Times New Roman"/>
          <w:b/>
          <w:szCs w:val="22"/>
        </w:rPr>
      </w:pPr>
      <w:r w:rsidRPr="00F421AB">
        <w:rPr>
          <w:rFonts w:eastAsia="Times New Roman"/>
          <w:b/>
          <w:szCs w:val="22"/>
        </w:rPr>
        <w:t>Appendix B, Part 3 – New Entry</w:t>
      </w:r>
    </w:p>
    <w:tbl>
      <w:tblPr>
        <w:tblStyle w:val="TableTGAblue"/>
        <w:tblW w:w="0" w:type="auto"/>
        <w:tblInd w:w="438" w:type="dxa"/>
        <w:tblLook w:val="04A0" w:firstRow="1" w:lastRow="0" w:firstColumn="1" w:lastColumn="0" w:noHBand="0" w:noVBand="1"/>
      </w:tblPr>
      <w:tblGrid>
        <w:gridCol w:w="2250"/>
        <w:gridCol w:w="2252"/>
        <w:gridCol w:w="2252"/>
      </w:tblGrid>
      <w:tr w:rsidR="00D72019" w:rsidRPr="00F421AB" w14:paraId="78B2F9A7" w14:textId="77777777" w:rsidTr="00226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D3B4E5A" w14:textId="77777777" w:rsidR="00D72019" w:rsidRPr="00F421AB" w:rsidRDefault="00D72019" w:rsidP="00AC209E">
            <w:pPr>
              <w:rPr>
                <w:rFonts w:eastAsia="Times New Roman"/>
                <w:szCs w:val="22"/>
              </w:rPr>
            </w:pPr>
            <w:r w:rsidRPr="00F421AB">
              <w:rPr>
                <w:rFonts w:eastAsia="Times New Roman"/>
                <w:szCs w:val="22"/>
              </w:rPr>
              <w:t>SUBSTANCE</w:t>
            </w:r>
          </w:p>
        </w:tc>
        <w:tc>
          <w:tcPr>
            <w:tcW w:w="2252" w:type="dxa"/>
          </w:tcPr>
          <w:p w14:paraId="6739C3AF" w14:textId="77777777" w:rsidR="00D72019" w:rsidRPr="00F421AB" w:rsidRDefault="00D72019" w:rsidP="00AC209E">
            <w:pPr>
              <w:cnfStyle w:val="100000000000" w:firstRow="1" w:lastRow="0" w:firstColumn="0" w:lastColumn="0" w:oddVBand="0" w:evenVBand="0" w:oddHBand="0" w:evenHBand="0" w:firstRowFirstColumn="0" w:firstRowLastColumn="0" w:lastRowFirstColumn="0" w:lastRowLastColumn="0"/>
              <w:rPr>
                <w:rFonts w:eastAsia="Times New Roman"/>
                <w:szCs w:val="22"/>
              </w:rPr>
            </w:pPr>
            <w:r w:rsidRPr="00F421AB">
              <w:rPr>
                <w:rFonts w:eastAsia="Times New Roman"/>
                <w:szCs w:val="22"/>
              </w:rPr>
              <w:t>REASON FOR LISTING</w:t>
            </w:r>
          </w:p>
        </w:tc>
        <w:tc>
          <w:tcPr>
            <w:tcW w:w="2252" w:type="dxa"/>
          </w:tcPr>
          <w:p w14:paraId="2E150D7B" w14:textId="77777777" w:rsidR="00D72019" w:rsidRPr="00F421AB" w:rsidRDefault="00D72019" w:rsidP="00AC209E">
            <w:pPr>
              <w:cnfStyle w:val="100000000000" w:firstRow="1" w:lastRow="0" w:firstColumn="0" w:lastColumn="0" w:oddVBand="0" w:evenVBand="0" w:oddHBand="0" w:evenHBand="0" w:firstRowFirstColumn="0" w:firstRowLastColumn="0" w:lastRowFirstColumn="0" w:lastRowLastColumn="0"/>
              <w:rPr>
                <w:rFonts w:eastAsia="Times New Roman"/>
                <w:szCs w:val="22"/>
              </w:rPr>
            </w:pPr>
            <w:r w:rsidRPr="00F421AB">
              <w:rPr>
                <w:rFonts w:eastAsia="Times New Roman"/>
                <w:szCs w:val="22"/>
              </w:rPr>
              <w:t>AREA OF USE</w:t>
            </w:r>
          </w:p>
        </w:tc>
      </w:tr>
      <w:tr w:rsidR="00D72019" w:rsidRPr="00D85B4E" w14:paraId="6A238B3D" w14:textId="77777777" w:rsidTr="002267E6">
        <w:tc>
          <w:tcPr>
            <w:cnfStyle w:val="001000000000" w:firstRow="0" w:lastRow="0" w:firstColumn="1" w:lastColumn="0" w:oddVBand="0" w:evenVBand="0" w:oddHBand="0" w:evenHBand="0" w:firstRowFirstColumn="0" w:firstRowLastColumn="0" w:lastRowFirstColumn="0" w:lastRowLastColumn="0"/>
            <w:tcW w:w="2250" w:type="dxa"/>
          </w:tcPr>
          <w:p w14:paraId="052070EF" w14:textId="77777777" w:rsidR="00D72019" w:rsidRPr="00D85B4E" w:rsidRDefault="00D72019" w:rsidP="00AC209E">
            <w:pPr>
              <w:rPr>
                <w:rFonts w:eastAsia="Times New Roman"/>
                <w:color w:val="00B050"/>
                <w:szCs w:val="22"/>
              </w:rPr>
            </w:pPr>
            <w:r w:rsidRPr="00D85B4E">
              <w:rPr>
                <w:rFonts w:eastAsia="Times New Roman"/>
                <w:color w:val="00B050"/>
                <w:szCs w:val="22"/>
              </w:rPr>
              <w:t>MAGNESIUM HYDROXIDE</w:t>
            </w:r>
          </w:p>
        </w:tc>
        <w:tc>
          <w:tcPr>
            <w:tcW w:w="2252" w:type="dxa"/>
          </w:tcPr>
          <w:p w14:paraId="48993EA4" w14:textId="77777777" w:rsidR="00D72019" w:rsidRPr="00D85B4E" w:rsidRDefault="00D72019" w:rsidP="00AC209E">
            <w:pPr>
              <w:cnfStyle w:val="000000000000" w:firstRow="0" w:lastRow="0" w:firstColumn="0" w:lastColumn="0" w:oddVBand="0" w:evenVBand="0" w:oddHBand="0" w:evenHBand="0" w:firstRowFirstColumn="0" w:firstRowLastColumn="0" w:lastRowFirstColumn="0" w:lastRowLastColumn="0"/>
              <w:rPr>
                <w:rFonts w:eastAsia="Times New Roman"/>
                <w:color w:val="00B050"/>
                <w:szCs w:val="22"/>
              </w:rPr>
            </w:pPr>
            <w:r w:rsidRPr="00D85B4E">
              <w:rPr>
                <w:rFonts w:eastAsia="Times New Roman"/>
                <w:color w:val="00B050"/>
                <w:szCs w:val="22"/>
              </w:rPr>
              <w:t>A (Low toxicity)</w:t>
            </w:r>
          </w:p>
        </w:tc>
        <w:tc>
          <w:tcPr>
            <w:tcW w:w="2252" w:type="dxa"/>
          </w:tcPr>
          <w:p w14:paraId="3A04EDCC" w14:textId="77777777" w:rsidR="00D72019" w:rsidRPr="00D85B4E" w:rsidRDefault="00D72019" w:rsidP="00AC209E">
            <w:pPr>
              <w:cnfStyle w:val="000000000000" w:firstRow="0" w:lastRow="0" w:firstColumn="0" w:lastColumn="0" w:oddVBand="0" w:evenVBand="0" w:oddHBand="0" w:evenHBand="0" w:firstRowFirstColumn="0" w:firstRowLastColumn="0" w:lastRowFirstColumn="0" w:lastRowLastColumn="0"/>
              <w:rPr>
                <w:rFonts w:eastAsia="Times New Roman"/>
                <w:color w:val="00B050"/>
                <w:szCs w:val="22"/>
              </w:rPr>
            </w:pPr>
            <w:r w:rsidRPr="00D85B4E">
              <w:rPr>
                <w:rFonts w:eastAsia="Times New Roman"/>
                <w:color w:val="00B050"/>
                <w:szCs w:val="22"/>
              </w:rPr>
              <w:t>7.1</w:t>
            </w:r>
          </w:p>
        </w:tc>
      </w:tr>
    </w:tbl>
    <w:p w14:paraId="70A1A515" w14:textId="05B19E0D" w:rsidR="00D72019" w:rsidRPr="00D85B4E" w:rsidRDefault="00D72019" w:rsidP="002267E6">
      <w:pPr>
        <w:ind w:left="426"/>
        <w:rPr>
          <w:rFonts w:eastAsia="Times New Roman"/>
          <w:b/>
          <w:color w:val="00B050"/>
          <w:szCs w:val="22"/>
        </w:rPr>
      </w:pPr>
      <w:r w:rsidRPr="00D85B4E">
        <w:rPr>
          <w:rFonts w:eastAsia="Times New Roman"/>
          <w:b/>
          <w:color w:val="00B050"/>
          <w:szCs w:val="22"/>
        </w:rPr>
        <w:t>INDEX</w:t>
      </w:r>
      <w:r w:rsidR="00075612" w:rsidRPr="00D85B4E">
        <w:rPr>
          <w:rFonts w:eastAsia="Times New Roman"/>
          <w:b/>
          <w:color w:val="00B050"/>
          <w:szCs w:val="22"/>
        </w:rPr>
        <w:t xml:space="preserve"> – N</w:t>
      </w:r>
      <w:r w:rsidR="002267E6" w:rsidRPr="00D85B4E">
        <w:rPr>
          <w:rFonts w:eastAsia="Times New Roman"/>
          <w:b/>
          <w:color w:val="00B050"/>
          <w:szCs w:val="22"/>
        </w:rPr>
        <w:t>ew Entry</w:t>
      </w:r>
    </w:p>
    <w:p w14:paraId="0447157D" w14:textId="77777777" w:rsidR="00D72019" w:rsidRPr="00D85B4E" w:rsidRDefault="00D72019" w:rsidP="002267E6">
      <w:pPr>
        <w:ind w:left="426"/>
        <w:rPr>
          <w:b/>
          <w:color w:val="00B050"/>
        </w:rPr>
      </w:pPr>
      <w:r w:rsidRPr="00D85B4E">
        <w:rPr>
          <w:b/>
          <w:color w:val="00B050"/>
        </w:rPr>
        <w:t>MAGNESIUM HYDROXIDE</w:t>
      </w:r>
    </w:p>
    <w:p w14:paraId="1E7B28F4" w14:textId="77777777" w:rsidR="00D72019" w:rsidRPr="00D85B4E" w:rsidRDefault="00D72019" w:rsidP="002267E6">
      <w:pPr>
        <w:ind w:left="426"/>
        <w:rPr>
          <w:color w:val="00B050"/>
        </w:rPr>
      </w:pPr>
      <w:r w:rsidRPr="00D85B4E">
        <w:rPr>
          <w:color w:val="00B050"/>
        </w:rPr>
        <w:t>Appendix B, Part 3</w:t>
      </w:r>
    </w:p>
    <w:p w14:paraId="01AAD128" w14:textId="3DE34CBA" w:rsidR="00D72019" w:rsidRPr="002267E6" w:rsidRDefault="00D72019" w:rsidP="002267E6">
      <w:pPr>
        <w:pStyle w:val="Heading4"/>
      </w:pPr>
      <w:r>
        <w:t>Materials considered</w:t>
      </w:r>
    </w:p>
    <w:p w14:paraId="1126A767" w14:textId="325FE597" w:rsidR="00D72019" w:rsidRDefault="0070510D" w:rsidP="00D72019">
      <w:r>
        <w:t>In making this final</w:t>
      </w:r>
      <w:r w:rsidR="00D72019">
        <w:t xml:space="preserve"> decision, the Delegate considered the following material:</w:t>
      </w:r>
    </w:p>
    <w:p w14:paraId="12F0D2EB" w14:textId="709888C0" w:rsidR="00D72019" w:rsidRDefault="00D72019" w:rsidP="00D72019">
      <w:pPr>
        <w:pStyle w:val="ListBullet"/>
        <w:numPr>
          <w:ilvl w:val="0"/>
          <w:numId w:val="1"/>
        </w:numPr>
      </w:pPr>
      <w:r>
        <w:t xml:space="preserve">The </w:t>
      </w:r>
      <w:hyperlink r:id="rId60" w:history="1">
        <w:r w:rsidRPr="0034194E">
          <w:rPr>
            <w:rStyle w:val="Hyperlink"/>
          </w:rPr>
          <w:t>application</w:t>
        </w:r>
      </w:hyperlink>
      <w:r>
        <w:t xml:space="preserve"> to amend the current Poisons Standard with respect to magnesium hydroxide;</w:t>
      </w:r>
    </w:p>
    <w:p w14:paraId="47322736" w14:textId="015CDDF4" w:rsidR="0070510D" w:rsidRDefault="00D72019" w:rsidP="0070510D">
      <w:pPr>
        <w:pStyle w:val="ListBullet"/>
        <w:numPr>
          <w:ilvl w:val="0"/>
          <w:numId w:val="1"/>
        </w:numPr>
      </w:pPr>
      <w:r>
        <w:t>The 1</w:t>
      </w:r>
      <w:r w:rsidR="00075612">
        <w:t>23</w:t>
      </w:r>
      <w:r>
        <w:t xml:space="preserve"> </w:t>
      </w:r>
      <w:hyperlink r:id="rId61" w:history="1">
        <w:r w:rsidRPr="007E2128">
          <w:rPr>
            <w:rStyle w:val="Hyperlink"/>
          </w:rPr>
          <w:t>public submission</w:t>
        </w:r>
        <w:r w:rsidR="007E2128" w:rsidRPr="007E2128">
          <w:rPr>
            <w:rStyle w:val="Hyperlink"/>
          </w:rPr>
          <w:t>s</w:t>
        </w:r>
      </w:hyperlink>
      <w:r w:rsidR="00CE28B7" w:rsidRPr="008D5396">
        <w:t>, including one written submission,</w:t>
      </w:r>
      <w:r w:rsidR="007E2128">
        <w:t xml:space="preserve"> </w:t>
      </w:r>
      <w:r>
        <w:t xml:space="preserve">received in response to the </w:t>
      </w:r>
      <w:hyperlink r:id="rId62" w:history="1">
        <w:r w:rsidRPr="008B04C4">
          <w:rPr>
            <w:rStyle w:val="Hyperlink"/>
          </w:rPr>
          <w:t>pre-meeting consultation</w:t>
        </w:r>
      </w:hyperlink>
      <w:r>
        <w:t xml:space="preserve"> under regulation 42ZCZK of the Regulations</w:t>
      </w:r>
      <w:r w:rsidR="00075612">
        <w:t>;</w:t>
      </w:r>
    </w:p>
    <w:p w14:paraId="73A375A5" w14:textId="0EE706F7" w:rsidR="00D72019" w:rsidRDefault="00D72019" w:rsidP="00D72019">
      <w:pPr>
        <w:pStyle w:val="ListBullet"/>
        <w:numPr>
          <w:ilvl w:val="0"/>
          <w:numId w:val="1"/>
        </w:numPr>
      </w:pPr>
      <w:r>
        <w:t>The advice received from th</w:t>
      </w:r>
      <w:r w:rsidRPr="00C51001">
        <w:t xml:space="preserve">e </w:t>
      </w:r>
      <w:r w:rsidRPr="00B83B6B">
        <w:t>Advisory Committee on Medicines and Chemicals Scheduling in joint session (Joint ACMS-ACCS #26);</w:t>
      </w:r>
    </w:p>
    <w:p w14:paraId="5002DD30" w14:textId="5BCC1172" w:rsidR="0070510D" w:rsidRDefault="0070510D" w:rsidP="0070510D">
      <w:pPr>
        <w:pStyle w:val="ListBullet"/>
      </w:pPr>
      <w:r>
        <w:t xml:space="preserve">The </w:t>
      </w:r>
      <w:r w:rsidR="009745A7">
        <w:t>89</w:t>
      </w:r>
      <w:r w:rsidR="000E2B9F">
        <w:t xml:space="preserve"> </w:t>
      </w:r>
      <w:hyperlink r:id="rId63" w:history="1">
        <w:r w:rsidRPr="002C365A">
          <w:rPr>
            <w:rStyle w:val="Hyperlink"/>
          </w:rPr>
          <w:t>public submissions</w:t>
        </w:r>
      </w:hyperlink>
      <w:r>
        <w:t xml:space="preserve">, </w:t>
      </w:r>
      <w:r w:rsidRPr="00C85183">
        <w:t xml:space="preserve">including </w:t>
      </w:r>
      <w:r w:rsidR="000B1220">
        <w:t>one</w:t>
      </w:r>
      <w:r w:rsidR="000E2B9F">
        <w:t xml:space="preserve"> written submission</w:t>
      </w:r>
      <w:r w:rsidRPr="00C85183">
        <w:t>,</w:t>
      </w:r>
      <w:r>
        <w:t xml:space="preserve"> received in response to the </w:t>
      </w:r>
      <w:r w:rsidR="001509EE" w:rsidRPr="00220A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60E52317" w14:textId="77777777" w:rsidR="00D72019" w:rsidRDefault="00D72019" w:rsidP="00D72019">
      <w:pPr>
        <w:pStyle w:val="ListBullet"/>
        <w:numPr>
          <w:ilvl w:val="0"/>
          <w:numId w:val="1"/>
        </w:numPr>
      </w:pPr>
      <w:r w:rsidRPr="001169AC">
        <w:t xml:space="preserve">Subsection 52E(1) of </w:t>
      </w:r>
      <w:r w:rsidRPr="001169AC">
        <w:rPr>
          <w:i/>
        </w:rPr>
        <w:t>the Therapeutic Goods Act 1989</w:t>
      </w:r>
      <w:r w:rsidRPr="001169AC">
        <w:t xml:space="preserve">, in particular (a) the risks and benefits of the use of a substance; (b) the purposes for which a substance is to be used and the extent of use of a substance; </w:t>
      </w:r>
      <w:r>
        <w:t>(c) the toxicity of a substance</w:t>
      </w:r>
      <w:r w:rsidRPr="001169AC">
        <w:t>; and (f) any other matters considered nece</w:t>
      </w:r>
      <w:r>
        <w:t>ssary to protect public health;</w:t>
      </w:r>
    </w:p>
    <w:p w14:paraId="518015C7" w14:textId="77777777" w:rsidR="00D72019" w:rsidRDefault="00D72019" w:rsidP="00D72019">
      <w:pPr>
        <w:pStyle w:val="ListBullet"/>
        <w:numPr>
          <w:ilvl w:val="0"/>
          <w:numId w:val="1"/>
        </w:numPr>
      </w:pPr>
      <w:r w:rsidRPr="002C1418">
        <w:t xml:space="preserve">The Australian Health Ministers’ Advisory Council’s </w:t>
      </w:r>
      <w:hyperlink r:id="rId64" w:history="1">
        <w:r w:rsidRPr="001A7580">
          <w:rPr>
            <w:rStyle w:val="Hyperlink"/>
          </w:rPr>
          <w:t>Scheduling Policy Framework</w:t>
        </w:r>
      </w:hyperlink>
      <w:r>
        <w:t xml:space="preserve"> (SPF 2018); </w:t>
      </w:r>
      <w:r w:rsidRPr="00B83B6B">
        <w:t>and</w:t>
      </w:r>
    </w:p>
    <w:p w14:paraId="39D046C4" w14:textId="184414F3" w:rsidR="00D72019" w:rsidRDefault="00D72019" w:rsidP="00D72019">
      <w:pPr>
        <w:pStyle w:val="ListBullet"/>
        <w:numPr>
          <w:ilvl w:val="0"/>
          <w:numId w:val="1"/>
        </w:numPr>
      </w:pPr>
      <w:r>
        <w:t xml:space="preserve">The </w:t>
      </w:r>
      <w:hyperlink r:id="rId65" w:history="1">
        <w:r w:rsidRPr="002C365A">
          <w:rPr>
            <w:rStyle w:val="Hyperlink"/>
          </w:rPr>
          <w:t>Scheduling handbook: Guidance for amending the Poisons Standard</w:t>
        </w:r>
      </w:hyperlink>
      <w:r>
        <w:t>.</w:t>
      </w:r>
    </w:p>
    <w:p w14:paraId="06378E05" w14:textId="77A3990D" w:rsidR="00D72019" w:rsidRPr="00461FD3" w:rsidRDefault="00461FD3" w:rsidP="00461FD3">
      <w:pPr>
        <w:pStyle w:val="Heading4"/>
      </w:pPr>
      <w:r>
        <w:t>Reasons for the final</w:t>
      </w:r>
      <w:r w:rsidRPr="00436C41">
        <w:t xml:space="preserve"> decision (including findings on material questions of fact)</w:t>
      </w:r>
    </w:p>
    <w:p w14:paraId="56C4C1EC" w14:textId="223737EB" w:rsidR="00461FD3" w:rsidRDefault="00461FD3" w:rsidP="00461FD3">
      <w:r w:rsidRPr="00253509">
        <w:t>I have made a final decision to confirm</w:t>
      </w:r>
      <w:r>
        <w:t xml:space="preserve"> my </w:t>
      </w:r>
      <w:hyperlink r:id="rId66" w:history="1">
        <w:r w:rsidRPr="008F73DD">
          <w:rPr>
            <w:rStyle w:val="Hyperlink"/>
          </w:rPr>
          <w:t>interim decision</w:t>
        </w:r>
      </w:hyperlink>
      <w:r>
        <w:t xml:space="preserve"> to amend</w:t>
      </w:r>
      <w:r w:rsidRPr="00253509">
        <w:t xml:space="preserve"> the current Poisons Standard with re</w:t>
      </w:r>
      <w:r>
        <w:t>spect to magnesium hydroxide</w:t>
      </w:r>
      <w:r w:rsidRPr="00253509">
        <w:t xml:space="preserve">. </w:t>
      </w:r>
      <w:r w:rsidRPr="008F73DD">
        <w:t>My reasons for making the final decision are those s</w:t>
      </w:r>
      <w:r>
        <w:t>et out in the interim decision.</w:t>
      </w:r>
      <w:r w:rsidRPr="008F73DD">
        <w:t xml:space="preserve"> </w:t>
      </w:r>
      <w:r w:rsidRPr="00253509">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Regulations.</w:t>
      </w:r>
      <w:r>
        <w:t xml:space="preserve"> </w:t>
      </w:r>
      <w:r w:rsidRPr="00087130">
        <w:t>I</w:t>
      </w:r>
      <w:r w:rsidR="00191C26" w:rsidRPr="00087130">
        <w:t xml:space="preserve"> note that one</w:t>
      </w:r>
      <w:r w:rsidRPr="00087130">
        <w:t xml:space="preserve"> written</w:t>
      </w:r>
      <w:r w:rsidR="00191C26" w:rsidRPr="00087130">
        <w:t xml:space="preserve"> public submission </w:t>
      </w:r>
      <w:proofErr w:type="gramStart"/>
      <w:r w:rsidR="00191C26" w:rsidRPr="00087130">
        <w:t>was</w:t>
      </w:r>
      <w:r w:rsidRPr="00087130">
        <w:t xml:space="preserve"> received</w:t>
      </w:r>
      <w:proofErr w:type="gramEnd"/>
      <w:r w:rsidR="00191C26" w:rsidRPr="00087130">
        <w:t>, from Accord Australasia, which was supportive of</w:t>
      </w:r>
      <w:r w:rsidR="002C365A">
        <w:t xml:space="preserve"> the interim decision.</w:t>
      </w:r>
    </w:p>
    <w:p w14:paraId="7F1347C7" w14:textId="0C441F93" w:rsidR="00D72019" w:rsidRPr="009B0447" w:rsidRDefault="00AC585F" w:rsidP="00461FD3">
      <w:pPr>
        <w:pStyle w:val="Heading4"/>
        <w:ind w:left="0" w:firstLine="0"/>
      </w:pPr>
      <w:r>
        <w:t>I</w:t>
      </w:r>
      <w:r w:rsidR="00D72019">
        <w:t>mplementation date</w:t>
      </w:r>
    </w:p>
    <w:p w14:paraId="21B59FD2" w14:textId="77777777" w:rsidR="00D72019" w:rsidRPr="00C04EDA" w:rsidRDefault="00D72019" w:rsidP="00D72019">
      <w:pPr>
        <w:spacing w:after="240"/>
        <w:rPr>
          <w:rFonts w:asciiTheme="minorHAnsi" w:hAnsiTheme="minorHAnsi"/>
          <w:bCs/>
          <w:szCs w:val="22"/>
        </w:rPr>
      </w:pPr>
      <w:r w:rsidRPr="00AD5029">
        <w:rPr>
          <w:b/>
        </w:rPr>
        <w:t>1 June 2021</w:t>
      </w:r>
    </w:p>
    <w:p w14:paraId="1785CF09" w14:textId="1FBDDFE0" w:rsidR="00D72019" w:rsidRDefault="00461FD3" w:rsidP="00F53323">
      <w:pPr>
        <w:pStyle w:val="Heading3"/>
      </w:pPr>
      <w:bookmarkStart w:id="43" w:name="_Toc69977424"/>
      <w:r>
        <w:t>Final</w:t>
      </w:r>
      <w:r w:rsidR="008E2279">
        <w:t xml:space="preserve"> decision in relation to t</w:t>
      </w:r>
      <w:r w:rsidR="00D72019">
        <w:t>etrahydrofurfuryl alcohol</w:t>
      </w:r>
      <w:bookmarkEnd w:id="43"/>
    </w:p>
    <w:p w14:paraId="396517CB" w14:textId="77777777" w:rsidR="00926541" w:rsidRDefault="00926541" w:rsidP="00926541">
      <w:pPr>
        <w:pStyle w:val="Heading4"/>
      </w:pPr>
      <w:r>
        <w:t>Proposal</w:t>
      </w:r>
    </w:p>
    <w:p w14:paraId="764E9D5C" w14:textId="1A234D9C" w:rsidR="00926541" w:rsidRPr="000D5645" w:rsidRDefault="00530625" w:rsidP="00926541">
      <w:r>
        <w:t>The applicant proposed a</w:t>
      </w:r>
      <w:r w:rsidR="00CA6A77">
        <w:t xml:space="preserve"> new Schedule 6 entry for </w:t>
      </w:r>
      <w:r w:rsidR="00926541">
        <w:t>tetrahydrofurfuryl alco</w:t>
      </w:r>
      <w:r w:rsidR="002C365A">
        <w:t>hol, excluding its derivatives.</w:t>
      </w:r>
    </w:p>
    <w:p w14:paraId="03645986" w14:textId="1A6F767C" w:rsidR="00D72019" w:rsidRPr="008036B7" w:rsidRDefault="00461FD3" w:rsidP="002267E6">
      <w:pPr>
        <w:pStyle w:val="Heading4"/>
      </w:pPr>
      <w:r>
        <w:t>Final</w:t>
      </w:r>
      <w:r w:rsidR="002267E6">
        <w:t xml:space="preserve"> decision</w:t>
      </w:r>
    </w:p>
    <w:p w14:paraId="07925A97" w14:textId="6BF8D3A8" w:rsidR="00461FD3" w:rsidRPr="006B47B8" w:rsidRDefault="00461FD3" w:rsidP="00461FD3">
      <w:r>
        <w:t xml:space="preserve">Pursuant to </w:t>
      </w:r>
      <w:r w:rsidRPr="00253509">
        <w:t xml:space="preserve">regulation 42ZCZR of the Regulations, a Delegate of the Secretary has made a final decision to confirm the interim decision and amend the current Poisons Standard in relation to </w:t>
      </w:r>
      <w:r>
        <w:t>tetrahydrofurfuryl alcohol</w:t>
      </w:r>
      <w:r w:rsidRPr="00253509">
        <w:t xml:space="preserve"> as follows:</w:t>
      </w:r>
      <w:r>
        <w:t xml:space="preserve"> </w:t>
      </w:r>
    </w:p>
    <w:p w14:paraId="7BB9E739" w14:textId="77777777" w:rsidR="00D72019" w:rsidRPr="009C65EC" w:rsidRDefault="00D72019" w:rsidP="00D72019">
      <w:pPr>
        <w:ind w:firstLine="426"/>
        <w:rPr>
          <w:rFonts w:eastAsia="Times New Roman"/>
          <w:b/>
          <w:szCs w:val="22"/>
        </w:rPr>
      </w:pPr>
      <w:r>
        <w:rPr>
          <w:rFonts w:eastAsia="Times New Roman"/>
          <w:b/>
          <w:szCs w:val="22"/>
        </w:rPr>
        <w:t xml:space="preserve">Schedule 6 </w:t>
      </w:r>
      <w:r w:rsidRPr="009C65EC">
        <w:rPr>
          <w:rFonts w:eastAsia="Times New Roman"/>
          <w:b/>
          <w:szCs w:val="22"/>
        </w:rPr>
        <w:t>– New Entry</w:t>
      </w:r>
    </w:p>
    <w:p w14:paraId="25E87816" w14:textId="77777777" w:rsidR="00D72019" w:rsidRPr="00D85B4E" w:rsidRDefault="00D72019" w:rsidP="00D72019">
      <w:pPr>
        <w:ind w:left="426"/>
        <w:rPr>
          <w:color w:val="00B050"/>
          <w:szCs w:val="22"/>
        </w:rPr>
      </w:pPr>
      <w:r w:rsidRPr="00D85B4E">
        <w:rPr>
          <w:color w:val="00B050"/>
          <w:szCs w:val="22"/>
        </w:rPr>
        <w:t>TETRAHYDROFURFURYL ALCOHOL, excluding its derivatives.</w:t>
      </w:r>
    </w:p>
    <w:p w14:paraId="62539990" w14:textId="77777777" w:rsidR="00D72019" w:rsidRPr="009C65EC" w:rsidRDefault="00D72019" w:rsidP="00D72019">
      <w:pPr>
        <w:ind w:left="426"/>
        <w:rPr>
          <w:b/>
          <w:szCs w:val="22"/>
        </w:rPr>
      </w:pPr>
      <w:r w:rsidRPr="009C65EC">
        <w:rPr>
          <w:b/>
          <w:szCs w:val="22"/>
        </w:rPr>
        <w:t>Index</w:t>
      </w:r>
    </w:p>
    <w:p w14:paraId="3C3724A5" w14:textId="77777777" w:rsidR="00D72019" w:rsidRPr="00D85B4E" w:rsidRDefault="00D72019" w:rsidP="00D72019">
      <w:pPr>
        <w:ind w:left="426"/>
        <w:rPr>
          <w:b/>
          <w:color w:val="00B050"/>
          <w:szCs w:val="22"/>
        </w:rPr>
      </w:pPr>
      <w:r w:rsidRPr="00D85B4E">
        <w:rPr>
          <w:b/>
          <w:color w:val="00B050"/>
          <w:szCs w:val="22"/>
        </w:rPr>
        <w:t>TETRAHYDROFURFURYL ALCOHOL, excluding its derivatives.</w:t>
      </w:r>
    </w:p>
    <w:p w14:paraId="2A85A708" w14:textId="77777777" w:rsidR="00D72019" w:rsidRPr="00D85B4E" w:rsidRDefault="00D72019" w:rsidP="00D72019">
      <w:pPr>
        <w:ind w:firstLine="426"/>
        <w:rPr>
          <w:color w:val="00B050"/>
          <w:szCs w:val="22"/>
        </w:rPr>
      </w:pPr>
      <w:r w:rsidRPr="00D85B4E">
        <w:rPr>
          <w:color w:val="00B050"/>
          <w:szCs w:val="22"/>
        </w:rPr>
        <w:t>Schedule 6</w:t>
      </w:r>
    </w:p>
    <w:p w14:paraId="6465B69F" w14:textId="111E06A7" w:rsidR="00D72019" w:rsidRDefault="002267E6" w:rsidP="002267E6">
      <w:pPr>
        <w:pStyle w:val="Heading4"/>
      </w:pPr>
      <w:r>
        <w:t>Materials considered</w:t>
      </w:r>
    </w:p>
    <w:p w14:paraId="2D1BCE00" w14:textId="61C1CB7D" w:rsidR="00D72019" w:rsidRDefault="00461FD3" w:rsidP="00D72019">
      <w:r>
        <w:t>In making this final</w:t>
      </w:r>
      <w:r w:rsidR="00D72019">
        <w:t xml:space="preserve"> decision, the Delegate considered the following material:</w:t>
      </w:r>
    </w:p>
    <w:p w14:paraId="1EBAA07B" w14:textId="47E92010" w:rsidR="00D72019" w:rsidRDefault="00D72019" w:rsidP="003240DF">
      <w:pPr>
        <w:pStyle w:val="ListBullet"/>
        <w:numPr>
          <w:ilvl w:val="0"/>
          <w:numId w:val="1"/>
        </w:numPr>
        <w:spacing w:after="120"/>
        <w:ind w:left="357" w:hanging="357"/>
      </w:pPr>
      <w:r>
        <w:t xml:space="preserve">The </w:t>
      </w:r>
      <w:r w:rsidR="00CA6A77" w:rsidRPr="00220A61">
        <w:t>application</w:t>
      </w:r>
      <w:r>
        <w:t xml:space="preserve"> to amend the current Poisons Standard with respect to THFA;</w:t>
      </w:r>
    </w:p>
    <w:p w14:paraId="78AB5749" w14:textId="42C60846" w:rsidR="00D72019" w:rsidRDefault="00D72019" w:rsidP="003240DF">
      <w:pPr>
        <w:pStyle w:val="ListBullet"/>
        <w:numPr>
          <w:ilvl w:val="0"/>
          <w:numId w:val="1"/>
        </w:numPr>
        <w:spacing w:after="120"/>
        <w:ind w:left="357" w:hanging="357"/>
      </w:pPr>
      <w:r>
        <w:t xml:space="preserve">The </w:t>
      </w:r>
      <w:r w:rsidR="00075612">
        <w:t xml:space="preserve">122 </w:t>
      </w:r>
      <w:hyperlink r:id="rId67" w:history="1">
        <w:r w:rsidRPr="007E2128">
          <w:rPr>
            <w:rStyle w:val="Hyperlink"/>
          </w:rPr>
          <w:t>public submissions</w:t>
        </w:r>
      </w:hyperlink>
      <w:r w:rsidR="00D56024" w:rsidRPr="008D5396">
        <w:t>, which included no written submissions,</w:t>
      </w:r>
      <w:r>
        <w:t xml:space="preserve"> received in response to the </w:t>
      </w:r>
      <w:hyperlink r:id="rId68" w:history="1">
        <w:r w:rsidRPr="00F53323">
          <w:rPr>
            <w:rStyle w:val="Hyperlink"/>
          </w:rPr>
          <w:t>pre-meeting consultation</w:t>
        </w:r>
      </w:hyperlink>
      <w:r>
        <w:t xml:space="preserve"> under regulation 42ZCZK of the Regulations</w:t>
      </w:r>
      <w:r w:rsidR="00AA20B8">
        <w:t>;</w:t>
      </w:r>
    </w:p>
    <w:p w14:paraId="60408C18" w14:textId="3A1AA2A2" w:rsidR="00D72019" w:rsidRDefault="00D72019" w:rsidP="003240DF">
      <w:pPr>
        <w:pStyle w:val="ListBullet"/>
        <w:numPr>
          <w:ilvl w:val="0"/>
          <w:numId w:val="1"/>
        </w:numPr>
        <w:spacing w:after="120"/>
        <w:ind w:left="357" w:hanging="357"/>
      </w:pPr>
      <w:r>
        <w:t>The advice received from th</w:t>
      </w:r>
      <w:r w:rsidRPr="00C51001">
        <w:t xml:space="preserve">e </w:t>
      </w:r>
      <w:r w:rsidRPr="00487D10">
        <w:t>Advisory Committee on Medicines and Chemicals Scheduling in joi</w:t>
      </w:r>
      <w:r>
        <w:t xml:space="preserve">nt session (Joint ACMS-ACCS </w:t>
      </w:r>
      <w:r w:rsidRPr="00B93CC2">
        <w:t>#26);</w:t>
      </w:r>
    </w:p>
    <w:p w14:paraId="2ADDE291" w14:textId="2E97AD02" w:rsidR="00461FD3" w:rsidRDefault="00461FD3" w:rsidP="00461FD3">
      <w:pPr>
        <w:pStyle w:val="ListBullet"/>
      </w:pPr>
      <w:r>
        <w:t xml:space="preserve">The </w:t>
      </w:r>
      <w:r w:rsidR="009745A7">
        <w:t>79</w:t>
      </w:r>
      <w:r w:rsidR="000E2B9F">
        <w:t xml:space="preserve"> </w:t>
      </w:r>
      <w:hyperlink r:id="rId69" w:history="1">
        <w:r w:rsidR="000E2B9F" w:rsidRPr="002C365A">
          <w:rPr>
            <w:rStyle w:val="Hyperlink"/>
          </w:rPr>
          <w:t>p</w:t>
        </w:r>
        <w:r w:rsidRPr="002C365A">
          <w:rPr>
            <w:rStyle w:val="Hyperlink"/>
          </w:rPr>
          <w:t>ublic submissions</w:t>
        </w:r>
      </w:hyperlink>
      <w:r>
        <w:t xml:space="preserve">, </w:t>
      </w:r>
      <w:r w:rsidR="000E2B9F">
        <w:t>which included</w:t>
      </w:r>
      <w:r w:rsidRPr="00C85183">
        <w:t xml:space="preserve"> </w:t>
      </w:r>
      <w:r w:rsidR="000E2B9F" w:rsidRPr="000E2B9F">
        <w:t>no</w:t>
      </w:r>
      <w:r w:rsidRPr="00C85183">
        <w:t xml:space="preserve"> written submissions,</w:t>
      </w:r>
      <w:r>
        <w:t xml:space="preserve"> received in response to the </w:t>
      </w:r>
      <w:r w:rsidR="001509EE" w:rsidRPr="00220A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274B693C" w14:textId="77777777" w:rsidR="00D72019" w:rsidRDefault="00D72019" w:rsidP="003240DF">
      <w:pPr>
        <w:pStyle w:val="ListBullet"/>
        <w:numPr>
          <w:ilvl w:val="0"/>
          <w:numId w:val="1"/>
        </w:numPr>
        <w:spacing w:after="120"/>
        <w:ind w:left="357" w:hanging="357"/>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w:t>
      </w:r>
      <w:r>
        <w:t>d presentation of a substance;</w:t>
      </w:r>
      <w:r w:rsidRPr="001169AC">
        <w:t xml:space="preserve"> and (f) any other matters considered nece</w:t>
      </w:r>
      <w:r>
        <w:t>ssary to protect public health;</w:t>
      </w:r>
    </w:p>
    <w:p w14:paraId="1310E796" w14:textId="77777777" w:rsidR="00D72019" w:rsidRDefault="00D72019" w:rsidP="003240DF">
      <w:pPr>
        <w:pStyle w:val="ListBullet"/>
        <w:numPr>
          <w:ilvl w:val="0"/>
          <w:numId w:val="1"/>
        </w:numPr>
        <w:spacing w:after="120"/>
        <w:ind w:left="357" w:hanging="357"/>
      </w:pPr>
      <w:r w:rsidRPr="002C1418">
        <w:t xml:space="preserve">The Australian Health Ministers’ Advisory Council’s </w:t>
      </w:r>
      <w:hyperlink r:id="rId70" w:history="1">
        <w:r w:rsidRPr="001A7580">
          <w:rPr>
            <w:rStyle w:val="Hyperlink"/>
          </w:rPr>
          <w:t>Scheduling Policy Framework</w:t>
        </w:r>
      </w:hyperlink>
      <w:r>
        <w:t xml:space="preserve"> (SPF 2018</w:t>
      </w:r>
      <w:r w:rsidRPr="00B93CC2">
        <w:t>); and</w:t>
      </w:r>
    </w:p>
    <w:p w14:paraId="0A910F3B" w14:textId="77777777" w:rsidR="00D72019" w:rsidRDefault="00D72019" w:rsidP="003240DF">
      <w:pPr>
        <w:pStyle w:val="ListBullet"/>
        <w:numPr>
          <w:ilvl w:val="0"/>
          <w:numId w:val="1"/>
        </w:numPr>
        <w:spacing w:after="120"/>
        <w:ind w:left="357" w:hanging="357"/>
      </w:pPr>
      <w:r>
        <w:t xml:space="preserve">The </w:t>
      </w:r>
      <w:hyperlink r:id="rId71" w:history="1">
        <w:r w:rsidRPr="001A7580">
          <w:rPr>
            <w:rStyle w:val="Hyperlink"/>
          </w:rPr>
          <w:t>Scheduling handbook: Guidance for amending the Poisons Standard</w:t>
        </w:r>
      </w:hyperlink>
      <w:r>
        <w:t>.</w:t>
      </w:r>
    </w:p>
    <w:p w14:paraId="7DEC62FB" w14:textId="77777777" w:rsidR="00461FD3" w:rsidRPr="00461FD3" w:rsidRDefault="00461FD3" w:rsidP="00461FD3">
      <w:pPr>
        <w:pStyle w:val="Heading4"/>
      </w:pPr>
      <w:r>
        <w:t>Reasons for the final</w:t>
      </w:r>
      <w:r w:rsidRPr="00436C41">
        <w:t xml:space="preserve"> decision (including findings on material questions of fact)</w:t>
      </w:r>
    </w:p>
    <w:p w14:paraId="03182050" w14:textId="7DB3F19B" w:rsidR="00461FD3" w:rsidRDefault="00461FD3" w:rsidP="00461FD3">
      <w:r w:rsidRPr="00253509">
        <w:t>I have made a final decision to confirm</w:t>
      </w:r>
      <w:r>
        <w:t xml:space="preserve"> my </w:t>
      </w:r>
      <w:hyperlink r:id="rId72" w:history="1">
        <w:r w:rsidRPr="008F73DD">
          <w:rPr>
            <w:rStyle w:val="Hyperlink"/>
          </w:rPr>
          <w:t>interim decision</w:t>
        </w:r>
      </w:hyperlink>
      <w:r>
        <w:t xml:space="preserve"> to amend</w:t>
      </w:r>
      <w:r w:rsidRPr="00253509">
        <w:t xml:space="preserve"> the current Poisons Standard with re</w:t>
      </w:r>
      <w:r>
        <w:t>spect to tetrahydrofurfuryl alcohol</w:t>
      </w:r>
      <w:r w:rsidRPr="00253509">
        <w:t xml:space="preserve">. </w:t>
      </w:r>
      <w:r w:rsidRPr="008F73DD">
        <w:t>My reasons for making the final decision are those s</w:t>
      </w:r>
      <w:r>
        <w:t>et out in the interim decision.</w:t>
      </w:r>
      <w:r w:rsidRPr="008F73DD">
        <w:t xml:space="preserve"> </w:t>
      </w:r>
      <w:r w:rsidRPr="00253509">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Regulation</w:t>
      </w:r>
      <w:r w:rsidRPr="000E2B9F">
        <w:t>s. I note that no written public submissions were received in response to the interim decision. </w:t>
      </w:r>
    </w:p>
    <w:p w14:paraId="5F41A614" w14:textId="6265DE53" w:rsidR="00D72019" w:rsidRPr="009B0447" w:rsidRDefault="00AC585F" w:rsidP="00461FD3">
      <w:pPr>
        <w:pStyle w:val="Heading4"/>
        <w:ind w:left="0" w:firstLine="0"/>
      </w:pPr>
      <w:r>
        <w:t>I</w:t>
      </w:r>
      <w:r w:rsidR="00D72019">
        <w:t>mplementation date</w:t>
      </w:r>
    </w:p>
    <w:p w14:paraId="748D435A" w14:textId="058D1A8B" w:rsidR="00D72019" w:rsidRDefault="00D72019" w:rsidP="00D72019">
      <w:pPr>
        <w:spacing w:after="240"/>
        <w:rPr>
          <w:b/>
        </w:rPr>
      </w:pPr>
      <w:r>
        <w:rPr>
          <w:b/>
        </w:rPr>
        <w:t>1 June</w:t>
      </w:r>
      <w:r w:rsidRPr="00550FD5">
        <w:rPr>
          <w:b/>
        </w:rPr>
        <w:t xml:space="preserve"> 2021</w:t>
      </w:r>
    </w:p>
    <w:p w14:paraId="6DA68454" w14:textId="0210A6E3" w:rsidR="007C7456" w:rsidRDefault="0036486E" w:rsidP="00F53323">
      <w:pPr>
        <w:pStyle w:val="Heading3"/>
      </w:pPr>
      <w:bookmarkStart w:id="44" w:name="_Toc69977425"/>
      <w:r>
        <w:t>Final</w:t>
      </w:r>
      <w:r w:rsidR="007C7456">
        <w:t xml:space="preserve"> decision in relation to cannabidiol (private application)</w:t>
      </w:r>
      <w:bookmarkEnd w:id="44"/>
    </w:p>
    <w:p w14:paraId="7ED089DC" w14:textId="77777777" w:rsidR="008C28B9" w:rsidRDefault="008C28B9" w:rsidP="008C28B9">
      <w:pPr>
        <w:pStyle w:val="Heading4"/>
      </w:pPr>
      <w:r>
        <w:t>Proposal</w:t>
      </w:r>
    </w:p>
    <w:p w14:paraId="2145B1D0" w14:textId="4EE563D9" w:rsidR="008C28B9" w:rsidRPr="000D5645" w:rsidRDefault="00530625" w:rsidP="008C28B9">
      <w:r>
        <w:t xml:space="preserve">The applicant proposed </w:t>
      </w:r>
      <w:r w:rsidR="00DC2833">
        <w:t xml:space="preserve">to </w:t>
      </w:r>
      <w:r>
        <w:t>a</w:t>
      </w:r>
      <w:r w:rsidR="008C28B9">
        <w:t>men</w:t>
      </w:r>
      <w:r w:rsidR="00025134">
        <w:t>d</w:t>
      </w:r>
      <w:r w:rsidR="008C28B9">
        <w:t xml:space="preserve"> the Schedule 4 entry for cannabidiol to </w:t>
      </w:r>
      <w:r>
        <w:t xml:space="preserve">explicitly capture </w:t>
      </w:r>
      <w:r w:rsidR="008C28B9">
        <w:t xml:space="preserve">synthetic </w:t>
      </w:r>
      <w:r>
        <w:t xml:space="preserve">and semi-synthetic </w:t>
      </w:r>
      <w:r w:rsidR="008C28B9">
        <w:t>cannabidiol</w:t>
      </w:r>
      <w:r w:rsidR="00DC2833">
        <w:t xml:space="preserve"> and to </w:t>
      </w:r>
      <w:r w:rsidR="00025134">
        <w:t xml:space="preserve">make an </w:t>
      </w:r>
      <w:r w:rsidR="00DC2833">
        <w:t>explicit</w:t>
      </w:r>
      <w:r w:rsidR="00025134">
        <w:t xml:space="preserve"> 2%</w:t>
      </w:r>
      <w:r w:rsidR="00DC2833">
        <w:t xml:space="preserve"> limit </w:t>
      </w:r>
      <w:r w:rsidR="00025134">
        <w:t xml:space="preserve">to </w:t>
      </w:r>
      <w:r w:rsidR="00DC2833">
        <w:t>any impurities in synthetic cannabidiol</w:t>
      </w:r>
      <w:r w:rsidR="008C28B9">
        <w:t xml:space="preserve">.  </w:t>
      </w:r>
    </w:p>
    <w:p w14:paraId="282F7451" w14:textId="0AB7AA03" w:rsidR="007C7456" w:rsidRPr="008036B7" w:rsidRDefault="0036486E" w:rsidP="00C14992">
      <w:pPr>
        <w:pStyle w:val="Heading4"/>
      </w:pPr>
      <w:r>
        <w:t>Final</w:t>
      </w:r>
      <w:r w:rsidR="00C14992">
        <w:t xml:space="preserve"> decision</w:t>
      </w:r>
    </w:p>
    <w:p w14:paraId="3F8E0D2F" w14:textId="21472D7F" w:rsidR="007C7456" w:rsidRDefault="00461FD3" w:rsidP="007C7456">
      <w:r w:rsidRPr="00C55FF4">
        <w:t xml:space="preserve">Pursuant to regulation </w:t>
      </w:r>
      <w:r w:rsidRPr="00C21694">
        <w:t>42ZCZR of the Regulations, a Delegate of the Secretary has made a final decision to confirm the interim decision and not amend the current Poisons Sta</w:t>
      </w:r>
      <w:r>
        <w:t>ndard in relation to</w:t>
      </w:r>
      <w:r w:rsidR="007C7456" w:rsidRPr="006B47B8">
        <w:t xml:space="preserve"> </w:t>
      </w:r>
      <w:r w:rsidR="007C7456">
        <w:t>cannabidiol.</w:t>
      </w:r>
    </w:p>
    <w:p w14:paraId="479CA209" w14:textId="7D4CC8A0" w:rsidR="007C7456" w:rsidRDefault="00C14992" w:rsidP="00C14992">
      <w:pPr>
        <w:pStyle w:val="Heading4"/>
      </w:pPr>
      <w:r>
        <w:t>Materials considered</w:t>
      </w:r>
    </w:p>
    <w:p w14:paraId="5F010491" w14:textId="6DBD5BE0" w:rsidR="007C7456" w:rsidRDefault="0036486E" w:rsidP="007C7456">
      <w:r>
        <w:t>In making this final</w:t>
      </w:r>
      <w:r w:rsidR="007C7456">
        <w:t xml:space="preserve"> decision, the Delegate considered the following material:</w:t>
      </w:r>
    </w:p>
    <w:p w14:paraId="45190B96" w14:textId="53D6C9A8" w:rsidR="007C7456" w:rsidRDefault="007C7456" w:rsidP="007C7456">
      <w:pPr>
        <w:pStyle w:val="ListBullet"/>
        <w:numPr>
          <w:ilvl w:val="0"/>
          <w:numId w:val="1"/>
        </w:numPr>
      </w:pPr>
      <w:r w:rsidRPr="006B47B8">
        <w:t xml:space="preserve">The </w:t>
      </w:r>
      <w:r w:rsidR="00CA6A77" w:rsidRPr="00220A61">
        <w:t>application</w:t>
      </w:r>
      <w:r w:rsidRPr="006B47B8">
        <w:t xml:space="preserve"> to amend</w:t>
      </w:r>
      <w:r>
        <w:t xml:space="preserve"> the current Poisons Standard with respect to cannabidol;</w:t>
      </w:r>
    </w:p>
    <w:p w14:paraId="6CDE5C52" w14:textId="530A4EAE" w:rsidR="007C7456" w:rsidRDefault="007C7456" w:rsidP="007C7456">
      <w:pPr>
        <w:pStyle w:val="ListBullet"/>
        <w:numPr>
          <w:ilvl w:val="0"/>
          <w:numId w:val="1"/>
        </w:numPr>
      </w:pPr>
      <w:r>
        <w:t xml:space="preserve">The </w:t>
      </w:r>
      <w:r w:rsidR="007E2128">
        <w:t>228</w:t>
      </w:r>
      <w:r w:rsidRPr="007C7456">
        <w:t xml:space="preserve"> </w:t>
      </w:r>
      <w:hyperlink r:id="rId73" w:history="1">
        <w:r w:rsidRPr="007E2128">
          <w:rPr>
            <w:rStyle w:val="Hyperlink"/>
          </w:rPr>
          <w:t>public submissions</w:t>
        </w:r>
      </w:hyperlink>
      <w:r w:rsidR="00D56024" w:rsidRPr="00996651">
        <w:t>, including 20 written submissions,</w:t>
      </w:r>
      <w:r w:rsidRPr="007C7456">
        <w:t xml:space="preserve"> received in response to the </w:t>
      </w:r>
      <w:hyperlink r:id="rId74" w:history="1">
        <w:r w:rsidRPr="007C7456">
          <w:rPr>
            <w:rStyle w:val="Hyperlink"/>
          </w:rPr>
          <w:t>pre-meeting consultation</w:t>
        </w:r>
      </w:hyperlink>
      <w:r w:rsidRPr="007C7456">
        <w:t xml:space="preserve"> under regulation 42ZCZK</w:t>
      </w:r>
      <w:r>
        <w:t xml:space="preserve"> of the Regulations;</w:t>
      </w:r>
    </w:p>
    <w:p w14:paraId="2988A609" w14:textId="53E3A43B" w:rsidR="007C7456" w:rsidRDefault="007C7456" w:rsidP="007C7456">
      <w:pPr>
        <w:pStyle w:val="ListBullet"/>
        <w:numPr>
          <w:ilvl w:val="0"/>
          <w:numId w:val="1"/>
        </w:numPr>
      </w:pPr>
      <w:r>
        <w:t>The advice received from th</w:t>
      </w:r>
      <w:r w:rsidRPr="00C51001">
        <w:t xml:space="preserve">e </w:t>
      </w:r>
      <w:r w:rsidRPr="00487D10">
        <w:t>Advisory Committee on Medicines and Chemicals Scheduling in joi</w:t>
      </w:r>
      <w:r>
        <w:t>nt session (Jo</w:t>
      </w:r>
      <w:r w:rsidRPr="006B47B8">
        <w:t>int ACMS-ACCS #26);</w:t>
      </w:r>
    </w:p>
    <w:p w14:paraId="5F203F94" w14:textId="4003EE94" w:rsidR="0036486E" w:rsidRDefault="0036486E" w:rsidP="0036486E">
      <w:pPr>
        <w:pStyle w:val="ListBullet"/>
      </w:pPr>
      <w:r>
        <w:t xml:space="preserve">The </w:t>
      </w:r>
      <w:r w:rsidR="009745A7">
        <w:t>238</w:t>
      </w:r>
      <w:r w:rsidR="000E2B9F">
        <w:t xml:space="preserve"> </w:t>
      </w:r>
      <w:hyperlink r:id="rId75" w:history="1">
        <w:r w:rsidRPr="002C365A">
          <w:rPr>
            <w:rStyle w:val="Hyperlink"/>
          </w:rPr>
          <w:t>public submissions</w:t>
        </w:r>
      </w:hyperlink>
      <w:r>
        <w:t xml:space="preserve">, </w:t>
      </w:r>
      <w:r w:rsidRPr="00C85183">
        <w:t xml:space="preserve">including </w:t>
      </w:r>
      <w:r w:rsidR="000E2B9F" w:rsidRPr="000E2B9F">
        <w:t>28</w:t>
      </w:r>
      <w:r w:rsidRPr="00C85183">
        <w:t xml:space="preserve"> written submissions,</w:t>
      </w:r>
      <w:r>
        <w:t xml:space="preserve"> received in response to the </w:t>
      </w:r>
      <w:r w:rsidR="001509EE" w:rsidRPr="00220A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7A565EA3" w14:textId="77777777" w:rsidR="007C7456" w:rsidRDefault="007C7456" w:rsidP="007C7456">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w:t>
      </w:r>
      <w:r>
        <w:t>d presentation of a substance;</w:t>
      </w:r>
      <w:r w:rsidRPr="001169AC">
        <w:t xml:space="preserve"> </w:t>
      </w:r>
      <w:r w:rsidRPr="002B71CF">
        <w:t xml:space="preserve">(e) the potential for abuse of the substance; </w:t>
      </w:r>
      <w:r w:rsidRPr="001169AC">
        <w:t>and (f) any other matters considered nece</w:t>
      </w:r>
      <w:r>
        <w:t>ssary to protect public health;</w:t>
      </w:r>
    </w:p>
    <w:p w14:paraId="5E799C55" w14:textId="77777777" w:rsidR="007C7456" w:rsidRDefault="007C7456" w:rsidP="007C7456">
      <w:pPr>
        <w:pStyle w:val="ListBullet"/>
        <w:numPr>
          <w:ilvl w:val="0"/>
          <w:numId w:val="1"/>
        </w:numPr>
      </w:pPr>
      <w:r w:rsidRPr="002C1418">
        <w:t xml:space="preserve">The Australian Health Ministers’ Advisory Council’s </w:t>
      </w:r>
      <w:hyperlink r:id="rId76" w:history="1">
        <w:r w:rsidRPr="001A7580">
          <w:rPr>
            <w:rStyle w:val="Hyperlink"/>
          </w:rPr>
          <w:t>Scheduling Policy Framework</w:t>
        </w:r>
      </w:hyperlink>
      <w:r>
        <w:t xml:space="preserve"> (SPF 2018</w:t>
      </w:r>
      <w:r w:rsidRPr="006B47B8">
        <w:t>); and</w:t>
      </w:r>
    </w:p>
    <w:p w14:paraId="7A6F524D" w14:textId="77777777" w:rsidR="007C7456" w:rsidRDefault="007C7456" w:rsidP="007C7456">
      <w:pPr>
        <w:pStyle w:val="ListBullet"/>
        <w:numPr>
          <w:ilvl w:val="0"/>
          <w:numId w:val="1"/>
        </w:numPr>
      </w:pPr>
      <w:r>
        <w:t xml:space="preserve">The </w:t>
      </w:r>
      <w:hyperlink r:id="rId77" w:history="1">
        <w:r w:rsidRPr="001A7580">
          <w:rPr>
            <w:rStyle w:val="Hyperlink"/>
          </w:rPr>
          <w:t>Scheduling handbook: Guidance for amending the Poisons Standard</w:t>
        </w:r>
      </w:hyperlink>
      <w:r>
        <w:t>.</w:t>
      </w:r>
    </w:p>
    <w:p w14:paraId="2F541BEF" w14:textId="77777777" w:rsidR="00461FD3" w:rsidRPr="00461FD3" w:rsidRDefault="00461FD3" w:rsidP="00461FD3">
      <w:pPr>
        <w:pStyle w:val="Heading4"/>
      </w:pPr>
      <w:r>
        <w:t>Reasons for the final</w:t>
      </w:r>
      <w:r w:rsidRPr="00436C41">
        <w:t xml:space="preserve"> decision (including findings on material questions of fact)</w:t>
      </w:r>
    </w:p>
    <w:p w14:paraId="338777CF" w14:textId="42BBB696" w:rsidR="005005BF" w:rsidRDefault="001B3C79" w:rsidP="001B3C79">
      <w:r w:rsidRPr="0014113C">
        <w:t xml:space="preserve">I have made a final decision to confirm my </w:t>
      </w:r>
      <w:hyperlink r:id="rId78" w:history="1">
        <w:r w:rsidRPr="001B0C27">
          <w:rPr>
            <w:rStyle w:val="Hyperlink"/>
          </w:rPr>
          <w:t>interim decision</w:t>
        </w:r>
      </w:hyperlink>
      <w:r w:rsidRPr="0014113C">
        <w:t xml:space="preserve"> </w:t>
      </w:r>
      <w:proofErr w:type="gramStart"/>
      <w:r w:rsidRPr="0014113C">
        <w:t>to not amend</w:t>
      </w:r>
      <w:proofErr w:type="gramEnd"/>
      <w:r w:rsidRPr="0014113C">
        <w:t xml:space="preserve"> the current Poisons Standard wit</w:t>
      </w:r>
      <w:r>
        <w:t>h respect to cannabidiol</w:t>
      </w:r>
      <w:r w:rsidR="007A7094">
        <w:t xml:space="preserve"> (CBD)</w:t>
      </w:r>
      <w:r w:rsidRPr="0014113C">
        <w:t xml:space="preserve">. </w:t>
      </w:r>
      <w:r w:rsidRPr="001B0C27">
        <w:t>My reasons for making the final decision are those set out in the interim decision.</w:t>
      </w:r>
      <w:r>
        <w:t xml:space="preserve"> </w:t>
      </w:r>
      <w:r w:rsidRPr="0014113C">
        <w:t>In making my final decision, I have taken into account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3 February 2021</w:t>
      </w:r>
      <w:r w:rsidRPr="0014113C">
        <w:t xml:space="preserve"> under regulation 42ZCZP of the Regulati</w:t>
      </w:r>
      <w:r w:rsidR="002C365A">
        <w:t>ons.</w:t>
      </w:r>
    </w:p>
    <w:p w14:paraId="4BD7FE51" w14:textId="6B8249B3" w:rsidR="00DC2833" w:rsidRDefault="008E6D45" w:rsidP="001B3C79">
      <w:r w:rsidRPr="008E6D45">
        <w:t>I note</w:t>
      </w:r>
      <w:r w:rsidR="00A95AB7" w:rsidRPr="008E6D45">
        <w:t xml:space="preserve"> that</w:t>
      </w:r>
      <w:r w:rsidR="00931979" w:rsidRPr="008E6D45">
        <w:t xml:space="preserve"> that 27 of 28 written public submissions were opposed to the interim decision. </w:t>
      </w:r>
      <w:r w:rsidR="00A95AB7" w:rsidRPr="008E6D45">
        <w:t>R</w:t>
      </w:r>
      <w:r w:rsidR="00234D51" w:rsidRPr="008E6D45">
        <w:t>espondents advised that there is a genera</w:t>
      </w:r>
      <w:r w:rsidR="007A7094">
        <w:t>l need for increased access to CBD</w:t>
      </w:r>
      <w:r w:rsidR="00234D51" w:rsidRPr="008E6D45">
        <w:t xml:space="preserve">, </w:t>
      </w:r>
      <w:r w:rsidR="00191C26">
        <w:t xml:space="preserve">often </w:t>
      </w:r>
      <w:r w:rsidR="00234D51" w:rsidRPr="008E6D45">
        <w:t xml:space="preserve">citing personal experience of safe and efficacious use. </w:t>
      </w:r>
      <w:r w:rsidR="00530625">
        <w:t>These submissions did not directly relate to</w:t>
      </w:r>
      <w:r w:rsidR="00931979" w:rsidRPr="008E6D45">
        <w:t xml:space="preserve"> </w:t>
      </w:r>
      <w:r w:rsidR="00234D51" w:rsidRPr="008E6D45">
        <w:t>the scope of the current proposal,</w:t>
      </w:r>
      <w:r w:rsidR="00A95AB7" w:rsidRPr="008E6D45">
        <w:t xml:space="preserve"> </w:t>
      </w:r>
      <w:r w:rsidR="00025134">
        <w:t xml:space="preserve">the </w:t>
      </w:r>
      <w:r w:rsidR="00DC2833">
        <w:t>inten</w:t>
      </w:r>
      <w:r w:rsidR="00025134">
        <w:t>tion of which was</w:t>
      </w:r>
      <w:r w:rsidR="00DC2833">
        <w:t xml:space="preserve"> to include an explicit reference for </w:t>
      </w:r>
      <w:r w:rsidR="00234D51" w:rsidRPr="008E6D45">
        <w:t xml:space="preserve">synthetic </w:t>
      </w:r>
      <w:r w:rsidR="007A7094">
        <w:t xml:space="preserve">CBD </w:t>
      </w:r>
      <w:r w:rsidR="00DC2833">
        <w:t xml:space="preserve">in </w:t>
      </w:r>
      <w:r w:rsidR="00025134">
        <w:t xml:space="preserve">the </w:t>
      </w:r>
      <w:r w:rsidR="00DC2833">
        <w:t>Schedule 4</w:t>
      </w:r>
      <w:r w:rsidR="00025134">
        <w:t xml:space="preserve"> CBD entry</w:t>
      </w:r>
      <w:r w:rsidR="00D316D0">
        <w:t>. With regard to increased access,</w:t>
      </w:r>
      <w:r w:rsidR="00931979" w:rsidRPr="008E6D45">
        <w:t xml:space="preserve"> </w:t>
      </w:r>
      <w:r w:rsidR="00D316D0">
        <w:t xml:space="preserve">I </w:t>
      </w:r>
      <w:r w:rsidR="00931979" w:rsidRPr="008E6D45">
        <w:t xml:space="preserve">refer </w:t>
      </w:r>
      <w:r w:rsidR="00191C26">
        <w:t xml:space="preserve">respondents </w:t>
      </w:r>
      <w:r w:rsidR="00931979" w:rsidRPr="008E6D45">
        <w:t xml:space="preserve">to my </w:t>
      </w:r>
      <w:hyperlink r:id="rId79" w:history="1">
        <w:r w:rsidR="00931979" w:rsidRPr="003C67EF">
          <w:rPr>
            <w:rStyle w:val="Hyperlink"/>
          </w:rPr>
          <w:t>recent decision</w:t>
        </w:r>
      </w:hyperlink>
      <w:r w:rsidR="00A95AB7" w:rsidRPr="008E6D45">
        <w:t xml:space="preserve"> on non-prescription access to </w:t>
      </w:r>
      <w:r w:rsidR="007A7094">
        <w:t>CBD</w:t>
      </w:r>
      <w:r w:rsidR="00931979" w:rsidRPr="008E6D45">
        <w:t>.</w:t>
      </w:r>
    </w:p>
    <w:p w14:paraId="4871E93F" w14:textId="6B9DD2E6" w:rsidR="00B873DA" w:rsidRPr="008E6D45" w:rsidRDefault="00DC2833" w:rsidP="001B3C79">
      <w:r>
        <w:t xml:space="preserve">With respect to this proposal, </w:t>
      </w:r>
      <w:r w:rsidR="00B873DA">
        <w:t xml:space="preserve">I remain of the view </w:t>
      </w:r>
      <w:r w:rsidR="00025134">
        <w:t xml:space="preserve">expressed in my interim decision </w:t>
      </w:r>
      <w:r w:rsidR="00B873DA" w:rsidRPr="00DC2833">
        <w:t>that</w:t>
      </w:r>
      <w:r w:rsidRPr="004B5652">
        <w:rPr>
          <w:color w:val="000000"/>
          <w:lang w:val="en"/>
        </w:rPr>
        <w:t xml:space="preserve"> whilst not explicitly stated in the current Schedule 4 entry, both synthetic and non-synthetic forms of CBD </w:t>
      </w:r>
      <w:proofErr w:type="gramStart"/>
      <w:r w:rsidRPr="004B5652">
        <w:rPr>
          <w:color w:val="000000"/>
          <w:lang w:val="en"/>
        </w:rPr>
        <w:t>are already captured</w:t>
      </w:r>
      <w:proofErr w:type="gramEnd"/>
      <w:r w:rsidRPr="004B5652">
        <w:rPr>
          <w:color w:val="000000"/>
          <w:lang w:val="en"/>
        </w:rPr>
        <w:t xml:space="preserve"> under this entry.</w:t>
      </w:r>
      <w:r>
        <w:t xml:space="preserve"> I also </w:t>
      </w:r>
      <w:r w:rsidRPr="007F3727">
        <w:t xml:space="preserve">considered the </w:t>
      </w:r>
      <w:r w:rsidRPr="00220A61">
        <w:rPr>
          <w:color w:val="000000"/>
          <w:lang w:val="en"/>
        </w:rPr>
        <w:t xml:space="preserve">need to limit synthetic cannabinoid impurities </w:t>
      </w:r>
      <w:r w:rsidRPr="007F3727">
        <w:rPr>
          <w:color w:val="000000"/>
          <w:lang w:val="en"/>
        </w:rPr>
        <w:t xml:space="preserve">in </w:t>
      </w:r>
      <w:r w:rsidRPr="00220A61">
        <w:rPr>
          <w:color w:val="000000"/>
          <w:lang w:val="en"/>
        </w:rPr>
        <w:t xml:space="preserve">Schedule 4 </w:t>
      </w:r>
      <w:r>
        <w:rPr>
          <w:color w:val="000000"/>
          <w:lang w:val="en"/>
        </w:rPr>
        <w:t xml:space="preserve">in my interim decision. I still remain of the view that </w:t>
      </w:r>
      <w:r w:rsidRPr="00220A61">
        <w:rPr>
          <w:color w:val="000000"/>
          <w:lang w:val="en"/>
        </w:rPr>
        <w:t xml:space="preserve">there is no justification for the inclusion of impurities in a synthetically derived CBD product. It is important to prevent presence of synthetic cannabinoids in CBD products as they are potentially of greater potency than naturally occurring </w:t>
      </w:r>
      <w:r>
        <w:rPr>
          <w:color w:val="000000"/>
          <w:lang w:val="en"/>
        </w:rPr>
        <w:t xml:space="preserve">cannabinoids </w:t>
      </w:r>
      <w:r w:rsidR="004C0707">
        <w:rPr>
          <w:color w:val="000000"/>
          <w:lang w:val="en"/>
        </w:rPr>
        <w:t xml:space="preserve">and </w:t>
      </w:r>
      <w:r>
        <w:rPr>
          <w:color w:val="000000"/>
          <w:lang w:val="en"/>
        </w:rPr>
        <w:t xml:space="preserve">could exert a psychoactive effect </w:t>
      </w:r>
      <w:r w:rsidRPr="00220A61">
        <w:rPr>
          <w:color w:val="000000"/>
          <w:lang w:val="en"/>
        </w:rPr>
        <w:t>at the 2% limit proposed in the application</w:t>
      </w:r>
      <w:r w:rsidR="004C5C51">
        <w:rPr>
          <w:color w:val="000000"/>
          <w:lang w:val="en"/>
        </w:rPr>
        <w:t>.</w:t>
      </w:r>
    </w:p>
    <w:sectPr w:rsidR="00B873DA" w:rsidRPr="008E6D45" w:rsidSect="003A48A2">
      <w:headerReference w:type="default" r:id="rId80"/>
      <w:footerReference w:type="default" r:id="rId81"/>
      <w:headerReference w:type="first" r:id="rId82"/>
      <w:footerReference w:type="first" r:id="rId83"/>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8460" w14:textId="77777777" w:rsidR="00237203" w:rsidRDefault="00237203" w:rsidP="00C40A36">
      <w:pPr>
        <w:spacing w:after="0"/>
      </w:pPr>
      <w:r>
        <w:separator/>
      </w:r>
    </w:p>
  </w:endnote>
  <w:endnote w:type="continuationSeparator" w:id="0">
    <w:p w14:paraId="6A7270D4" w14:textId="77777777" w:rsidR="00237203" w:rsidRDefault="0023720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237203" w:rsidRPr="00257138" w14:paraId="14B40608" w14:textId="77777777" w:rsidTr="009B00CC">
      <w:trPr>
        <w:trHeight w:val="423"/>
      </w:trPr>
      <w:tc>
        <w:tcPr>
          <w:tcW w:w="7338" w:type="dxa"/>
          <w:tcBorders>
            <w:top w:val="single" w:sz="4" w:space="0" w:color="auto"/>
          </w:tcBorders>
        </w:tcPr>
        <w:p w14:paraId="01C0B506" w14:textId="77777777" w:rsidR="00237203" w:rsidRDefault="00237203" w:rsidP="003F3095">
          <w:pPr>
            <w:pStyle w:val="Footer"/>
          </w:pPr>
          <w:r>
            <w:t>Record of the 29th meeting of the Advisory Committee on Medicines Scheduling</w:t>
          </w:r>
        </w:p>
        <w:p w14:paraId="5C7A2176" w14:textId="13ECDCE6" w:rsidR="00237203" w:rsidRPr="00257138" w:rsidRDefault="00237203"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237203" w:rsidRDefault="00237203" w:rsidP="00782870">
              <w:pPr>
                <w:pStyle w:val="Footer"/>
                <w:jc w:val="right"/>
              </w:pPr>
            </w:p>
            <w:p w14:paraId="650BE744" w14:textId="413B70EB" w:rsidR="00237203" w:rsidRPr="00257138" w:rsidRDefault="00237203"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C365A">
                <w:fldChar w:fldCharType="begin"/>
              </w:r>
              <w:r w:rsidR="002C365A">
                <w:instrText xml:space="preserve"> NUMPAGES  </w:instrText>
              </w:r>
              <w:r w:rsidR="002C365A">
                <w:fldChar w:fldCharType="separate"/>
              </w:r>
              <w:r>
                <w:rPr>
                  <w:noProof/>
                </w:rPr>
                <w:t>42</w:t>
              </w:r>
              <w:r w:rsidR="002C365A">
                <w:rPr>
                  <w:noProof/>
                </w:rPr>
                <w:fldChar w:fldCharType="end"/>
              </w:r>
            </w:p>
          </w:sdtContent>
        </w:sdt>
      </w:tc>
    </w:tr>
    <w:tr w:rsidR="00237203" w:rsidRPr="00257138" w14:paraId="10AB8BED" w14:textId="77777777" w:rsidTr="009B00CC">
      <w:trPr>
        <w:trHeight w:val="263"/>
      </w:trPr>
      <w:tc>
        <w:tcPr>
          <w:tcW w:w="7338" w:type="dxa"/>
        </w:tcPr>
        <w:p w14:paraId="59580AB7" w14:textId="19B73688" w:rsidR="00237203" w:rsidRPr="00257138" w:rsidRDefault="00237203" w:rsidP="00782870">
          <w:pPr>
            <w:pStyle w:val="Footer"/>
          </w:pPr>
        </w:p>
      </w:tc>
      <w:tc>
        <w:tcPr>
          <w:tcW w:w="1382" w:type="dxa"/>
        </w:tcPr>
        <w:p w14:paraId="219FF5F5" w14:textId="77777777" w:rsidR="00237203" w:rsidRPr="00257138" w:rsidRDefault="00237203" w:rsidP="00782870">
          <w:pPr>
            <w:pStyle w:val="Footer"/>
            <w:jc w:val="right"/>
          </w:pPr>
        </w:p>
      </w:tc>
    </w:tr>
  </w:tbl>
  <w:p w14:paraId="2023C75C" w14:textId="77777777" w:rsidR="00237203" w:rsidRPr="00826007" w:rsidRDefault="00237203"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237203" w:rsidRPr="00257138" w14:paraId="11075AFF" w14:textId="77777777" w:rsidTr="009468C6">
      <w:trPr>
        <w:trHeight w:val="423"/>
      </w:trPr>
      <w:tc>
        <w:tcPr>
          <w:tcW w:w="7338" w:type="dxa"/>
        </w:tcPr>
        <w:p w14:paraId="61B06247" w14:textId="6E86DF09" w:rsidR="00237203" w:rsidRDefault="00237203" w:rsidP="00516E40">
          <w:pPr>
            <w:pStyle w:val="Footer"/>
          </w:pPr>
          <w:r>
            <w:t>Delegate’s final decisions and reasons for decisions (ACCS#29, ACMS#32, Joint ACMS-ACCS #26, November 2020)</w:t>
          </w:r>
        </w:p>
        <w:p w14:paraId="13E7B9DF" w14:textId="31E5A69D" w:rsidR="00237203" w:rsidRPr="00257138" w:rsidRDefault="00237203" w:rsidP="00BD0155">
          <w:pPr>
            <w:pStyle w:val="Footer"/>
          </w:pPr>
          <w:r>
            <w:t>22 April 2021</w:t>
          </w:r>
        </w:p>
      </w:tc>
      <w:tc>
        <w:tcPr>
          <w:tcW w:w="1382" w:type="dxa"/>
        </w:tcPr>
        <w:sdt>
          <w:sdtPr>
            <w:id w:val="6788836"/>
            <w:docPartObj>
              <w:docPartGallery w:val="Page Numbers (Top of Page)"/>
              <w:docPartUnique/>
            </w:docPartObj>
          </w:sdtPr>
          <w:sdtEndPr/>
          <w:sdtContent>
            <w:p w14:paraId="3BD26206" w14:textId="565867DF" w:rsidR="00237203" w:rsidRPr="00257138" w:rsidRDefault="00237203" w:rsidP="009468C6">
              <w:pPr>
                <w:pStyle w:val="Footer"/>
                <w:jc w:val="right"/>
              </w:pPr>
              <w:r w:rsidRPr="00257138">
                <w:t xml:space="preserve">Page </w:t>
              </w:r>
              <w:r>
                <w:fldChar w:fldCharType="begin"/>
              </w:r>
              <w:r>
                <w:instrText xml:space="preserve"> PAGE </w:instrText>
              </w:r>
              <w:r>
                <w:fldChar w:fldCharType="separate"/>
              </w:r>
              <w:r w:rsidR="002C365A">
                <w:rPr>
                  <w:noProof/>
                </w:rPr>
                <w:t>16</w:t>
              </w:r>
              <w:r>
                <w:fldChar w:fldCharType="end"/>
              </w:r>
              <w:r w:rsidRPr="00257138">
                <w:t xml:space="preserve"> of </w:t>
              </w:r>
              <w:r w:rsidR="002C365A">
                <w:fldChar w:fldCharType="begin"/>
              </w:r>
              <w:r w:rsidR="002C365A">
                <w:instrText xml:space="preserve"> NUMPAGES  </w:instrText>
              </w:r>
              <w:r w:rsidR="002C365A">
                <w:fldChar w:fldCharType="separate"/>
              </w:r>
              <w:r w:rsidR="002C365A">
                <w:rPr>
                  <w:noProof/>
                </w:rPr>
                <w:t>16</w:t>
              </w:r>
              <w:r w:rsidR="002C365A">
                <w:rPr>
                  <w:noProof/>
                </w:rPr>
                <w:fldChar w:fldCharType="end"/>
              </w:r>
            </w:p>
          </w:sdtContent>
        </w:sdt>
      </w:tc>
    </w:tr>
  </w:tbl>
  <w:p w14:paraId="623AA1CE" w14:textId="77777777" w:rsidR="00237203" w:rsidRPr="00826007" w:rsidRDefault="00237203"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237203" w:rsidRPr="00257138" w14:paraId="76052F65" w14:textId="77777777" w:rsidTr="003A48A2">
      <w:trPr>
        <w:trHeight w:val="423"/>
      </w:trPr>
      <w:tc>
        <w:tcPr>
          <w:tcW w:w="7338" w:type="dxa"/>
        </w:tcPr>
        <w:p w14:paraId="668CDD90" w14:textId="5458284C" w:rsidR="00237203" w:rsidRDefault="00237203" w:rsidP="00E81BC9">
          <w:pPr>
            <w:pStyle w:val="Footer"/>
          </w:pPr>
          <w:r>
            <w:t>Delegate’s final decisions and reasons for decisions (ACCS#29, ACMS#32, Joint ACMS-ACCS #26, November 2020)</w:t>
          </w:r>
        </w:p>
        <w:p w14:paraId="6A331473" w14:textId="0B44A7F2" w:rsidR="00237203" w:rsidRPr="00257138" w:rsidRDefault="00237203" w:rsidP="00BD0155">
          <w:pPr>
            <w:pStyle w:val="Footer"/>
          </w:pPr>
          <w:r>
            <w:t>22 April 2021</w:t>
          </w:r>
        </w:p>
      </w:tc>
      <w:tc>
        <w:tcPr>
          <w:tcW w:w="1382" w:type="dxa"/>
        </w:tcPr>
        <w:sdt>
          <w:sdtPr>
            <w:id w:val="5342774"/>
            <w:docPartObj>
              <w:docPartGallery w:val="Page Numbers (Top of Page)"/>
              <w:docPartUnique/>
            </w:docPartObj>
          </w:sdtPr>
          <w:sdtEndPr/>
          <w:sdtContent>
            <w:p w14:paraId="44A48167" w14:textId="08E628CF" w:rsidR="00237203" w:rsidRPr="00257138" w:rsidRDefault="00237203" w:rsidP="003A48A2">
              <w:pPr>
                <w:pStyle w:val="Footer"/>
                <w:jc w:val="right"/>
              </w:pPr>
              <w:r w:rsidRPr="00257138">
                <w:t xml:space="preserve">Page </w:t>
              </w:r>
              <w:r>
                <w:fldChar w:fldCharType="begin"/>
              </w:r>
              <w:r>
                <w:instrText xml:space="preserve"> PAGE </w:instrText>
              </w:r>
              <w:r>
                <w:fldChar w:fldCharType="separate"/>
              </w:r>
              <w:r w:rsidR="002C365A">
                <w:rPr>
                  <w:noProof/>
                </w:rPr>
                <w:t>2</w:t>
              </w:r>
              <w:r>
                <w:rPr>
                  <w:noProof/>
                </w:rPr>
                <w:fldChar w:fldCharType="end"/>
              </w:r>
              <w:r w:rsidRPr="00257138">
                <w:t xml:space="preserve"> of </w:t>
              </w:r>
              <w:r w:rsidR="002C365A">
                <w:fldChar w:fldCharType="begin"/>
              </w:r>
              <w:r w:rsidR="002C365A">
                <w:instrText xml:space="preserve"> NUMPAGES  </w:instrText>
              </w:r>
              <w:r w:rsidR="002C365A">
                <w:fldChar w:fldCharType="separate"/>
              </w:r>
              <w:r w:rsidR="002C365A">
                <w:rPr>
                  <w:noProof/>
                </w:rPr>
                <w:t>16</w:t>
              </w:r>
              <w:r w:rsidR="002C365A">
                <w:rPr>
                  <w:noProof/>
                </w:rPr>
                <w:fldChar w:fldCharType="end"/>
              </w:r>
            </w:p>
          </w:sdtContent>
        </w:sdt>
      </w:tc>
    </w:tr>
  </w:tbl>
  <w:p w14:paraId="2BFF15C4" w14:textId="77777777" w:rsidR="00237203" w:rsidRDefault="00237203" w:rsidP="00BD015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7E9" w14:textId="77777777" w:rsidR="00237203" w:rsidRDefault="00237203" w:rsidP="00C40A36">
      <w:pPr>
        <w:spacing w:after="0"/>
      </w:pPr>
      <w:r>
        <w:separator/>
      </w:r>
    </w:p>
  </w:footnote>
  <w:footnote w:type="continuationSeparator" w:id="0">
    <w:p w14:paraId="6D1B11C1" w14:textId="77777777" w:rsidR="00237203" w:rsidRDefault="0023720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237203" w:rsidRPr="00DA24C7" w14:paraId="081A8C01" w14:textId="77777777" w:rsidTr="00F923D6">
      <w:trPr>
        <w:trHeight w:val="709"/>
      </w:trPr>
      <w:tc>
        <w:tcPr>
          <w:tcW w:w="4035" w:type="dxa"/>
        </w:tcPr>
        <w:p w14:paraId="32A34B13" w14:textId="77777777" w:rsidR="00237203" w:rsidRPr="00DA24C7" w:rsidRDefault="00237203"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237203" w:rsidRPr="000F5176" w:rsidRDefault="00237203" w:rsidP="000F5176">
          <w:pPr>
            <w:pStyle w:val="HeaderNoLine"/>
            <w:rPr>
              <w:rStyle w:val="HeaderChar"/>
            </w:rPr>
          </w:pPr>
          <w:r w:rsidRPr="000F5176">
            <w:t>Therapeutic Goods Administration</w:t>
          </w:r>
        </w:p>
      </w:tc>
    </w:tr>
  </w:tbl>
  <w:p w14:paraId="7D79B037" w14:textId="77777777" w:rsidR="00237203" w:rsidRDefault="00237203" w:rsidP="00F923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37203" w:rsidRPr="00DE02AE" w14:paraId="6C8DF45D" w14:textId="77777777" w:rsidTr="00782870">
      <w:trPr>
        <w:trHeight w:hRule="exact" w:val="8845"/>
      </w:trPr>
      <w:tc>
        <w:tcPr>
          <w:tcW w:w="11964" w:type="dxa"/>
        </w:tcPr>
        <w:p w14:paraId="1F71D1E5" w14:textId="0B09F68E" w:rsidR="00237203" w:rsidRPr="00DE02AE" w:rsidRDefault="002C365A" w:rsidP="00782870">
          <w:pPr>
            <w:pStyle w:val="Date"/>
            <w:ind w:left="-28"/>
          </w:pPr>
          <w:sdt>
            <w:sdtPr>
              <w:id w:val="21514581"/>
              <w:showingPlcHdr/>
              <w:picture/>
            </w:sdtPr>
            <w:sdtEndPr/>
            <w:sdtContent>
              <w:r w:rsidR="00237203">
                <w:rPr>
                  <w:noProof/>
                  <w:lang w:eastAsia="en-AU"/>
                </w:rPr>
                <w:drawing>
                  <wp:inline distT="0" distB="0" distL="0" distR="0" wp14:anchorId="0196F78A" wp14:editId="17A31771">
                    <wp:extent cx="7610475" cy="56388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75E40F15" w14:textId="184464C1" w:rsidR="00237203" w:rsidRDefault="00237203" w:rsidP="00280EA7">
    <w:pPr>
      <w:rPr>
        <w:noProof/>
      </w:rPr>
    </w:pPr>
    <w:r w:rsidRPr="002B29B2">
      <w:rPr>
        <w:noProof/>
        <w:lang w:eastAsia="en-AU"/>
      </w:rPr>
      <w:drawing>
        <wp:anchor distT="0" distB="0" distL="114300" distR="114300" simplePos="0" relativeHeight="251666432" behindDoc="0" locked="0" layoutInCell="0" allowOverlap="1" wp14:anchorId="0F5E7B4B" wp14:editId="7E7EAE9B">
          <wp:simplePos x="0" y="0"/>
          <wp:positionH relativeFrom="page">
            <wp:posOffset>-4445</wp:posOffset>
          </wp:positionH>
          <wp:positionV relativeFrom="page">
            <wp:posOffset>4672330</wp:posOffset>
          </wp:positionV>
          <wp:extent cx="7581900" cy="2447925"/>
          <wp:effectExtent l="0" t="0" r="0" b="9525"/>
          <wp:wrapNone/>
          <wp:docPr id="40" name="Picture 40"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r w:rsidRPr="00E57B71">
      <w:rPr>
        <w:noProof/>
        <w:lang w:eastAsia="en-AU"/>
      </w:rPr>
      <w:drawing>
        <wp:anchor distT="0" distB="0" distL="114300" distR="114300" simplePos="0" relativeHeight="251664384" behindDoc="0" locked="0" layoutInCell="1" allowOverlap="1" wp14:anchorId="49239B74" wp14:editId="521F12F4">
          <wp:simplePos x="0" y="0"/>
          <wp:positionH relativeFrom="column">
            <wp:posOffset>-195580</wp:posOffset>
          </wp:positionH>
          <wp:positionV relativeFrom="paragraph">
            <wp:posOffset>-58420</wp:posOffset>
          </wp:positionV>
          <wp:extent cx="3524250" cy="1209675"/>
          <wp:effectExtent l="19050" t="0" r="0" b="0"/>
          <wp:wrapTopAndBottom/>
          <wp:docPr id="9" name="Picture 9"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237203" w:rsidRPr="00DA24C7" w14:paraId="7C724D59" w14:textId="77777777" w:rsidTr="00C6376F">
      <w:trPr>
        <w:trHeight w:val="558"/>
      </w:trPr>
      <w:tc>
        <w:tcPr>
          <w:tcW w:w="4035" w:type="dxa"/>
          <w:vAlign w:val="center"/>
        </w:tcPr>
        <w:p w14:paraId="047292FC" w14:textId="62B95FE3" w:rsidR="00237203" w:rsidRPr="00EB74A7" w:rsidRDefault="00237203" w:rsidP="00C6376F">
          <w:pPr>
            <w:rPr>
              <w:rStyle w:val="HeaderChar"/>
              <w:rFonts w:ascii="Arial" w:hAnsi="Arial" w:cs="Arial"/>
              <w:b/>
              <w:sz w:val="28"/>
              <w:szCs w:val="28"/>
            </w:rPr>
          </w:pPr>
        </w:p>
      </w:tc>
      <w:tc>
        <w:tcPr>
          <w:tcW w:w="4685" w:type="dxa"/>
          <w:vAlign w:val="center"/>
        </w:tcPr>
        <w:p w14:paraId="3A7D855E" w14:textId="77777777" w:rsidR="00237203" w:rsidRPr="000F5176" w:rsidRDefault="00237203" w:rsidP="00C6376F">
          <w:pPr>
            <w:pStyle w:val="HeaderNoLine"/>
            <w:rPr>
              <w:rStyle w:val="HeaderChar"/>
            </w:rPr>
          </w:pPr>
          <w:r w:rsidRPr="000F5176">
            <w:t>Therapeutic Goods Administration</w:t>
          </w:r>
        </w:p>
      </w:tc>
    </w:tr>
  </w:tbl>
  <w:p w14:paraId="3EB99D2B" w14:textId="77777777" w:rsidR="00237203" w:rsidRDefault="00237203" w:rsidP="00F3450E">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237203" w:rsidRPr="00DA24C7" w14:paraId="28E03D4B" w14:textId="77777777" w:rsidTr="00C6376F">
      <w:trPr>
        <w:trHeight w:val="558"/>
      </w:trPr>
      <w:tc>
        <w:tcPr>
          <w:tcW w:w="4035" w:type="dxa"/>
        </w:tcPr>
        <w:p w14:paraId="02A4F856" w14:textId="69123A4C" w:rsidR="00237203" w:rsidRPr="00EB74A7" w:rsidRDefault="00237203" w:rsidP="00C6376F">
          <w:pPr>
            <w:pStyle w:val="HeaderNoLine"/>
            <w:jc w:val="left"/>
            <w:rPr>
              <w:rStyle w:val="HeaderChar"/>
              <w:rFonts w:ascii="Arial" w:hAnsi="Arial" w:cs="Arial"/>
              <w:b/>
              <w:sz w:val="28"/>
              <w:szCs w:val="28"/>
            </w:rPr>
          </w:pPr>
        </w:p>
      </w:tc>
      <w:tc>
        <w:tcPr>
          <w:tcW w:w="4685" w:type="dxa"/>
          <w:vAlign w:val="center"/>
        </w:tcPr>
        <w:p w14:paraId="0DD7BFA8" w14:textId="77777777" w:rsidR="00237203" w:rsidRPr="000F5176" w:rsidRDefault="00237203" w:rsidP="00C6376F">
          <w:pPr>
            <w:pStyle w:val="HeaderNoLine"/>
            <w:rPr>
              <w:rStyle w:val="HeaderChar"/>
            </w:rPr>
          </w:pPr>
          <w:r w:rsidRPr="000F5176">
            <w:t>Therapeutic Goods Administration</w:t>
          </w:r>
        </w:p>
      </w:tc>
    </w:tr>
  </w:tbl>
  <w:p w14:paraId="5ECE58D0" w14:textId="77777777" w:rsidR="00237203" w:rsidRDefault="00237203" w:rsidP="006F5D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A1C8EC3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CEF3ACD"/>
    <w:multiLevelType w:val="multilevel"/>
    <w:tmpl w:val="38D46DFA"/>
    <w:lvl w:ilvl="0">
      <w:start w:val="1"/>
      <w:numFmt w:val="decimal"/>
      <w:pStyle w:val="Heading2"/>
      <w:lvlText w:val="%1"/>
      <w:lvlJc w:val="left"/>
      <w:pPr>
        <w:ind w:left="432" w:hanging="432"/>
      </w:pPr>
      <w:rPr>
        <w:i w:val="0"/>
      </w:r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3188709F"/>
    <w:multiLevelType w:val="hybridMultilevel"/>
    <w:tmpl w:val="88B4E0C4"/>
    <w:lvl w:ilvl="0" w:tplc="6C346CF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0A6A8C"/>
    <w:multiLevelType w:val="hybridMultilevel"/>
    <w:tmpl w:val="73E6C1D0"/>
    <w:lvl w:ilvl="0" w:tplc="FBD822DC">
      <w:start w:val="1"/>
      <w:numFmt w:val="lowerLetter"/>
      <w:pStyle w:val="Numberbullet2aitalicis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CD32E5"/>
    <w:multiLevelType w:val="hybridMultilevel"/>
    <w:tmpl w:val="3F0AF218"/>
    <w:lvl w:ilvl="0" w:tplc="177E9CF8">
      <w:start w:val="1"/>
      <w:numFmt w:val="lowerLetter"/>
      <w:pStyle w:val="Numberbullet2ared"/>
      <w:lvlText w:val="%1)"/>
      <w:lvlJc w:val="left"/>
      <w:pPr>
        <w:ind w:left="1287" w:hanging="360"/>
      </w:pPr>
      <w:rPr>
        <w:rFonts w:ascii="Cambria" w:hAnsi="Cambria" w:hint="default"/>
        <w:b w:val="0"/>
        <w:i w:val="0"/>
        <w:color w:val="00B050"/>
        <w:sz w:val="22"/>
        <w:u w:color="FF000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1"/>
  </w:num>
  <w:num w:numId="2">
    <w:abstractNumId w:val="0"/>
  </w:num>
  <w:num w:numId="3">
    <w:abstractNumId w:val="1"/>
  </w:num>
  <w:num w:numId="4">
    <w:abstractNumId w:val="0"/>
  </w:num>
  <w:num w:numId="5">
    <w:abstractNumId w:val="3"/>
  </w:num>
  <w:num w:numId="6">
    <w:abstractNumId w:val="4"/>
  </w:num>
  <w:num w:numId="7">
    <w:abstractNumId w:val="2"/>
  </w:num>
  <w:num w:numId="8">
    <w:abstractNumId w:val="6"/>
  </w:num>
  <w:num w:numId="9">
    <w:abstractNumId w:val="7"/>
  </w:num>
  <w:num w:numId="10">
    <w:abstractNumId w:val="7"/>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5"/>
  </w:num>
  <w:num w:numId="2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275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0F6F"/>
    <w:rsid w:val="00001B6C"/>
    <w:rsid w:val="00001B7D"/>
    <w:rsid w:val="00002031"/>
    <w:rsid w:val="00003EE4"/>
    <w:rsid w:val="000042DA"/>
    <w:rsid w:val="00004734"/>
    <w:rsid w:val="00006AE7"/>
    <w:rsid w:val="00006B22"/>
    <w:rsid w:val="0001276A"/>
    <w:rsid w:val="00012BC8"/>
    <w:rsid w:val="00012D9E"/>
    <w:rsid w:val="00023C6E"/>
    <w:rsid w:val="000246AE"/>
    <w:rsid w:val="00025134"/>
    <w:rsid w:val="00025266"/>
    <w:rsid w:val="00025C67"/>
    <w:rsid w:val="000335FC"/>
    <w:rsid w:val="00033F14"/>
    <w:rsid w:val="000356D8"/>
    <w:rsid w:val="000371A3"/>
    <w:rsid w:val="00040CED"/>
    <w:rsid w:val="00041297"/>
    <w:rsid w:val="00042573"/>
    <w:rsid w:val="00042C53"/>
    <w:rsid w:val="00043548"/>
    <w:rsid w:val="000447E4"/>
    <w:rsid w:val="000465B5"/>
    <w:rsid w:val="00046DBE"/>
    <w:rsid w:val="0005081A"/>
    <w:rsid w:val="00052322"/>
    <w:rsid w:val="00052B28"/>
    <w:rsid w:val="00053C6C"/>
    <w:rsid w:val="0005559E"/>
    <w:rsid w:val="00056156"/>
    <w:rsid w:val="00057FFC"/>
    <w:rsid w:val="00061765"/>
    <w:rsid w:val="0006427F"/>
    <w:rsid w:val="00064D59"/>
    <w:rsid w:val="00065585"/>
    <w:rsid w:val="00065D1A"/>
    <w:rsid w:val="0007120C"/>
    <w:rsid w:val="000716A2"/>
    <w:rsid w:val="00072D02"/>
    <w:rsid w:val="00074560"/>
    <w:rsid w:val="00074EBD"/>
    <w:rsid w:val="000755F8"/>
    <w:rsid w:val="00075612"/>
    <w:rsid w:val="00077548"/>
    <w:rsid w:val="00077775"/>
    <w:rsid w:val="0008417D"/>
    <w:rsid w:val="00085044"/>
    <w:rsid w:val="00085DD5"/>
    <w:rsid w:val="00085E12"/>
    <w:rsid w:val="000860B4"/>
    <w:rsid w:val="00086103"/>
    <w:rsid w:val="000869F6"/>
    <w:rsid w:val="00087130"/>
    <w:rsid w:val="00090471"/>
    <w:rsid w:val="000A56BE"/>
    <w:rsid w:val="000A62F8"/>
    <w:rsid w:val="000B0759"/>
    <w:rsid w:val="000B1220"/>
    <w:rsid w:val="000B3532"/>
    <w:rsid w:val="000B3A75"/>
    <w:rsid w:val="000B56DE"/>
    <w:rsid w:val="000B7084"/>
    <w:rsid w:val="000C31F2"/>
    <w:rsid w:val="000C5F0B"/>
    <w:rsid w:val="000C6B99"/>
    <w:rsid w:val="000D0ABB"/>
    <w:rsid w:val="000D0ECB"/>
    <w:rsid w:val="000D2B49"/>
    <w:rsid w:val="000D391B"/>
    <w:rsid w:val="000D3D6D"/>
    <w:rsid w:val="000D45F7"/>
    <w:rsid w:val="000D4FC7"/>
    <w:rsid w:val="000D5645"/>
    <w:rsid w:val="000E2B9F"/>
    <w:rsid w:val="000E451E"/>
    <w:rsid w:val="000E5E5E"/>
    <w:rsid w:val="000F04C4"/>
    <w:rsid w:val="000F0C7A"/>
    <w:rsid w:val="000F1313"/>
    <w:rsid w:val="000F3A5D"/>
    <w:rsid w:val="000F4869"/>
    <w:rsid w:val="000F5176"/>
    <w:rsid w:val="000F5B42"/>
    <w:rsid w:val="000F6E6F"/>
    <w:rsid w:val="001003F2"/>
    <w:rsid w:val="00101762"/>
    <w:rsid w:val="00101E34"/>
    <w:rsid w:val="0010601F"/>
    <w:rsid w:val="00106BF9"/>
    <w:rsid w:val="0010792D"/>
    <w:rsid w:val="00110AE1"/>
    <w:rsid w:val="00110EA5"/>
    <w:rsid w:val="001121D6"/>
    <w:rsid w:val="00112440"/>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9EE"/>
    <w:rsid w:val="00150A66"/>
    <w:rsid w:val="001516B1"/>
    <w:rsid w:val="001525B4"/>
    <w:rsid w:val="001540FE"/>
    <w:rsid w:val="00154919"/>
    <w:rsid w:val="0015522E"/>
    <w:rsid w:val="00155651"/>
    <w:rsid w:val="00156316"/>
    <w:rsid w:val="00156847"/>
    <w:rsid w:val="00157601"/>
    <w:rsid w:val="001578C5"/>
    <w:rsid w:val="00161226"/>
    <w:rsid w:val="00164808"/>
    <w:rsid w:val="00165389"/>
    <w:rsid w:val="001653CE"/>
    <w:rsid w:val="00173C6A"/>
    <w:rsid w:val="0017693F"/>
    <w:rsid w:val="00176A31"/>
    <w:rsid w:val="00176CB0"/>
    <w:rsid w:val="0018056A"/>
    <w:rsid w:val="0018110E"/>
    <w:rsid w:val="00181684"/>
    <w:rsid w:val="00182A4A"/>
    <w:rsid w:val="001843C6"/>
    <w:rsid w:val="001850E0"/>
    <w:rsid w:val="00185CE9"/>
    <w:rsid w:val="00186517"/>
    <w:rsid w:val="00186AFA"/>
    <w:rsid w:val="00191C26"/>
    <w:rsid w:val="00193183"/>
    <w:rsid w:val="0019637B"/>
    <w:rsid w:val="001A10B2"/>
    <w:rsid w:val="001A30EC"/>
    <w:rsid w:val="001A3925"/>
    <w:rsid w:val="001A525F"/>
    <w:rsid w:val="001A5FFE"/>
    <w:rsid w:val="001A6F0B"/>
    <w:rsid w:val="001B09F9"/>
    <w:rsid w:val="001B0C04"/>
    <w:rsid w:val="001B0E74"/>
    <w:rsid w:val="001B0F8B"/>
    <w:rsid w:val="001B3C79"/>
    <w:rsid w:val="001B5CE3"/>
    <w:rsid w:val="001B6448"/>
    <w:rsid w:val="001C0D8C"/>
    <w:rsid w:val="001C2A9E"/>
    <w:rsid w:val="001C2D91"/>
    <w:rsid w:val="001C2FB7"/>
    <w:rsid w:val="001C5266"/>
    <w:rsid w:val="001C59DD"/>
    <w:rsid w:val="001C5B9C"/>
    <w:rsid w:val="001C6414"/>
    <w:rsid w:val="001C6482"/>
    <w:rsid w:val="001C7F0A"/>
    <w:rsid w:val="001E07CF"/>
    <w:rsid w:val="001E0DE1"/>
    <w:rsid w:val="001E18C4"/>
    <w:rsid w:val="001E4706"/>
    <w:rsid w:val="001E51C6"/>
    <w:rsid w:val="001E5555"/>
    <w:rsid w:val="001E59F1"/>
    <w:rsid w:val="001E5F05"/>
    <w:rsid w:val="001E79C7"/>
    <w:rsid w:val="001F0330"/>
    <w:rsid w:val="001F04D7"/>
    <w:rsid w:val="001F20CC"/>
    <w:rsid w:val="001F32EC"/>
    <w:rsid w:val="001F49EB"/>
    <w:rsid w:val="001F6CBA"/>
    <w:rsid w:val="002001F1"/>
    <w:rsid w:val="0020028B"/>
    <w:rsid w:val="00200A9C"/>
    <w:rsid w:val="00201D4E"/>
    <w:rsid w:val="00202086"/>
    <w:rsid w:val="00204DF0"/>
    <w:rsid w:val="0020604B"/>
    <w:rsid w:val="0020793B"/>
    <w:rsid w:val="002101CA"/>
    <w:rsid w:val="002147E0"/>
    <w:rsid w:val="00220A61"/>
    <w:rsid w:val="00220B8A"/>
    <w:rsid w:val="002226DD"/>
    <w:rsid w:val="002257F3"/>
    <w:rsid w:val="002267E6"/>
    <w:rsid w:val="0023267B"/>
    <w:rsid w:val="00233456"/>
    <w:rsid w:val="002339A5"/>
    <w:rsid w:val="00234D51"/>
    <w:rsid w:val="00236140"/>
    <w:rsid w:val="00237203"/>
    <w:rsid w:val="00240781"/>
    <w:rsid w:val="00242707"/>
    <w:rsid w:val="002445F4"/>
    <w:rsid w:val="002458D4"/>
    <w:rsid w:val="00245CF3"/>
    <w:rsid w:val="00247223"/>
    <w:rsid w:val="0025120A"/>
    <w:rsid w:val="002534B2"/>
    <w:rsid w:val="0025660C"/>
    <w:rsid w:val="00257138"/>
    <w:rsid w:val="00257848"/>
    <w:rsid w:val="00261B77"/>
    <w:rsid w:val="00267925"/>
    <w:rsid w:val="0027084A"/>
    <w:rsid w:val="002734EA"/>
    <w:rsid w:val="00275590"/>
    <w:rsid w:val="00280EA7"/>
    <w:rsid w:val="00286434"/>
    <w:rsid w:val="00286C59"/>
    <w:rsid w:val="002929C2"/>
    <w:rsid w:val="00292BB3"/>
    <w:rsid w:val="002942D1"/>
    <w:rsid w:val="00295499"/>
    <w:rsid w:val="00295D3E"/>
    <w:rsid w:val="002A0556"/>
    <w:rsid w:val="002A3961"/>
    <w:rsid w:val="002A5857"/>
    <w:rsid w:val="002A5F56"/>
    <w:rsid w:val="002A6E38"/>
    <w:rsid w:val="002B06A7"/>
    <w:rsid w:val="002B0E0E"/>
    <w:rsid w:val="002B1638"/>
    <w:rsid w:val="002B1C4A"/>
    <w:rsid w:val="002B3304"/>
    <w:rsid w:val="002B6147"/>
    <w:rsid w:val="002C07AF"/>
    <w:rsid w:val="002C1418"/>
    <w:rsid w:val="002C2A3D"/>
    <w:rsid w:val="002C365A"/>
    <w:rsid w:val="002C383A"/>
    <w:rsid w:val="002C43C3"/>
    <w:rsid w:val="002C48BF"/>
    <w:rsid w:val="002C61B3"/>
    <w:rsid w:val="002C6D34"/>
    <w:rsid w:val="002D0B05"/>
    <w:rsid w:val="002E3439"/>
    <w:rsid w:val="002E430E"/>
    <w:rsid w:val="002E4C9A"/>
    <w:rsid w:val="002E5C31"/>
    <w:rsid w:val="002E69BE"/>
    <w:rsid w:val="002E74E0"/>
    <w:rsid w:val="002F11F8"/>
    <w:rsid w:val="002F3F56"/>
    <w:rsid w:val="002F44B5"/>
    <w:rsid w:val="002F53E0"/>
    <w:rsid w:val="002F5EC3"/>
    <w:rsid w:val="00302504"/>
    <w:rsid w:val="00303CBB"/>
    <w:rsid w:val="0030508C"/>
    <w:rsid w:val="003055BD"/>
    <w:rsid w:val="00305DDB"/>
    <w:rsid w:val="00311AC0"/>
    <w:rsid w:val="00314331"/>
    <w:rsid w:val="003144AC"/>
    <w:rsid w:val="00316522"/>
    <w:rsid w:val="00316F8D"/>
    <w:rsid w:val="003208A0"/>
    <w:rsid w:val="003240DF"/>
    <w:rsid w:val="003251D0"/>
    <w:rsid w:val="003261C8"/>
    <w:rsid w:val="003312D1"/>
    <w:rsid w:val="00331DBB"/>
    <w:rsid w:val="00332265"/>
    <w:rsid w:val="00334439"/>
    <w:rsid w:val="00334D72"/>
    <w:rsid w:val="00335BEC"/>
    <w:rsid w:val="003367E4"/>
    <w:rsid w:val="003417E6"/>
    <w:rsid w:val="003421A5"/>
    <w:rsid w:val="00343736"/>
    <w:rsid w:val="003438B7"/>
    <w:rsid w:val="00345545"/>
    <w:rsid w:val="003521E8"/>
    <w:rsid w:val="00352A2E"/>
    <w:rsid w:val="00353AC2"/>
    <w:rsid w:val="00354510"/>
    <w:rsid w:val="003555D7"/>
    <w:rsid w:val="00356F04"/>
    <w:rsid w:val="00360648"/>
    <w:rsid w:val="00360716"/>
    <w:rsid w:val="00360DFD"/>
    <w:rsid w:val="00362473"/>
    <w:rsid w:val="00362F16"/>
    <w:rsid w:val="0036486E"/>
    <w:rsid w:val="00364C9B"/>
    <w:rsid w:val="003662D5"/>
    <w:rsid w:val="003664BF"/>
    <w:rsid w:val="0036794C"/>
    <w:rsid w:val="0037036E"/>
    <w:rsid w:val="0037215C"/>
    <w:rsid w:val="003728F3"/>
    <w:rsid w:val="00373D31"/>
    <w:rsid w:val="00380F63"/>
    <w:rsid w:val="0038110B"/>
    <w:rsid w:val="00386152"/>
    <w:rsid w:val="00390900"/>
    <w:rsid w:val="0039416D"/>
    <w:rsid w:val="003964E2"/>
    <w:rsid w:val="00396BF7"/>
    <w:rsid w:val="003A0110"/>
    <w:rsid w:val="003A0B29"/>
    <w:rsid w:val="003A0B68"/>
    <w:rsid w:val="003A19BA"/>
    <w:rsid w:val="003A3B17"/>
    <w:rsid w:val="003A3B86"/>
    <w:rsid w:val="003A3F03"/>
    <w:rsid w:val="003A48A2"/>
    <w:rsid w:val="003A5F97"/>
    <w:rsid w:val="003B1FAD"/>
    <w:rsid w:val="003B3601"/>
    <w:rsid w:val="003B629A"/>
    <w:rsid w:val="003B6E20"/>
    <w:rsid w:val="003B7E39"/>
    <w:rsid w:val="003C04B2"/>
    <w:rsid w:val="003C1BBB"/>
    <w:rsid w:val="003C2195"/>
    <w:rsid w:val="003C58DC"/>
    <w:rsid w:val="003C62FC"/>
    <w:rsid w:val="003C67EF"/>
    <w:rsid w:val="003C7673"/>
    <w:rsid w:val="003D1DEC"/>
    <w:rsid w:val="003D2511"/>
    <w:rsid w:val="003D26B4"/>
    <w:rsid w:val="003D497F"/>
    <w:rsid w:val="003D5D86"/>
    <w:rsid w:val="003D6C87"/>
    <w:rsid w:val="003E0E6A"/>
    <w:rsid w:val="003E1945"/>
    <w:rsid w:val="003E2889"/>
    <w:rsid w:val="003E3208"/>
    <w:rsid w:val="003E33D4"/>
    <w:rsid w:val="003E3CA3"/>
    <w:rsid w:val="003E7390"/>
    <w:rsid w:val="003F0B04"/>
    <w:rsid w:val="003F3092"/>
    <w:rsid w:val="003F3095"/>
    <w:rsid w:val="003F48DD"/>
    <w:rsid w:val="0040134E"/>
    <w:rsid w:val="00402EF6"/>
    <w:rsid w:val="00403ACE"/>
    <w:rsid w:val="00403D3E"/>
    <w:rsid w:val="00404AD5"/>
    <w:rsid w:val="0040598C"/>
    <w:rsid w:val="00406071"/>
    <w:rsid w:val="0040726C"/>
    <w:rsid w:val="004072A5"/>
    <w:rsid w:val="00411710"/>
    <w:rsid w:val="0041244F"/>
    <w:rsid w:val="00412E40"/>
    <w:rsid w:val="00414AB1"/>
    <w:rsid w:val="00414BA2"/>
    <w:rsid w:val="00416B66"/>
    <w:rsid w:val="00421B7E"/>
    <w:rsid w:val="00423F10"/>
    <w:rsid w:val="004247DA"/>
    <w:rsid w:val="004302D7"/>
    <w:rsid w:val="0043074F"/>
    <w:rsid w:val="00430AAA"/>
    <w:rsid w:val="00430D8C"/>
    <w:rsid w:val="00430EF8"/>
    <w:rsid w:val="00432CDD"/>
    <w:rsid w:val="00432FC5"/>
    <w:rsid w:val="00433211"/>
    <w:rsid w:val="00435B13"/>
    <w:rsid w:val="00436C41"/>
    <w:rsid w:val="004407B2"/>
    <w:rsid w:val="00440A2D"/>
    <w:rsid w:val="004422DF"/>
    <w:rsid w:val="004432FB"/>
    <w:rsid w:val="004446E3"/>
    <w:rsid w:val="00444BA1"/>
    <w:rsid w:val="004454B4"/>
    <w:rsid w:val="0044589C"/>
    <w:rsid w:val="0044722D"/>
    <w:rsid w:val="0044785B"/>
    <w:rsid w:val="004529C4"/>
    <w:rsid w:val="00454655"/>
    <w:rsid w:val="00455A2B"/>
    <w:rsid w:val="00455ECA"/>
    <w:rsid w:val="004564A7"/>
    <w:rsid w:val="00457FE3"/>
    <w:rsid w:val="004617BF"/>
    <w:rsid w:val="004618AB"/>
    <w:rsid w:val="00461999"/>
    <w:rsid w:val="00461FD3"/>
    <w:rsid w:val="00464DFB"/>
    <w:rsid w:val="0046516E"/>
    <w:rsid w:val="004658BC"/>
    <w:rsid w:val="004660A0"/>
    <w:rsid w:val="00470EC2"/>
    <w:rsid w:val="00472080"/>
    <w:rsid w:val="00476041"/>
    <w:rsid w:val="004763B1"/>
    <w:rsid w:val="0048046F"/>
    <w:rsid w:val="00484BAB"/>
    <w:rsid w:val="00485BFD"/>
    <w:rsid w:val="00487716"/>
    <w:rsid w:val="00487D10"/>
    <w:rsid w:val="00487E2B"/>
    <w:rsid w:val="0049106E"/>
    <w:rsid w:val="004923FF"/>
    <w:rsid w:val="00493B78"/>
    <w:rsid w:val="00494E5D"/>
    <w:rsid w:val="00494E60"/>
    <w:rsid w:val="00495EB5"/>
    <w:rsid w:val="004967FE"/>
    <w:rsid w:val="004970FD"/>
    <w:rsid w:val="004A15C0"/>
    <w:rsid w:val="004A2400"/>
    <w:rsid w:val="004A588F"/>
    <w:rsid w:val="004A6F05"/>
    <w:rsid w:val="004B166E"/>
    <w:rsid w:val="004B21D7"/>
    <w:rsid w:val="004B2BD3"/>
    <w:rsid w:val="004B545E"/>
    <w:rsid w:val="004B5652"/>
    <w:rsid w:val="004B6701"/>
    <w:rsid w:val="004B7B76"/>
    <w:rsid w:val="004C0070"/>
    <w:rsid w:val="004C0707"/>
    <w:rsid w:val="004C241F"/>
    <w:rsid w:val="004C3BFD"/>
    <w:rsid w:val="004C4791"/>
    <w:rsid w:val="004C5C51"/>
    <w:rsid w:val="004C60B4"/>
    <w:rsid w:val="004D26D7"/>
    <w:rsid w:val="004D51A6"/>
    <w:rsid w:val="004D6739"/>
    <w:rsid w:val="004D722C"/>
    <w:rsid w:val="004E2BF9"/>
    <w:rsid w:val="004E5523"/>
    <w:rsid w:val="004F0F38"/>
    <w:rsid w:val="004F4580"/>
    <w:rsid w:val="004F50C4"/>
    <w:rsid w:val="004F6AA6"/>
    <w:rsid w:val="0050016D"/>
    <w:rsid w:val="005005BF"/>
    <w:rsid w:val="005009C0"/>
    <w:rsid w:val="00501179"/>
    <w:rsid w:val="00501921"/>
    <w:rsid w:val="00501CBA"/>
    <w:rsid w:val="005042C1"/>
    <w:rsid w:val="005164BD"/>
    <w:rsid w:val="005168C9"/>
    <w:rsid w:val="00516E40"/>
    <w:rsid w:val="00520F6C"/>
    <w:rsid w:val="00521BEF"/>
    <w:rsid w:val="005220E5"/>
    <w:rsid w:val="005221E1"/>
    <w:rsid w:val="00522371"/>
    <w:rsid w:val="00527135"/>
    <w:rsid w:val="005274DA"/>
    <w:rsid w:val="005302F5"/>
    <w:rsid w:val="00530354"/>
    <w:rsid w:val="00530625"/>
    <w:rsid w:val="00531420"/>
    <w:rsid w:val="005320D7"/>
    <w:rsid w:val="00533970"/>
    <w:rsid w:val="00534871"/>
    <w:rsid w:val="0053538C"/>
    <w:rsid w:val="0053781A"/>
    <w:rsid w:val="005406F6"/>
    <w:rsid w:val="00541352"/>
    <w:rsid w:val="0054163A"/>
    <w:rsid w:val="005434C6"/>
    <w:rsid w:val="00543B39"/>
    <w:rsid w:val="00543C7F"/>
    <w:rsid w:val="00550096"/>
    <w:rsid w:val="00550632"/>
    <w:rsid w:val="00551F1D"/>
    <w:rsid w:val="00552DB2"/>
    <w:rsid w:val="005540F9"/>
    <w:rsid w:val="00556B94"/>
    <w:rsid w:val="005576C9"/>
    <w:rsid w:val="00557FF9"/>
    <w:rsid w:val="00560BAF"/>
    <w:rsid w:val="00560E8E"/>
    <w:rsid w:val="00561B1B"/>
    <w:rsid w:val="005649EF"/>
    <w:rsid w:val="005729B0"/>
    <w:rsid w:val="00575A6D"/>
    <w:rsid w:val="00576378"/>
    <w:rsid w:val="00577E38"/>
    <w:rsid w:val="005824DB"/>
    <w:rsid w:val="00585069"/>
    <w:rsid w:val="00585322"/>
    <w:rsid w:val="00587729"/>
    <w:rsid w:val="0058774D"/>
    <w:rsid w:val="00590608"/>
    <w:rsid w:val="00591975"/>
    <w:rsid w:val="00593AD1"/>
    <w:rsid w:val="005955CF"/>
    <w:rsid w:val="00597B50"/>
    <w:rsid w:val="005A0661"/>
    <w:rsid w:val="005A1131"/>
    <w:rsid w:val="005A3F2F"/>
    <w:rsid w:val="005A54DF"/>
    <w:rsid w:val="005A5916"/>
    <w:rsid w:val="005A5A5E"/>
    <w:rsid w:val="005A6611"/>
    <w:rsid w:val="005A72C9"/>
    <w:rsid w:val="005B1DEF"/>
    <w:rsid w:val="005B78C6"/>
    <w:rsid w:val="005C03F2"/>
    <w:rsid w:val="005C0499"/>
    <w:rsid w:val="005C1D90"/>
    <w:rsid w:val="005C22EA"/>
    <w:rsid w:val="005C2732"/>
    <w:rsid w:val="005C2FB2"/>
    <w:rsid w:val="005C3414"/>
    <w:rsid w:val="005C5570"/>
    <w:rsid w:val="005C6864"/>
    <w:rsid w:val="005C6D87"/>
    <w:rsid w:val="005C79A4"/>
    <w:rsid w:val="005C7F95"/>
    <w:rsid w:val="005D060C"/>
    <w:rsid w:val="005D0885"/>
    <w:rsid w:val="005D16DC"/>
    <w:rsid w:val="005D4E06"/>
    <w:rsid w:val="005D5442"/>
    <w:rsid w:val="005E1A89"/>
    <w:rsid w:val="005E3393"/>
    <w:rsid w:val="005E4764"/>
    <w:rsid w:val="005E4BB5"/>
    <w:rsid w:val="005E5885"/>
    <w:rsid w:val="005E6395"/>
    <w:rsid w:val="005F159D"/>
    <w:rsid w:val="005F3EA0"/>
    <w:rsid w:val="00601594"/>
    <w:rsid w:val="00601FD3"/>
    <w:rsid w:val="0060581D"/>
    <w:rsid w:val="00612B30"/>
    <w:rsid w:val="006131AB"/>
    <w:rsid w:val="00613211"/>
    <w:rsid w:val="006132E8"/>
    <w:rsid w:val="00617A0E"/>
    <w:rsid w:val="006210F2"/>
    <w:rsid w:val="0062266E"/>
    <w:rsid w:val="00623676"/>
    <w:rsid w:val="006238C7"/>
    <w:rsid w:val="00630E67"/>
    <w:rsid w:val="00632D4C"/>
    <w:rsid w:val="006352D8"/>
    <w:rsid w:val="00635930"/>
    <w:rsid w:val="006400CB"/>
    <w:rsid w:val="00640FC3"/>
    <w:rsid w:val="00641EF5"/>
    <w:rsid w:val="00642020"/>
    <w:rsid w:val="00650434"/>
    <w:rsid w:val="00651316"/>
    <w:rsid w:val="00652264"/>
    <w:rsid w:val="00652676"/>
    <w:rsid w:val="00652CEE"/>
    <w:rsid w:val="0065337B"/>
    <w:rsid w:val="0065419D"/>
    <w:rsid w:val="00655146"/>
    <w:rsid w:val="00655898"/>
    <w:rsid w:val="006573C5"/>
    <w:rsid w:val="006604D8"/>
    <w:rsid w:val="00664A5B"/>
    <w:rsid w:val="006664CB"/>
    <w:rsid w:val="00667942"/>
    <w:rsid w:val="00667971"/>
    <w:rsid w:val="006733CD"/>
    <w:rsid w:val="00674BA2"/>
    <w:rsid w:val="00677050"/>
    <w:rsid w:val="00677241"/>
    <w:rsid w:val="006804A8"/>
    <w:rsid w:val="00680C08"/>
    <w:rsid w:val="00680C0C"/>
    <w:rsid w:val="00683C7E"/>
    <w:rsid w:val="0068543D"/>
    <w:rsid w:val="00686C19"/>
    <w:rsid w:val="0068741A"/>
    <w:rsid w:val="00691DBE"/>
    <w:rsid w:val="006922E3"/>
    <w:rsid w:val="006931B1"/>
    <w:rsid w:val="006938D9"/>
    <w:rsid w:val="00696E33"/>
    <w:rsid w:val="00697C50"/>
    <w:rsid w:val="006A15C0"/>
    <w:rsid w:val="006A1DC0"/>
    <w:rsid w:val="006A59B6"/>
    <w:rsid w:val="006A64F4"/>
    <w:rsid w:val="006A7FD9"/>
    <w:rsid w:val="006B1BCF"/>
    <w:rsid w:val="006B3B74"/>
    <w:rsid w:val="006B3BAC"/>
    <w:rsid w:val="006B3CF2"/>
    <w:rsid w:val="006B3D5F"/>
    <w:rsid w:val="006C0A51"/>
    <w:rsid w:val="006C1A83"/>
    <w:rsid w:val="006C1AD9"/>
    <w:rsid w:val="006C1F3B"/>
    <w:rsid w:val="006C3E2A"/>
    <w:rsid w:val="006C450D"/>
    <w:rsid w:val="006C57B7"/>
    <w:rsid w:val="006C642F"/>
    <w:rsid w:val="006D03E5"/>
    <w:rsid w:val="006D08C1"/>
    <w:rsid w:val="006D4E6B"/>
    <w:rsid w:val="006D5D3E"/>
    <w:rsid w:val="006D6A23"/>
    <w:rsid w:val="006E08B3"/>
    <w:rsid w:val="006E0D76"/>
    <w:rsid w:val="006E1093"/>
    <w:rsid w:val="006E5071"/>
    <w:rsid w:val="006E54E6"/>
    <w:rsid w:val="006E5916"/>
    <w:rsid w:val="006E5CB6"/>
    <w:rsid w:val="006F01FE"/>
    <w:rsid w:val="006F05C4"/>
    <w:rsid w:val="006F1A67"/>
    <w:rsid w:val="006F23EE"/>
    <w:rsid w:val="006F381D"/>
    <w:rsid w:val="006F572E"/>
    <w:rsid w:val="006F5D71"/>
    <w:rsid w:val="006F65A9"/>
    <w:rsid w:val="007003ED"/>
    <w:rsid w:val="00700685"/>
    <w:rsid w:val="007016F0"/>
    <w:rsid w:val="007046D6"/>
    <w:rsid w:val="0070510D"/>
    <w:rsid w:val="00705DB0"/>
    <w:rsid w:val="00706AFE"/>
    <w:rsid w:val="00707F79"/>
    <w:rsid w:val="007105C8"/>
    <w:rsid w:val="00711BAE"/>
    <w:rsid w:val="007127A7"/>
    <w:rsid w:val="00717545"/>
    <w:rsid w:val="00717B5D"/>
    <w:rsid w:val="007249F8"/>
    <w:rsid w:val="0073205A"/>
    <w:rsid w:val="0073224D"/>
    <w:rsid w:val="00732B06"/>
    <w:rsid w:val="0073345D"/>
    <w:rsid w:val="00736B85"/>
    <w:rsid w:val="00736EFA"/>
    <w:rsid w:val="00737627"/>
    <w:rsid w:val="0074253D"/>
    <w:rsid w:val="007426B9"/>
    <w:rsid w:val="00743FAA"/>
    <w:rsid w:val="0074429B"/>
    <w:rsid w:val="007451AD"/>
    <w:rsid w:val="007465EC"/>
    <w:rsid w:val="0074700D"/>
    <w:rsid w:val="007477F8"/>
    <w:rsid w:val="00750368"/>
    <w:rsid w:val="007560C5"/>
    <w:rsid w:val="00757E0E"/>
    <w:rsid w:val="00760645"/>
    <w:rsid w:val="007615BC"/>
    <w:rsid w:val="00761AA7"/>
    <w:rsid w:val="00762F05"/>
    <w:rsid w:val="007630F4"/>
    <w:rsid w:val="007637F0"/>
    <w:rsid w:val="00763BB7"/>
    <w:rsid w:val="007649CE"/>
    <w:rsid w:val="007652FF"/>
    <w:rsid w:val="00765C7B"/>
    <w:rsid w:val="00766729"/>
    <w:rsid w:val="00766888"/>
    <w:rsid w:val="00771329"/>
    <w:rsid w:val="00773EF7"/>
    <w:rsid w:val="007748DC"/>
    <w:rsid w:val="00774E1D"/>
    <w:rsid w:val="0077675A"/>
    <w:rsid w:val="00780355"/>
    <w:rsid w:val="00782870"/>
    <w:rsid w:val="00783116"/>
    <w:rsid w:val="00784124"/>
    <w:rsid w:val="00785721"/>
    <w:rsid w:val="007907BF"/>
    <w:rsid w:val="00792A60"/>
    <w:rsid w:val="00793A59"/>
    <w:rsid w:val="00794519"/>
    <w:rsid w:val="007954D4"/>
    <w:rsid w:val="00797C67"/>
    <w:rsid w:val="007A0D56"/>
    <w:rsid w:val="007A1A7A"/>
    <w:rsid w:val="007A2162"/>
    <w:rsid w:val="007A2B0B"/>
    <w:rsid w:val="007A39C1"/>
    <w:rsid w:val="007A58C5"/>
    <w:rsid w:val="007A7094"/>
    <w:rsid w:val="007B0412"/>
    <w:rsid w:val="007B0A15"/>
    <w:rsid w:val="007B1ED1"/>
    <w:rsid w:val="007B6332"/>
    <w:rsid w:val="007B7F38"/>
    <w:rsid w:val="007C0F3D"/>
    <w:rsid w:val="007C1AF7"/>
    <w:rsid w:val="007C7456"/>
    <w:rsid w:val="007D2CFA"/>
    <w:rsid w:val="007D31C7"/>
    <w:rsid w:val="007D404B"/>
    <w:rsid w:val="007D4385"/>
    <w:rsid w:val="007D7B54"/>
    <w:rsid w:val="007E2128"/>
    <w:rsid w:val="007E29E1"/>
    <w:rsid w:val="007E3E3E"/>
    <w:rsid w:val="007E4DCE"/>
    <w:rsid w:val="007E662C"/>
    <w:rsid w:val="007F3727"/>
    <w:rsid w:val="007F527F"/>
    <w:rsid w:val="007F6D00"/>
    <w:rsid w:val="00801954"/>
    <w:rsid w:val="00801D9F"/>
    <w:rsid w:val="008030CD"/>
    <w:rsid w:val="00804357"/>
    <w:rsid w:val="0080449A"/>
    <w:rsid w:val="00804F8F"/>
    <w:rsid w:val="00806296"/>
    <w:rsid w:val="00811949"/>
    <w:rsid w:val="00812029"/>
    <w:rsid w:val="008122AC"/>
    <w:rsid w:val="008124D7"/>
    <w:rsid w:val="00812B04"/>
    <w:rsid w:val="00813E46"/>
    <w:rsid w:val="008157AC"/>
    <w:rsid w:val="00817471"/>
    <w:rsid w:val="00821776"/>
    <w:rsid w:val="00822C71"/>
    <w:rsid w:val="00826007"/>
    <w:rsid w:val="0082653E"/>
    <w:rsid w:val="008266E2"/>
    <w:rsid w:val="00831B7A"/>
    <w:rsid w:val="0083209C"/>
    <w:rsid w:val="008321F5"/>
    <w:rsid w:val="00832369"/>
    <w:rsid w:val="00832486"/>
    <w:rsid w:val="0083329F"/>
    <w:rsid w:val="00834660"/>
    <w:rsid w:val="008357ED"/>
    <w:rsid w:val="00836BC2"/>
    <w:rsid w:val="0084109D"/>
    <w:rsid w:val="008423DC"/>
    <w:rsid w:val="00844723"/>
    <w:rsid w:val="00846E23"/>
    <w:rsid w:val="0085641B"/>
    <w:rsid w:val="00857136"/>
    <w:rsid w:val="008617CA"/>
    <w:rsid w:val="00862C77"/>
    <w:rsid w:val="008702B3"/>
    <w:rsid w:val="008707DF"/>
    <w:rsid w:val="008714AE"/>
    <w:rsid w:val="00871E49"/>
    <w:rsid w:val="00872807"/>
    <w:rsid w:val="00873915"/>
    <w:rsid w:val="00876EAC"/>
    <w:rsid w:val="00881EA0"/>
    <w:rsid w:val="0088496A"/>
    <w:rsid w:val="0088678E"/>
    <w:rsid w:val="00893167"/>
    <w:rsid w:val="0089392A"/>
    <w:rsid w:val="00893C5D"/>
    <w:rsid w:val="00893D2C"/>
    <w:rsid w:val="00896018"/>
    <w:rsid w:val="00896E1F"/>
    <w:rsid w:val="00897CA6"/>
    <w:rsid w:val="008A00FE"/>
    <w:rsid w:val="008A2B9D"/>
    <w:rsid w:val="008A2D18"/>
    <w:rsid w:val="008A5E0B"/>
    <w:rsid w:val="008A69D0"/>
    <w:rsid w:val="008A6A7F"/>
    <w:rsid w:val="008A6B96"/>
    <w:rsid w:val="008A6D59"/>
    <w:rsid w:val="008B0015"/>
    <w:rsid w:val="008B1EFB"/>
    <w:rsid w:val="008B2B27"/>
    <w:rsid w:val="008B4B03"/>
    <w:rsid w:val="008B596F"/>
    <w:rsid w:val="008B641E"/>
    <w:rsid w:val="008B78DC"/>
    <w:rsid w:val="008B7C43"/>
    <w:rsid w:val="008C0C69"/>
    <w:rsid w:val="008C159F"/>
    <w:rsid w:val="008C1623"/>
    <w:rsid w:val="008C257A"/>
    <w:rsid w:val="008C28B9"/>
    <w:rsid w:val="008C2B58"/>
    <w:rsid w:val="008C4886"/>
    <w:rsid w:val="008C51A9"/>
    <w:rsid w:val="008C5225"/>
    <w:rsid w:val="008C5DAD"/>
    <w:rsid w:val="008C7154"/>
    <w:rsid w:val="008C7E46"/>
    <w:rsid w:val="008D0620"/>
    <w:rsid w:val="008D1120"/>
    <w:rsid w:val="008D1287"/>
    <w:rsid w:val="008D2920"/>
    <w:rsid w:val="008D3724"/>
    <w:rsid w:val="008D3FCE"/>
    <w:rsid w:val="008D484B"/>
    <w:rsid w:val="008D5396"/>
    <w:rsid w:val="008D67F7"/>
    <w:rsid w:val="008D7BD4"/>
    <w:rsid w:val="008D7CD0"/>
    <w:rsid w:val="008E2279"/>
    <w:rsid w:val="008E6463"/>
    <w:rsid w:val="008E6D45"/>
    <w:rsid w:val="008F1CCC"/>
    <w:rsid w:val="008F2967"/>
    <w:rsid w:val="008F2AD4"/>
    <w:rsid w:val="008F4A62"/>
    <w:rsid w:val="008F4C75"/>
    <w:rsid w:val="008F57B4"/>
    <w:rsid w:val="00904265"/>
    <w:rsid w:val="00904AC8"/>
    <w:rsid w:val="00905BFB"/>
    <w:rsid w:val="00906BB0"/>
    <w:rsid w:val="0091165D"/>
    <w:rsid w:val="00913DE6"/>
    <w:rsid w:val="00915525"/>
    <w:rsid w:val="00917AB4"/>
    <w:rsid w:val="00920330"/>
    <w:rsid w:val="009207ED"/>
    <w:rsid w:val="00920FF4"/>
    <w:rsid w:val="00921218"/>
    <w:rsid w:val="009219D7"/>
    <w:rsid w:val="00922D53"/>
    <w:rsid w:val="00923B70"/>
    <w:rsid w:val="0092465F"/>
    <w:rsid w:val="00924FB8"/>
    <w:rsid w:val="00925333"/>
    <w:rsid w:val="0092600B"/>
    <w:rsid w:val="00926541"/>
    <w:rsid w:val="00926BE5"/>
    <w:rsid w:val="00926C0B"/>
    <w:rsid w:val="00926F1C"/>
    <w:rsid w:val="00930237"/>
    <w:rsid w:val="009310B4"/>
    <w:rsid w:val="00931979"/>
    <w:rsid w:val="00931C2D"/>
    <w:rsid w:val="0093749E"/>
    <w:rsid w:val="00937E6E"/>
    <w:rsid w:val="00941C4E"/>
    <w:rsid w:val="00942751"/>
    <w:rsid w:val="00943A3F"/>
    <w:rsid w:val="00944B14"/>
    <w:rsid w:val="00945041"/>
    <w:rsid w:val="0094532D"/>
    <w:rsid w:val="009468C6"/>
    <w:rsid w:val="00947AC6"/>
    <w:rsid w:val="00947C89"/>
    <w:rsid w:val="009500CA"/>
    <w:rsid w:val="009509F5"/>
    <w:rsid w:val="00951677"/>
    <w:rsid w:val="00951CA1"/>
    <w:rsid w:val="00952C3D"/>
    <w:rsid w:val="00953789"/>
    <w:rsid w:val="00953EA8"/>
    <w:rsid w:val="00954827"/>
    <w:rsid w:val="00955A46"/>
    <w:rsid w:val="009628B7"/>
    <w:rsid w:val="00963C08"/>
    <w:rsid w:val="00963C0D"/>
    <w:rsid w:val="00966970"/>
    <w:rsid w:val="00967C5A"/>
    <w:rsid w:val="00970367"/>
    <w:rsid w:val="0097159D"/>
    <w:rsid w:val="009741DD"/>
    <w:rsid w:val="009745A7"/>
    <w:rsid w:val="009752DD"/>
    <w:rsid w:val="00975379"/>
    <w:rsid w:val="0097735E"/>
    <w:rsid w:val="00981AC6"/>
    <w:rsid w:val="00981D0A"/>
    <w:rsid w:val="00982D50"/>
    <w:rsid w:val="009835B6"/>
    <w:rsid w:val="00984CAD"/>
    <w:rsid w:val="00987864"/>
    <w:rsid w:val="00987D65"/>
    <w:rsid w:val="009927F3"/>
    <w:rsid w:val="00993AB0"/>
    <w:rsid w:val="0099479F"/>
    <w:rsid w:val="00995103"/>
    <w:rsid w:val="00996651"/>
    <w:rsid w:val="00996C3D"/>
    <w:rsid w:val="00997E59"/>
    <w:rsid w:val="009A09C5"/>
    <w:rsid w:val="009A190E"/>
    <w:rsid w:val="009A29F4"/>
    <w:rsid w:val="009A4825"/>
    <w:rsid w:val="009A4CED"/>
    <w:rsid w:val="009B00CC"/>
    <w:rsid w:val="009B0B5E"/>
    <w:rsid w:val="009B1D12"/>
    <w:rsid w:val="009B20A0"/>
    <w:rsid w:val="009B2B3C"/>
    <w:rsid w:val="009B3475"/>
    <w:rsid w:val="009B3D15"/>
    <w:rsid w:val="009B416B"/>
    <w:rsid w:val="009B574B"/>
    <w:rsid w:val="009B6348"/>
    <w:rsid w:val="009B76C4"/>
    <w:rsid w:val="009C4BD5"/>
    <w:rsid w:val="009C5F04"/>
    <w:rsid w:val="009C683C"/>
    <w:rsid w:val="009D0801"/>
    <w:rsid w:val="009D0A6D"/>
    <w:rsid w:val="009D0DC8"/>
    <w:rsid w:val="009D2144"/>
    <w:rsid w:val="009D2E04"/>
    <w:rsid w:val="009D7B77"/>
    <w:rsid w:val="009E0BB0"/>
    <w:rsid w:val="009E37F8"/>
    <w:rsid w:val="009E3FBB"/>
    <w:rsid w:val="009E5527"/>
    <w:rsid w:val="009E6CA2"/>
    <w:rsid w:val="009F018D"/>
    <w:rsid w:val="009F01FD"/>
    <w:rsid w:val="009F207B"/>
    <w:rsid w:val="009F20E4"/>
    <w:rsid w:val="009F603D"/>
    <w:rsid w:val="009F7D4D"/>
    <w:rsid w:val="00A0156E"/>
    <w:rsid w:val="00A10C68"/>
    <w:rsid w:val="00A1235B"/>
    <w:rsid w:val="00A14DF7"/>
    <w:rsid w:val="00A177FD"/>
    <w:rsid w:val="00A22E19"/>
    <w:rsid w:val="00A23E9A"/>
    <w:rsid w:val="00A27B10"/>
    <w:rsid w:val="00A27C47"/>
    <w:rsid w:val="00A31294"/>
    <w:rsid w:val="00A3246D"/>
    <w:rsid w:val="00A32C51"/>
    <w:rsid w:val="00A33A22"/>
    <w:rsid w:val="00A342E4"/>
    <w:rsid w:val="00A35BA2"/>
    <w:rsid w:val="00A36E8D"/>
    <w:rsid w:val="00A36FA7"/>
    <w:rsid w:val="00A40944"/>
    <w:rsid w:val="00A41E88"/>
    <w:rsid w:val="00A43783"/>
    <w:rsid w:val="00A4484C"/>
    <w:rsid w:val="00A44CC1"/>
    <w:rsid w:val="00A46A96"/>
    <w:rsid w:val="00A47209"/>
    <w:rsid w:val="00A475B7"/>
    <w:rsid w:val="00A47AF7"/>
    <w:rsid w:val="00A47C3E"/>
    <w:rsid w:val="00A50226"/>
    <w:rsid w:val="00A50992"/>
    <w:rsid w:val="00A50D3A"/>
    <w:rsid w:val="00A547D7"/>
    <w:rsid w:val="00A60BAD"/>
    <w:rsid w:val="00A672F1"/>
    <w:rsid w:val="00A73339"/>
    <w:rsid w:val="00A737A1"/>
    <w:rsid w:val="00A73A8D"/>
    <w:rsid w:val="00A77C79"/>
    <w:rsid w:val="00A8051A"/>
    <w:rsid w:val="00A806AE"/>
    <w:rsid w:val="00A80AF1"/>
    <w:rsid w:val="00A81281"/>
    <w:rsid w:val="00A81D3E"/>
    <w:rsid w:val="00A8571D"/>
    <w:rsid w:val="00A87334"/>
    <w:rsid w:val="00A92E6D"/>
    <w:rsid w:val="00A934D5"/>
    <w:rsid w:val="00A957C4"/>
    <w:rsid w:val="00A95AB7"/>
    <w:rsid w:val="00AA20B8"/>
    <w:rsid w:val="00AA34FC"/>
    <w:rsid w:val="00AA6350"/>
    <w:rsid w:val="00AA68A3"/>
    <w:rsid w:val="00AB201E"/>
    <w:rsid w:val="00AB3F92"/>
    <w:rsid w:val="00AB42C4"/>
    <w:rsid w:val="00AB581C"/>
    <w:rsid w:val="00AB5C96"/>
    <w:rsid w:val="00AB76F6"/>
    <w:rsid w:val="00AC209E"/>
    <w:rsid w:val="00AC262B"/>
    <w:rsid w:val="00AC2B40"/>
    <w:rsid w:val="00AC2BB2"/>
    <w:rsid w:val="00AC2C3C"/>
    <w:rsid w:val="00AC3B18"/>
    <w:rsid w:val="00AC3BD9"/>
    <w:rsid w:val="00AC423A"/>
    <w:rsid w:val="00AC4297"/>
    <w:rsid w:val="00AC44FA"/>
    <w:rsid w:val="00AC54D1"/>
    <w:rsid w:val="00AC585F"/>
    <w:rsid w:val="00AC6134"/>
    <w:rsid w:val="00AC6EBE"/>
    <w:rsid w:val="00AD4722"/>
    <w:rsid w:val="00AD58C6"/>
    <w:rsid w:val="00AD631F"/>
    <w:rsid w:val="00AD7E78"/>
    <w:rsid w:val="00AE2270"/>
    <w:rsid w:val="00AE3C05"/>
    <w:rsid w:val="00AE3FE3"/>
    <w:rsid w:val="00AE4205"/>
    <w:rsid w:val="00AE6155"/>
    <w:rsid w:val="00AE65EB"/>
    <w:rsid w:val="00AE670F"/>
    <w:rsid w:val="00AE6736"/>
    <w:rsid w:val="00AF0DE3"/>
    <w:rsid w:val="00AF1B84"/>
    <w:rsid w:val="00AF1D94"/>
    <w:rsid w:val="00AF27F0"/>
    <w:rsid w:val="00AF316D"/>
    <w:rsid w:val="00AF3A8C"/>
    <w:rsid w:val="00AF456E"/>
    <w:rsid w:val="00AF60C5"/>
    <w:rsid w:val="00AF7023"/>
    <w:rsid w:val="00AF7E2C"/>
    <w:rsid w:val="00B009C6"/>
    <w:rsid w:val="00B01548"/>
    <w:rsid w:val="00B138BE"/>
    <w:rsid w:val="00B15AE2"/>
    <w:rsid w:val="00B15C1C"/>
    <w:rsid w:val="00B17A0B"/>
    <w:rsid w:val="00B17CB3"/>
    <w:rsid w:val="00B21D29"/>
    <w:rsid w:val="00B21FC5"/>
    <w:rsid w:val="00B22B35"/>
    <w:rsid w:val="00B25034"/>
    <w:rsid w:val="00B27B29"/>
    <w:rsid w:val="00B27EA3"/>
    <w:rsid w:val="00B3001A"/>
    <w:rsid w:val="00B325C7"/>
    <w:rsid w:val="00B33863"/>
    <w:rsid w:val="00B34F51"/>
    <w:rsid w:val="00B36764"/>
    <w:rsid w:val="00B37D17"/>
    <w:rsid w:val="00B40A9E"/>
    <w:rsid w:val="00B4175E"/>
    <w:rsid w:val="00B4454F"/>
    <w:rsid w:val="00B4544E"/>
    <w:rsid w:val="00B50EE7"/>
    <w:rsid w:val="00B510E1"/>
    <w:rsid w:val="00B54C25"/>
    <w:rsid w:val="00B55E71"/>
    <w:rsid w:val="00B57049"/>
    <w:rsid w:val="00B572B2"/>
    <w:rsid w:val="00B60801"/>
    <w:rsid w:val="00B612EB"/>
    <w:rsid w:val="00B617EA"/>
    <w:rsid w:val="00B6409A"/>
    <w:rsid w:val="00B65D5C"/>
    <w:rsid w:val="00B6677B"/>
    <w:rsid w:val="00B71B18"/>
    <w:rsid w:val="00B7359B"/>
    <w:rsid w:val="00B7672F"/>
    <w:rsid w:val="00B76B91"/>
    <w:rsid w:val="00B83FC7"/>
    <w:rsid w:val="00B8473E"/>
    <w:rsid w:val="00B86F81"/>
    <w:rsid w:val="00B873DA"/>
    <w:rsid w:val="00B92541"/>
    <w:rsid w:val="00B929EB"/>
    <w:rsid w:val="00B94276"/>
    <w:rsid w:val="00B94618"/>
    <w:rsid w:val="00B978A9"/>
    <w:rsid w:val="00BA39E5"/>
    <w:rsid w:val="00BA7FF4"/>
    <w:rsid w:val="00BB0BD8"/>
    <w:rsid w:val="00BB180D"/>
    <w:rsid w:val="00BB538A"/>
    <w:rsid w:val="00BB6DFC"/>
    <w:rsid w:val="00BB7F56"/>
    <w:rsid w:val="00BC1CAB"/>
    <w:rsid w:val="00BC2009"/>
    <w:rsid w:val="00BC50DB"/>
    <w:rsid w:val="00BC526C"/>
    <w:rsid w:val="00BC5AC3"/>
    <w:rsid w:val="00BC5AE6"/>
    <w:rsid w:val="00BC622A"/>
    <w:rsid w:val="00BD0155"/>
    <w:rsid w:val="00BD48EC"/>
    <w:rsid w:val="00BE0A78"/>
    <w:rsid w:val="00BE1404"/>
    <w:rsid w:val="00BE3418"/>
    <w:rsid w:val="00BE3C98"/>
    <w:rsid w:val="00BE79F0"/>
    <w:rsid w:val="00BF046D"/>
    <w:rsid w:val="00BF3C45"/>
    <w:rsid w:val="00BF46E4"/>
    <w:rsid w:val="00BF5D04"/>
    <w:rsid w:val="00BF6D2F"/>
    <w:rsid w:val="00BF7C3A"/>
    <w:rsid w:val="00C007D3"/>
    <w:rsid w:val="00C019E6"/>
    <w:rsid w:val="00C0357E"/>
    <w:rsid w:val="00C04EDA"/>
    <w:rsid w:val="00C1305B"/>
    <w:rsid w:val="00C13563"/>
    <w:rsid w:val="00C14992"/>
    <w:rsid w:val="00C16CCE"/>
    <w:rsid w:val="00C17E00"/>
    <w:rsid w:val="00C2026E"/>
    <w:rsid w:val="00C21C48"/>
    <w:rsid w:val="00C24035"/>
    <w:rsid w:val="00C24C50"/>
    <w:rsid w:val="00C25FC2"/>
    <w:rsid w:val="00C31D44"/>
    <w:rsid w:val="00C32A88"/>
    <w:rsid w:val="00C33FDE"/>
    <w:rsid w:val="00C3534F"/>
    <w:rsid w:val="00C3536F"/>
    <w:rsid w:val="00C364D5"/>
    <w:rsid w:val="00C36810"/>
    <w:rsid w:val="00C36D62"/>
    <w:rsid w:val="00C404A6"/>
    <w:rsid w:val="00C40A36"/>
    <w:rsid w:val="00C434EA"/>
    <w:rsid w:val="00C44419"/>
    <w:rsid w:val="00C45E7B"/>
    <w:rsid w:val="00C471B1"/>
    <w:rsid w:val="00C51001"/>
    <w:rsid w:val="00C539B1"/>
    <w:rsid w:val="00C54222"/>
    <w:rsid w:val="00C55437"/>
    <w:rsid w:val="00C55C1A"/>
    <w:rsid w:val="00C55FF4"/>
    <w:rsid w:val="00C6204C"/>
    <w:rsid w:val="00C6316B"/>
    <w:rsid w:val="00C634A9"/>
    <w:rsid w:val="00C6376F"/>
    <w:rsid w:val="00C651B1"/>
    <w:rsid w:val="00C669EE"/>
    <w:rsid w:val="00C7149F"/>
    <w:rsid w:val="00C73315"/>
    <w:rsid w:val="00C73726"/>
    <w:rsid w:val="00C741A3"/>
    <w:rsid w:val="00C74DD6"/>
    <w:rsid w:val="00C76E42"/>
    <w:rsid w:val="00C772FF"/>
    <w:rsid w:val="00C77CE7"/>
    <w:rsid w:val="00C801AF"/>
    <w:rsid w:val="00C80256"/>
    <w:rsid w:val="00C81696"/>
    <w:rsid w:val="00C85183"/>
    <w:rsid w:val="00C86E29"/>
    <w:rsid w:val="00C87CA5"/>
    <w:rsid w:val="00C93228"/>
    <w:rsid w:val="00C94239"/>
    <w:rsid w:val="00C95D76"/>
    <w:rsid w:val="00CA068B"/>
    <w:rsid w:val="00CA0F79"/>
    <w:rsid w:val="00CA3A38"/>
    <w:rsid w:val="00CA62E0"/>
    <w:rsid w:val="00CA6A77"/>
    <w:rsid w:val="00CA7F35"/>
    <w:rsid w:val="00CB27FE"/>
    <w:rsid w:val="00CB694E"/>
    <w:rsid w:val="00CB6BC0"/>
    <w:rsid w:val="00CC1B7C"/>
    <w:rsid w:val="00CC314F"/>
    <w:rsid w:val="00CC50DE"/>
    <w:rsid w:val="00CC727F"/>
    <w:rsid w:val="00CD3BE2"/>
    <w:rsid w:val="00CD53D7"/>
    <w:rsid w:val="00CD6EB8"/>
    <w:rsid w:val="00CD7D02"/>
    <w:rsid w:val="00CE28B7"/>
    <w:rsid w:val="00CE5BB0"/>
    <w:rsid w:val="00CE5E4B"/>
    <w:rsid w:val="00CF15C3"/>
    <w:rsid w:val="00CF167B"/>
    <w:rsid w:val="00CF174B"/>
    <w:rsid w:val="00CF2B6F"/>
    <w:rsid w:val="00CF3BC4"/>
    <w:rsid w:val="00CF61D1"/>
    <w:rsid w:val="00CF6340"/>
    <w:rsid w:val="00D009DE"/>
    <w:rsid w:val="00D017ED"/>
    <w:rsid w:val="00D02AD9"/>
    <w:rsid w:val="00D045C1"/>
    <w:rsid w:val="00D05B44"/>
    <w:rsid w:val="00D07496"/>
    <w:rsid w:val="00D07BFC"/>
    <w:rsid w:val="00D135F8"/>
    <w:rsid w:val="00D143B1"/>
    <w:rsid w:val="00D153B1"/>
    <w:rsid w:val="00D1617A"/>
    <w:rsid w:val="00D164E5"/>
    <w:rsid w:val="00D166FC"/>
    <w:rsid w:val="00D224FE"/>
    <w:rsid w:val="00D229BA"/>
    <w:rsid w:val="00D24C02"/>
    <w:rsid w:val="00D316D0"/>
    <w:rsid w:val="00D37201"/>
    <w:rsid w:val="00D42357"/>
    <w:rsid w:val="00D426CB"/>
    <w:rsid w:val="00D46E89"/>
    <w:rsid w:val="00D47415"/>
    <w:rsid w:val="00D51CD8"/>
    <w:rsid w:val="00D53163"/>
    <w:rsid w:val="00D55A5F"/>
    <w:rsid w:val="00D56024"/>
    <w:rsid w:val="00D611E1"/>
    <w:rsid w:val="00D61619"/>
    <w:rsid w:val="00D624D6"/>
    <w:rsid w:val="00D63084"/>
    <w:rsid w:val="00D63F91"/>
    <w:rsid w:val="00D6493E"/>
    <w:rsid w:val="00D72019"/>
    <w:rsid w:val="00D72783"/>
    <w:rsid w:val="00D73C01"/>
    <w:rsid w:val="00D74637"/>
    <w:rsid w:val="00D763E2"/>
    <w:rsid w:val="00D80DD3"/>
    <w:rsid w:val="00D82F24"/>
    <w:rsid w:val="00D834EE"/>
    <w:rsid w:val="00D84A25"/>
    <w:rsid w:val="00D855AE"/>
    <w:rsid w:val="00D85B4E"/>
    <w:rsid w:val="00D86C12"/>
    <w:rsid w:val="00D87F31"/>
    <w:rsid w:val="00D95034"/>
    <w:rsid w:val="00D97D00"/>
    <w:rsid w:val="00DA1086"/>
    <w:rsid w:val="00DA1124"/>
    <w:rsid w:val="00DA24C7"/>
    <w:rsid w:val="00DA2BE7"/>
    <w:rsid w:val="00DA3BFE"/>
    <w:rsid w:val="00DA5B9B"/>
    <w:rsid w:val="00DA7A0C"/>
    <w:rsid w:val="00DB063B"/>
    <w:rsid w:val="00DB33CF"/>
    <w:rsid w:val="00DB34F5"/>
    <w:rsid w:val="00DB549E"/>
    <w:rsid w:val="00DC2833"/>
    <w:rsid w:val="00DC38FE"/>
    <w:rsid w:val="00DC55B7"/>
    <w:rsid w:val="00DC7746"/>
    <w:rsid w:val="00DC79D6"/>
    <w:rsid w:val="00DC7EE4"/>
    <w:rsid w:val="00DD1234"/>
    <w:rsid w:val="00DD18F8"/>
    <w:rsid w:val="00DD75A3"/>
    <w:rsid w:val="00DE02AE"/>
    <w:rsid w:val="00DE06DB"/>
    <w:rsid w:val="00DE0774"/>
    <w:rsid w:val="00DE3ED6"/>
    <w:rsid w:val="00DE6A0C"/>
    <w:rsid w:val="00DE6C04"/>
    <w:rsid w:val="00DF1D7F"/>
    <w:rsid w:val="00DF2F50"/>
    <w:rsid w:val="00DF383F"/>
    <w:rsid w:val="00DF50BD"/>
    <w:rsid w:val="00E02FB4"/>
    <w:rsid w:val="00E05B04"/>
    <w:rsid w:val="00E06A1B"/>
    <w:rsid w:val="00E1165A"/>
    <w:rsid w:val="00E121FA"/>
    <w:rsid w:val="00E12E2F"/>
    <w:rsid w:val="00E1340C"/>
    <w:rsid w:val="00E17D71"/>
    <w:rsid w:val="00E2020C"/>
    <w:rsid w:val="00E20571"/>
    <w:rsid w:val="00E207D9"/>
    <w:rsid w:val="00E21651"/>
    <w:rsid w:val="00E235F7"/>
    <w:rsid w:val="00E239D4"/>
    <w:rsid w:val="00E27C3A"/>
    <w:rsid w:val="00E27FAB"/>
    <w:rsid w:val="00E313A8"/>
    <w:rsid w:val="00E40B22"/>
    <w:rsid w:val="00E40BD2"/>
    <w:rsid w:val="00E41AD2"/>
    <w:rsid w:val="00E42068"/>
    <w:rsid w:val="00E4307C"/>
    <w:rsid w:val="00E43314"/>
    <w:rsid w:val="00E4588F"/>
    <w:rsid w:val="00E46DA3"/>
    <w:rsid w:val="00E476C8"/>
    <w:rsid w:val="00E55460"/>
    <w:rsid w:val="00E57B71"/>
    <w:rsid w:val="00E604FC"/>
    <w:rsid w:val="00E72FC4"/>
    <w:rsid w:val="00E770A2"/>
    <w:rsid w:val="00E779B6"/>
    <w:rsid w:val="00E80553"/>
    <w:rsid w:val="00E81BC9"/>
    <w:rsid w:val="00E85439"/>
    <w:rsid w:val="00E85D5D"/>
    <w:rsid w:val="00E860E0"/>
    <w:rsid w:val="00E86A1F"/>
    <w:rsid w:val="00E8778C"/>
    <w:rsid w:val="00E9008E"/>
    <w:rsid w:val="00E9082C"/>
    <w:rsid w:val="00E9579B"/>
    <w:rsid w:val="00E95CCA"/>
    <w:rsid w:val="00E95D96"/>
    <w:rsid w:val="00E97275"/>
    <w:rsid w:val="00EA0A0F"/>
    <w:rsid w:val="00EA16DE"/>
    <w:rsid w:val="00EA406B"/>
    <w:rsid w:val="00EA5776"/>
    <w:rsid w:val="00EB0798"/>
    <w:rsid w:val="00EB28AE"/>
    <w:rsid w:val="00EB2F97"/>
    <w:rsid w:val="00EB34F1"/>
    <w:rsid w:val="00EB40AD"/>
    <w:rsid w:val="00EB4571"/>
    <w:rsid w:val="00EB586E"/>
    <w:rsid w:val="00EB5FC8"/>
    <w:rsid w:val="00EB74A7"/>
    <w:rsid w:val="00EB758A"/>
    <w:rsid w:val="00EC384E"/>
    <w:rsid w:val="00EC4910"/>
    <w:rsid w:val="00EC580A"/>
    <w:rsid w:val="00ED0381"/>
    <w:rsid w:val="00ED58CF"/>
    <w:rsid w:val="00ED5A41"/>
    <w:rsid w:val="00ED5D05"/>
    <w:rsid w:val="00ED6B23"/>
    <w:rsid w:val="00ED72F3"/>
    <w:rsid w:val="00EE00CA"/>
    <w:rsid w:val="00EE148A"/>
    <w:rsid w:val="00EE2CC3"/>
    <w:rsid w:val="00EE3577"/>
    <w:rsid w:val="00EE5B70"/>
    <w:rsid w:val="00EF08F0"/>
    <w:rsid w:val="00EF1963"/>
    <w:rsid w:val="00EF3129"/>
    <w:rsid w:val="00EF3C6A"/>
    <w:rsid w:val="00EF578B"/>
    <w:rsid w:val="00EF7B95"/>
    <w:rsid w:val="00F033EC"/>
    <w:rsid w:val="00F0438D"/>
    <w:rsid w:val="00F049A1"/>
    <w:rsid w:val="00F04F68"/>
    <w:rsid w:val="00F10A73"/>
    <w:rsid w:val="00F10BD8"/>
    <w:rsid w:val="00F111FA"/>
    <w:rsid w:val="00F12670"/>
    <w:rsid w:val="00F14B27"/>
    <w:rsid w:val="00F20118"/>
    <w:rsid w:val="00F23105"/>
    <w:rsid w:val="00F25577"/>
    <w:rsid w:val="00F2700C"/>
    <w:rsid w:val="00F3148D"/>
    <w:rsid w:val="00F32D36"/>
    <w:rsid w:val="00F33A73"/>
    <w:rsid w:val="00F3450E"/>
    <w:rsid w:val="00F3509E"/>
    <w:rsid w:val="00F35298"/>
    <w:rsid w:val="00F3529E"/>
    <w:rsid w:val="00F419CC"/>
    <w:rsid w:val="00F41DCE"/>
    <w:rsid w:val="00F443FD"/>
    <w:rsid w:val="00F44552"/>
    <w:rsid w:val="00F46F9A"/>
    <w:rsid w:val="00F47D14"/>
    <w:rsid w:val="00F47E37"/>
    <w:rsid w:val="00F50627"/>
    <w:rsid w:val="00F50ADC"/>
    <w:rsid w:val="00F50B5E"/>
    <w:rsid w:val="00F53323"/>
    <w:rsid w:val="00F53E24"/>
    <w:rsid w:val="00F56D63"/>
    <w:rsid w:val="00F640B6"/>
    <w:rsid w:val="00F647EA"/>
    <w:rsid w:val="00F65B15"/>
    <w:rsid w:val="00F70540"/>
    <w:rsid w:val="00F76802"/>
    <w:rsid w:val="00F80E40"/>
    <w:rsid w:val="00F83D44"/>
    <w:rsid w:val="00F91585"/>
    <w:rsid w:val="00F923D6"/>
    <w:rsid w:val="00F942E9"/>
    <w:rsid w:val="00F94460"/>
    <w:rsid w:val="00F95CA6"/>
    <w:rsid w:val="00F9705F"/>
    <w:rsid w:val="00FA006A"/>
    <w:rsid w:val="00FA029A"/>
    <w:rsid w:val="00FA144A"/>
    <w:rsid w:val="00FA2018"/>
    <w:rsid w:val="00FA3338"/>
    <w:rsid w:val="00FA5B82"/>
    <w:rsid w:val="00FA62B4"/>
    <w:rsid w:val="00FA639E"/>
    <w:rsid w:val="00FA7DF1"/>
    <w:rsid w:val="00FB1B89"/>
    <w:rsid w:val="00FB3817"/>
    <w:rsid w:val="00FB54DC"/>
    <w:rsid w:val="00FC03C8"/>
    <w:rsid w:val="00FC25E4"/>
    <w:rsid w:val="00FC36B9"/>
    <w:rsid w:val="00FC42B9"/>
    <w:rsid w:val="00FC4EF7"/>
    <w:rsid w:val="00FD0428"/>
    <w:rsid w:val="00FD2E18"/>
    <w:rsid w:val="00FD2F2B"/>
    <w:rsid w:val="00FD463E"/>
    <w:rsid w:val="00FD56A0"/>
    <w:rsid w:val="00FD5880"/>
    <w:rsid w:val="00FD5947"/>
    <w:rsid w:val="00FD62E3"/>
    <w:rsid w:val="00FD727A"/>
    <w:rsid w:val="00FE1DEE"/>
    <w:rsid w:val="00FE3D96"/>
    <w:rsid w:val="00FE705F"/>
    <w:rsid w:val="00FF01FE"/>
    <w:rsid w:val="00FF1448"/>
    <w:rsid w:val="00FF2126"/>
    <w:rsid w:val="00FF25D3"/>
    <w:rsid w:val="00FF4170"/>
    <w:rsid w:val="00FF577D"/>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2534B2"/>
    <w:pPr>
      <w:outlineLvl w:val="3"/>
    </w:p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2534B2"/>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534B2"/>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1A30EC"/>
    <w:pPr>
      <w:numPr>
        <w:ilvl w:val="2"/>
        <w:numId w:val="3"/>
      </w:numPr>
      <w:ind w:left="709"/>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E604FC"/>
    <w:rPr>
      <w:i/>
      <w:iCs/>
    </w:rPr>
  </w:style>
  <w:style w:type="paragraph" w:customStyle="1" w:styleId="Numberbullet2ared">
    <w:name w:val="Number bullet 2 a) red"/>
    <w:basedOn w:val="Normal"/>
    <w:uiPriority w:val="1"/>
    <w:qFormat/>
    <w:rsid w:val="007C7456"/>
    <w:pPr>
      <w:numPr>
        <w:numId w:val="9"/>
      </w:numPr>
    </w:pPr>
    <w:rPr>
      <w:color w:val="FF0000"/>
      <w:lang w:eastAsia="en-AU"/>
    </w:rPr>
  </w:style>
  <w:style w:type="paragraph" w:customStyle="1" w:styleId="Normal-hanging">
    <w:name w:val="Normal - hanging"/>
    <w:basedOn w:val="Normal"/>
    <w:next w:val="Normal"/>
    <w:qFormat/>
    <w:rsid w:val="007C7456"/>
    <w:pPr>
      <w:spacing w:before="0" w:after="0"/>
      <w:ind w:left="397" w:hanging="397"/>
    </w:pPr>
    <w:rPr>
      <w:rFonts w:ascii="Times New Roman" w:hAnsi="Times New Roman"/>
    </w:rPr>
  </w:style>
  <w:style w:type="paragraph" w:customStyle="1" w:styleId="Numberbullet2aitalicised">
    <w:name w:val="Number bullet 2 a) italicised"/>
    <w:basedOn w:val="Numberbullet2"/>
    <w:uiPriority w:val="1"/>
    <w:qFormat/>
    <w:rsid w:val="00D045C1"/>
    <w:pPr>
      <w:numPr>
        <w:ilvl w:val="0"/>
        <w:numId w:val="8"/>
      </w:num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788">
      <w:bodyDiv w:val="1"/>
      <w:marLeft w:val="0"/>
      <w:marRight w:val="0"/>
      <w:marTop w:val="0"/>
      <w:marBottom w:val="0"/>
      <w:divBdr>
        <w:top w:val="none" w:sz="0" w:space="0" w:color="auto"/>
        <w:left w:val="none" w:sz="0" w:space="0" w:color="auto"/>
        <w:bottom w:val="none" w:sz="0" w:space="0" w:color="auto"/>
        <w:right w:val="none" w:sz="0" w:space="0" w:color="auto"/>
      </w:divBdr>
    </w:div>
    <w:div w:id="144510711">
      <w:bodyDiv w:val="1"/>
      <w:marLeft w:val="0"/>
      <w:marRight w:val="0"/>
      <w:marTop w:val="0"/>
      <w:marBottom w:val="0"/>
      <w:divBdr>
        <w:top w:val="none" w:sz="0" w:space="0" w:color="auto"/>
        <w:left w:val="none" w:sz="0" w:space="0" w:color="auto"/>
        <w:bottom w:val="none" w:sz="0" w:space="0" w:color="auto"/>
        <w:right w:val="none" w:sz="0" w:space="0" w:color="auto"/>
      </w:divBdr>
    </w:div>
    <w:div w:id="1837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update-psilocybin-and-mdma-scheduling"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tga.gov.au/publication/scheduling-handbook-guidance-amending-poisons-standard" TargetMode="External"/><Relationship Id="rId39" Type="http://schemas.openxmlformats.org/officeDocument/2006/relationships/hyperlink" Target="https://www.tga.gov.au/publication/scheduling-handbook-guidance-amending-poisons-standard" TargetMode="External"/><Relationship Id="rId21" Type="http://schemas.openxmlformats.org/officeDocument/2006/relationships/hyperlink" Target="https://www.tga.gov.au/consultation-invitation/consultation-proposed-amendments-poisons-standard-acms-accs-and-joint-acmsaccs-meetings-november-2020" TargetMode="External"/><Relationship Id="rId34" Type="http://schemas.openxmlformats.org/officeDocument/2006/relationships/hyperlink" Target="https://www.tga.gov.au/scheduling-decision-interim/notice-interim-decisions-proposed-amendments-poisons-standard-acms-accs-and-joint-acms-accs-meetings-november-2020" TargetMode="External"/><Relationship Id="rId42" Type="http://schemas.openxmlformats.org/officeDocument/2006/relationships/hyperlink" Target="https://www.tga.gov.au/consultation-invitation/consultation-proposed-amendments-poisons-standard-acms-accs-and-joint-acmsaccs-meetings-november-2020" TargetMode="External"/><Relationship Id="rId47" Type="http://schemas.openxmlformats.org/officeDocument/2006/relationships/hyperlink" Target="https://www.tga.gov.au/consultation-invitation/consultation-proposed-amendments-poisons-standard-acms-accs-and-joint-acmsaccs-meetings-november-2020" TargetMode="External"/><Relationship Id="rId50" Type="http://schemas.openxmlformats.org/officeDocument/2006/relationships/hyperlink" Target="https://consultations.health.gov.au/tga/november_2020_interim" TargetMode="External"/><Relationship Id="rId55" Type="http://schemas.openxmlformats.org/officeDocument/2006/relationships/hyperlink" Target="https://www.tga.gov.au/consultation-invitation/consultation-proposed-amendments-poisons-standard-acms-accs-and-joint-acmsaccs-meetings-november-2020" TargetMode="External"/><Relationship Id="rId63" Type="http://schemas.openxmlformats.org/officeDocument/2006/relationships/hyperlink" Target="https://consultations.health.gov.au/tga/november_2020_interim" TargetMode="External"/><Relationship Id="rId68" Type="http://schemas.openxmlformats.org/officeDocument/2006/relationships/hyperlink" Target="https://www.tga.gov.au/consultation-invitation/consultation-proposed-amendments-poisons-standard-acms-accs-and-joint-acmsaccs-meetings-november-2020" TargetMode="External"/><Relationship Id="rId76" Type="http://schemas.openxmlformats.org/officeDocument/2006/relationships/hyperlink" Target="https://www.tga.gov.au/publication/ahmac-scheduling-policy-framework-medicines-and-chemicals"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tga.gov.au/publication/scheduling-handbook-guidance-amending-poisons-standard" TargetMode="External"/><Relationship Id="rId2" Type="http://schemas.openxmlformats.org/officeDocument/2006/relationships/numbering" Target="numbering.xml"/><Relationship Id="rId16" Type="http://schemas.openxmlformats.org/officeDocument/2006/relationships/hyperlink" Target="https://consultations.health.gov.au/tga/november_2020_interim" TargetMode="External"/><Relationship Id="rId29" Type="http://schemas.openxmlformats.org/officeDocument/2006/relationships/hyperlink" Target="https://www.tga.gov.au/consultation-invitation/consultation-proposed-amendments-poisons-standard-acms-accs-and-joint-acmsaccs-meetings-november-2020" TargetMode="External"/><Relationship Id="rId11" Type="http://schemas.openxmlformats.org/officeDocument/2006/relationships/hyperlink" Target="mailto:tga.copyright@tga.gov.au" TargetMode="External"/><Relationship Id="rId24" Type="http://schemas.openxmlformats.org/officeDocument/2006/relationships/hyperlink" Target="https://consultations.health.gov.au/tga/november_2020_interim" TargetMode="External"/><Relationship Id="rId32" Type="http://schemas.openxmlformats.org/officeDocument/2006/relationships/hyperlink" Target="https://www.tga.gov.au/publication/scheduling-handbook-guidance-amending-poisons-standard" TargetMode="External"/><Relationship Id="rId37" Type="http://schemas.openxmlformats.org/officeDocument/2006/relationships/hyperlink" Target="https://consultations.health.gov.au/tga/november_2020_interim" TargetMode="External"/><Relationship Id="rId40" Type="http://schemas.openxmlformats.org/officeDocument/2006/relationships/hyperlink" Target="https://www.tga.gov.au/scheduling-decision-interim/notice-interim-decisions-proposed-amendments-poisons-standard-acms-accs-and-joint-acms-accs-meetings-november-2020" TargetMode="External"/><Relationship Id="rId45" Type="http://schemas.openxmlformats.org/officeDocument/2006/relationships/hyperlink" Target="https://www.tga.gov.au/publication/scheduling-handbook-guidance-amending-poisons-standard" TargetMode="External"/><Relationship Id="rId53" Type="http://schemas.openxmlformats.org/officeDocument/2006/relationships/hyperlink" Target="https://www.tga.gov.au/scheduling-decision-interim/notice-interim-decisions-proposed-amendments-poisons-standard-acms-accs-and-joint-acms-accs-meetings-november-2020" TargetMode="External"/><Relationship Id="rId58" Type="http://schemas.openxmlformats.org/officeDocument/2006/relationships/hyperlink" Target="https://www.tga.gov.au/publication/scheduling-handbook-guidance-amending-poisons-standard" TargetMode="External"/><Relationship Id="rId66" Type="http://schemas.openxmlformats.org/officeDocument/2006/relationships/hyperlink" Target="https://www.tga.gov.au/scheduling-decision-interim/notice-interim-decisions-proposed-amendments-poisons-standard-acms-accs-and-joint-acms-accs-meetings-november-2020" TargetMode="External"/><Relationship Id="rId74" Type="http://schemas.openxmlformats.org/officeDocument/2006/relationships/hyperlink" Target="https://www.tga.gov.au/consultation-invitation/consultation-proposed-amendments-poisons-standard-acms-accs-and-joint-acmsaccs-meetings-november-2020" TargetMode="External"/><Relationship Id="rId79" Type="http://schemas.openxmlformats.org/officeDocument/2006/relationships/hyperlink" Target="https://www.tga.gov.au/scheduling-decision-final/notice-final-decision-amend-or-not-amend-current-poisons-standard-cannabidiol" TargetMode="External"/><Relationship Id="rId5" Type="http://schemas.openxmlformats.org/officeDocument/2006/relationships/webSettings" Target="webSettings.xml"/><Relationship Id="rId61" Type="http://schemas.openxmlformats.org/officeDocument/2006/relationships/hyperlink" Target="https://consultations.health.gov.au/tga/4159c547/" TargetMode="External"/><Relationship Id="rId82" Type="http://schemas.openxmlformats.org/officeDocument/2006/relationships/header" Target="header4.xml"/><Relationship Id="rId19" Type="http://schemas.openxmlformats.org/officeDocument/2006/relationships/hyperlink" Target="https://www.tga.gov.au/sites/default/files/evaluation-report-amygdalin-hydrocyanic-aci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health.gov.au/tga/4159c547/" TargetMode="External"/><Relationship Id="rId22" Type="http://schemas.openxmlformats.org/officeDocument/2006/relationships/hyperlink" Target="https://consultations.health.gov.au/tga/4159c547/" TargetMode="External"/><Relationship Id="rId27" Type="http://schemas.openxmlformats.org/officeDocument/2006/relationships/hyperlink" Target="https://www.tga.gov.au/scheduling-decision-interim/notice-interim-decisions-proposed-amendments-poisons-standard-acms-accs-and-joint-acms-accs-meetings-november-2020" TargetMode="External"/><Relationship Id="rId30" Type="http://schemas.openxmlformats.org/officeDocument/2006/relationships/hyperlink" Target="https://consultations.health.gov.au/tga/november_2020_interim" TargetMode="External"/><Relationship Id="rId35" Type="http://schemas.openxmlformats.org/officeDocument/2006/relationships/hyperlink" Target="https://consultations.health.gov.au/tga/4159c547/" TargetMode="External"/><Relationship Id="rId43" Type="http://schemas.openxmlformats.org/officeDocument/2006/relationships/hyperlink" Target="https://consultations.health.gov.au/tga/november_2020_interim" TargetMode="External"/><Relationship Id="rId48" Type="http://schemas.openxmlformats.org/officeDocument/2006/relationships/hyperlink" Target="https://consultations.health.gov.au/tga/4159c547/" TargetMode="External"/><Relationship Id="rId56" Type="http://schemas.openxmlformats.org/officeDocument/2006/relationships/hyperlink" Target="https://consultations.health.gov.au/tga/november_2020_interim" TargetMode="External"/><Relationship Id="rId64" Type="http://schemas.openxmlformats.org/officeDocument/2006/relationships/hyperlink" Target="https://www.tga.gov.au/publication/ahmac-scheduling-policy-framework-medicines-and-chemicals" TargetMode="External"/><Relationship Id="rId69" Type="http://schemas.openxmlformats.org/officeDocument/2006/relationships/hyperlink" Target="https://consultations.health.gov.au/tga/november_2020_interim" TargetMode="External"/><Relationship Id="rId77" Type="http://schemas.openxmlformats.org/officeDocument/2006/relationships/hyperlink" Target="https://www.tga.gov.au/publication/scheduling-handbook-guidance-amending-poisons-standard" TargetMode="External"/><Relationship Id="rId8" Type="http://schemas.openxmlformats.org/officeDocument/2006/relationships/header" Target="header1.xml"/><Relationship Id="rId51" Type="http://schemas.openxmlformats.org/officeDocument/2006/relationships/hyperlink" Target="https://www.tga.gov.au/publication/ahmac-scheduling-policy-framework-medicines-and-chemicals" TargetMode="External"/><Relationship Id="rId72" Type="http://schemas.openxmlformats.org/officeDocument/2006/relationships/hyperlink" Target="https://www.tga.gov.au/scheduling-decision-interim/notice-interim-decisions-proposed-amendments-poisons-standard-acms-accs-and-joint-acms-accs-meetings-november-2020" TargetMode="External"/><Relationship Id="rId80" Type="http://schemas.openxmlformats.org/officeDocument/2006/relationships/header" Target="header3.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ga.gov.au/consultation-invitation/consultation-proposed-amendments-poisons-standard-acms-accs-and-joint-acmsaccs-meetings-november-2020"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yperlink" Target="https://www.asthmahandbook.org.au/" TargetMode="External"/><Relationship Id="rId38" Type="http://schemas.openxmlformats.org/officeDocument/2006/relationships/hyperlink" Target="https://www.tga.gov.au/publication/ahmac-scheduling-policy-framework-medicines-and-chemicals" TargetMode="External"/><Relationship Id="rId46" Type="http://schemas.openxmlformats.org/officeDocument/2006/relationships/hyperlink" Target="https://www.tga.gov.au/scheduling-decision-interim/notice-interim-decisions-proposed-amendments-poisons-standard-acms-accs-and-joint-acms-accs-meetings-november-2020" TargetMode="External"/><Relationship Id="rId59" Type="http://schemas.openxmlformats.org/officeDocument/2006/relationships/hyperlink" Target="https://www.tga.gov.au/scheduling-decision-interim/notice-interim-decisions-proposed-amendments-poisons-standard-acms-accs-and-joint-acms-accs-meetings-november-2020" TargetMode="External"/><Relationship Id="rId67" Type="http://schemas.openxmlformats.org/officeDocument/2006/relationships/hyperlink" Target="https://consultations.health.gov.au/tga/4159c547/" TargetMode="External"/><Relationship Id="rId20" Type="http://schemas.openxmlformats.org/officeDocument/2006/relationships/hyperlink" Target="https://www.tga.gov.au/scheduling-decision-interim/notice-interim-decisions-proposed-amendments-poisons-standard-acms-accs-and-joint-acms-accs-meetings-november-2020" TargetMode="External"/><Relationship Id="rId41" Type="http://schemas.openxmlformats.org/officeDocument/2006/relationships/hyperlink" Target="https://consultations.health.gov.au/tga/4159c547/" TargetMode="External"/><Relationship Id="rId54" Type="http://schemas.openxmlformats.org/officeDocument/2006/relationships/hyperlink" Target="https://consultations.health.gov.au/tga/4159c547/" TargetMode="External"/><Relationship Id="rId62" Type="http://schemas.openxmlformats.org/officeDocument/2006/relationships/hyperlink" Target="https://www.tga.gov.au/consultation-invitation/consultation-proposed-amendments-poisons-standard-acms-accs-and-joint-acmsaccs-meetings-november-2020" TargetMode="External"/><Relationship Id="rId70" Type="http://schemas.openxmlformats.org/officeDocument/2006/relationships/hyperlink" Target="https://www.tga.gov.au/publication/ahmac-scheduling-policy-framework-medicines-and-chemicals" TargetMode="External"/><Relationship Id="rId75" Type="http://schemas.openxmlformats.org/officeDocument/2006/relationships/hyperlink" Target="https://consultations.health.gov.au/tga/november_2020_interim"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nsultation-invitation/consultation-proposed-amendments-poisons-standard-acms-accs-and-joint-acmsaccs-meetings-november-2020" TargetMode="External"/><Relationship Id="rId23" Type="http://schemas.openxmlformats.org/officeDocument/2006/relationships/hyperlink" Target="https://www.tga.gov.au/consultation-invitation/consultation-proposed-amendments-poisons-standard-acms-accs-and-joint-acmsaccs-meetings-november-2020" TargetMode="External"/><Relationship Id="rId28" Type="http://schemas.openxmlformats.org/officeDocument/2006/relationships/hyperlink" Target="https://consultations.health.gov.au/tga/4159c547/" TargetMode="External"/><Relationship Id="rId36" Type="http://schemas.openxmlformats.org/officeDocument/2006/relationships/hyperlink" Target="https://www.tga.gov.au/consultation-invitation/consultation-proposed-amendments-poisons-standard-acms-accs-and-joint-acmsaccs-meetings-november-2020" TargetMode="External"/><Relationship Id="rId49" Type="http://schemas.openxmlformats.org/officeDocument/2006/relationships/hyperlink" Target="https://www.tga.gov.au/consultation-invitation/consultation-proposed-amendments-poisons-standard-acms-accs-and-joint-acmsaccs-meetings-november-2020" TargetMode="External"/><Relationship Id="rId57" Type="http://schemas.openxmlformats.org/officeDocument/2006/relationships/hyperlink" Target="https://www.tga.gov.au/publication/ahmac-scheduling-policy-framework-medicines-and-chemicals" TargetMode="External"/><Relationship Id="rId10" Type="http://schemas.openxmlformats.org/officeDocument/2006/relationships/header" Target="header2.xml"/><Relationship Id="rId31" Type="http://schemas.openxmlformats.org/officeDocument/2006/relationships/hyperlink" Target="https://www.tga.gov.au/publication/ahmac-scheduling-policy-framework-medicines-and-chemicals"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www.tga.gov.au/publication/scheduling-handbook-guidance-amending-poisons-standard" TargetMode="External"/><Relationship Id="rId60" Type="http://schemas.openxmlformats.org/officeDocument/2006/relationships/hyperlink" Target="https://www.tga.gov.au/consultation-invitation/consultation-proposed-amendments-poisons-standard-acms-accs-and-joint-acmsaccs-meetings-november-2020" TargetMode="External"/><Relationship Id="rId65" Type="http://schemas.openxmlformats.org/officeDocument/2006/relationships/hyperlink" Target="https://www.tga.gov.au/publication/scheduling-handbook-guidance-amending-poisons-standard" TargetMode="External"/><Relationship Id="rId73" Type="http://schemas.openxmlformats.org/officeDocument/2006/relationships/hyperlink" Target="https://consultations.health.gov.au/tga/4159c547/" TargetMode="External"/><Relationship Id="rId78" Type="http://schemas.openxmlformats.org/officeDocument/2006/relationships/hyperlink" Target="https://www.tga.gov.au/scheduling-decision-interim/notice-interim-decisions-proposed-amendments-poisons-standard-acms-accs-and-joint-acms-accs-meetings-november-2020" TargetMode="External"/><Relationship Id="rId81"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5811-2388-4527-816B-4F502D6F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297</TotalTime>
  <Pages>16</Pages>
  <Words>6270</Words>
  <Characters>35744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vt:lpstr>
    </vt:vector>
  </TitlesOfParts>
  <Company>TGA</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Delegate’s final decisions and reasons for decisions (ACCS#29, ACMS#32, Joint ACMS-ACCS #26, November 2020)</dc:title>
  <dc:subject>scheduling</dc:subject>
  <dc:creator>Therapeutic Goods Administration</dc:creator>
  <dc:description/>
  <cp:lastModifiedBy>SHEPPARD, Fran</cp:lastModifiedBy>
  <cp:revision>2</cp:revision>
  <cp:lastPrinted>2020-05-01T05:17:00Z</cp:lastPrinted>
  <dcterms:created xsi:type="dcterms:W3CDTF">2021-04-15T08:18:00Z</dcterms:created>
  <dcterms:modified xsi:type="dcterms:W3CDTF">2021-07-17T11:54:00Z</dcterms:modified>
</cp:coreProperties>
</file>