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4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5660C" w14:paraId="487E857D" w14:textId="77777777" w:rsidTr="00EB4571">
        <w:tc>
          <w:tcPr>
            <w:tcW w:w="8720" w:type="dxa"/>
          </w:tcPr>
          <w:p w14:paraId="158C7559" w14:textId="50EC184C" w:rsidR="0025660C" w:rsidRPr="00077548" w:rsidRDefault="00597B50" w:rsidP="00EB4571">
            <w:pPr>
              <w:pStyle w:val="Title"/>
            </w:pPr>
            <w:r w:rsidRPr="00597B50">
              <w:t>Notice of final decisions to amend (or not amend) the current Poisons Standard</w:t>
            </w:r>
          </w:p>
        </w:tc>
      </w:tr>
      <w:tr w:rsidR="0025660C" w14:paraId="3393FE2A" w14:textId="77777777" w:rsidTr="00EB4571">
        <w:trPr>
          <w:trHeight w:val="810"/>
        </w:trPr>
        <w:tc>
          <w:tcPr>
            <w:tcW w:w="8720" w:type="dxa"/>
          </w:tcPr>
          <w:p w14:paraId="38D3E20E" w14:textId="55B15A66" w:rsidR="0025660C" w:rsidRPr="00077548" w:rsidRDefault="00FC0A60" w:rsidP="00ED6B23">
            <w:pPr>
              <w:pStyle w:val="Subtitle"/>
              <w:tabs>
                <w:tab w:val="left" w:pos="5310"/>
              </w:tabs>
              <w:ind w:left="0"/>
            </w:pPr>
            <w:r>
              <w:t>23 May 2022</w:t>
            </w:r>
          </w:p>
        </w:tc>
      </w:tr>
    </w:tbl>
    <w:p w14:paraId="6D852DDD" w14:textId="77777777" w:rsidR="0025660C" w:rsidRDefault="0025660C" w:rsidP="0025660C">
      <w:pPr>
        <w:sectPr w:rsidR="0025660C" w:rsidSect="00E57B71">
          <w:headerReference w:type="default" r:id="rId8"/>
          <w:footerReference w:type="default" r:id="rId9"/>
          <w:headerReference w:type="first" r:id="rId10"/>
          <w:pgSz w:w="11906" w:h="16838" w:code="9"/>
          <w:pgMar w:top="1134" w:right="1418" w:bottom="1361" w:left="1418" w:header="851" w:footer="768" w:gutter="0"/>
          <w:cols w:space="708"/>
          <w:titlePg/>
          <w:docGrid w:linePitch="360"/>
        </w:sectPr>
      </w:pPr>
      <w:r>
        <w:br w:type="page"/>
      </w:r>
    </w:p>
    <w:p w14:paraId="30F6686F" w14:textId="02FB7BF9" w:rsidR="007907BF" w:rsidRPr="005D4EA1" w:rsidRDefault="007907BF" w:rsidP="007907BF">
      <w:pPr>
        <w:pStyle w:val="LegalSubheading"/>
        <w:pageBreakBefore/>
      </w:pPr>
      <w:r w:rsidRPr="00691723">
        <w:lastRenderedPageBreak/>
        <w:t>Copyright</w:t>
      </w:r>
    </w:p>
    <w:p w14:paraId="781131BA" w14:textId="77777777" w:rsidR="007907BF" w:rsidRDefault="007907BF" w:rsidP="007907BF">
      <w:pPr>
        <w:pStyle w:val="LegalCopy"/>
      </w:pPr>
      <w:r w:rsidRPr="009401F6">
        <w:t>© Commonwealth of Australia 20</w:t>
      </w:r>
      <w:r>
        <w:t>20</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w:t>
      </w:r>
      <w:proofErr w:type="gramStart"/>
      <w:r w:rsidRPr="009401F6">
        <w:t>reserved</w:t>
      </w:r>
      <w:proofErr w:type="gramEnd"/>
      <w:r w:rsidRPr="009401F6">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1" w:history="1">
        <w:r w:rsidRPr="009401F6">
          <w:rPr>
            <w:rStyle w:val="Hyperlink"/>
            <w:rFonts w:cs="Arial"/>
          </w:rPr>
          <w:t>tga.copyright@tga.gov.au</w:t>
        </w:r>
      </w:hyperlink>
      <w:r w:rsidRPr="009401F6">
        <w:t>&gt;</w:t>
      </w:r>
    </w:p>
    <w:p w14:paraId="48F61410" w14:textId="22E93990" w:rsidR="0025660C" w:rsidRPr="00766888" w:rsidRDefault="00597B50" w:rsidP="00ED6B23">
      <w:pPr>
        <w:pStyle w:val="LegalCopy"/>
        <w:tabs>
          <w:tab w:val="clear" w:pos="4513"/>
          <w:tab w:val="clear" w:pos="9026"/>
          <w:tab w:val="left" w:pos="2027"/>
        </w:tabs>
        <w:spacing w:before="12000"/>
      </w:pPr>
      <w:r>
        <w:lastRenderedPageBreak/>
        <w:tab/>
      </w:r>
    </w:p>
    <w:bookmarkStart w:id="0" w:name="_Toc323740419" w:displacedByCustomXml="next"/>
    <w:bookmarkStart w:id="1" w:name="_Toc328388475" w:displacedByCustomXml="next"/>
    <w:bookmarkStart w:id="2" w:name="_Toc323740418" w:displacedByCustomXml="next"/>
    <w:sdt>
      <w:sdtPr>
        <w:rPr>
          <w:rFonts w:ascii="Arial" w:hAnsi="Arial"/>
          <w:b/>
        </w:rPr>
        <w:id w:val="21514559"/>
        <w:docPartObj>
          <w:docPartGallery w:val="Table of Contents"/>
          <w:docPartUnique/>
        </w:docPartObj>
      </w:sdtPr>
      <w:sdtEndPr/>
      <w:sdtContent>
        <w:p w14:paraId="3FD33FC3" w14:textId="77777777" w:rsidR="00263699" w:rsidRDefault="0025660C">
          <w:pPr>
            <w:pStyle w:val="TOC2"/>
            <w:tabs>
              <w:tab w:val="left" w:pos="851"/>
            </w:tabs>
            <w:rPr>
              <w:noProof/>
            </w:rPr>
          </w:pPr>
          <w:r w:rsidRPr="005D16DC">
            <w:rPr>
              <w:rFonts w:asciiTheme="majorHAnsi" w:hAnsiTheme="majorHAnsi" w:cstheme="majorHAnsi"/>
              <w:sz w:val="28"/>
              <w:szCs w:val="28"/>
            </w:rPr>
            <w:t>Contents</w:t>
          </w:r>
          <w:r w:rsidR="008D3724">
            <w:rPr>
              <w:sz w:val="32"/>
            </w:rPr>
            <w:fldChar w:fldCharType="begin"/>
          </w:r>
          <w:r w:rsidR="008D3724">
            <w:rPr>
              <w:sz w:val="32"/>
            </w:rPr>
            <w:instrText xml:space="preserve"> TOC \o "1-3" \h \z \u </w:instrText>
          </w:r>
          <w:r w:rsidR="008D3724">
            <w:rPr>
              <w:sz w:val="32"/>
            </w:rPr>
            <w:fldChar w:fldCharType="separate"/>
          </w:r>
        </w:p>
        <w:p w14:paraId="2641F2C2" w14:textId="2112FEE2" w:rsidR="00263699" w:rsidRDefault="00050211">
          <w:pPr>
            <w:pStyle w:val="TOC2"/>
            <w:tabs>
              <w:tab w:val="left" w:pos="851"/>
            </w:tabs>
            <w:rPr>
              <w:rFonts w:asciiTheme="minorHAnsi" w:eastAsiaTheme="minorEastAsia" w:hAnsiTheme="minorHAnsi" w:cstheme="minorBidi"/>
              <w:noProof/>
              <w:szCs w:val="22"/>
              <w:lang w:eastAsia="en-AU"/>
            </w:rPr>
          </w:pPr>
          <w:hyperlink w:anchor="_Toc103093656" w:history="1">
            <w:r w:rsidR="00263699" w:rsidRPr="009B5D00">
              <w:rPr>
                <w:rStyle w:val="Hyperlink"/>
                <w:noProof/>
              </w:rPr>
              <w:t>1</w:t>
            </w:r>
            <w:r w:rsidR="00263699">
              <w:rPr>
                <w:rFonts w:asciiTheme="minorHAnsi" w:eastAsiaTheme="minorEastAsia" w:hAnsiTheme="minorHAnsi" w:cstheme="minorBidi"/>
                <w:noProof/>
                <w:szCs w:val="22"/>
                <w:lang w:eastAsia="en-AU"/>
              </w:rPr>
              <w:tab/>
            </w:r>
            <w:r w:rsidR="00263699" w:rsidRPr="009B5D00">
              <w:rPr>
                <w:rStyle w:val="Hyperlink"/>
                <w:noProof/>
              </w:rPr>
              <w:t>Notice of final decisions to amend (or not amend) the current Poisons Standard</w:t>
            </w:r>
            <w:r w:rsidR="00263699">
              <w:rPr>
                <w:noProof/>
                <w:webHidden/>
              </w:rPr>
              <w:tab/>
            </w:r>
            <w:r w:rsidR="00263699">
              <w:rPr>
                <w:noProof/>
                <w:webHidden/>
              </w:rPr>
              <w:fldChar w:fldCharType="begin"/>
            </w:r>
            <w:r w:rsidR="00263699">
              <w:rPr>
                <w:noProof/>
                <w:webHidden/>
              </w:rPr>
              <w:instrText xml:space="preserve"> PAGEREF _Toc103093656 \h </w:instrText>
            </w:r>
            <w:r w:rsidR="00263699">
              <w:rPr>
                <w:noProof/>
                <w:webHidden/>
              </w:rPr>
            </w:r>
            <w:r w:rsidR="00263699">
              <w:rPr>
                <w:noProof/>
                <w:webHidden/>
              </w:rPr>
              <w:fldChar w:fldCharType="separate"/>
            </w:r>
            <w:r w:rsidR="00263699">
              <w:rPr>
                <w:noProof/>
                <w:webHidden/>
              </w:rPr>
              <w:t>4</w:t>
            </w:r>
            <w:r w:rsidR="00263699">
              <w:rPr>
                <w:noProof/>
                <w:webHidden/>
              </w:rPr>
              <w:fldChar w:fldCharType="end"/>
            </w:r>
          </w:hyperlink>
        </w:p>
        <w:p w14:paraId="4B0ACAED" w14:textId="217DE027" w:rsidR="00263699" w:rsidRDefault="00050211">
          <w:pPr>
            <w:pStyle w:val="TOC2"/>
            <w:tabs>
              <w:tab w:val="left" w:pos="851"/>
            </w:tabs>
            <w:rPr>
              <w:rFonts w:asciiTheme="minorHAnsi" w:eastAsiaTheme="minorEastAsia" w:hAnsiTheme="minorHAnsi" w:cstheme="minorBidi"/>
              <w:noProof/>
              <w:szCs w:val="22"/>
              <w:lang w:eastAsia="en-AU"/>
            </w:rPr>
          </w:pPr>
          <w:hyperlink w:anchor="_Toc103093657" w:history="1">
            <w:r w:rsidR="00263699" w:rsidRPr="009B5D00">
              <w:rPr>
                <w:rStyle w:val="Hyperlink"/>
                <w:noProof/>
              </w:rPr>
              <w:t>2</w:t>
            </w:r>
            <w:r w:rsidR="00263699">
              <w:rPr>
                <w:rFonts w:asciiTheme="minorHAnsi" w:eastAsiaTheme="minorEastAsia" w:hAnsiTheme="minorHAnsi" w:cstheme="minorBidi"/>
                <w:noProof/>
                <w:szCs w:val="22"/>
                <w:lang w:eastAsia="en-AU"/>
              </w:rPr>
              <w:tab/>
            </w:r>
            <w:r w:rsidR="00263699" w:rsidRPr="009B5D00">
              <w:rPr>
                <w:rStyle w:val="Hyperlink"/>
                <w:noProof/>
              </w:rPr>
              <w:t>Final decisions on proposed amendments referred to the Advisory Committee on Chemicals Scheduling (Joint ACMS-ACCS #25, June 2020)</w:t>
            </w:r>
            <w:r w:rsidR="00263699">
              <w:rPr>
                <w:noProof/>
                <w:webHidden/>
              </w:rPr>
              <w:tab/>
            </w:r>
            <w:r w:rsidR="00263699">
              <w:rPr>
                <w:noProof/>
                <w:webHidden/>
              </w:rPr>
              <w:fldChar w:fldCharType="begin"/>
            </w:r>
            <w:r w:rsidR="00263699">
              <w:rPr>
                <w:noProof/>
                <w:webHidden/>
              </w:rPr>
              <w:instrText xml:space="preserve"> PAGEREF _Toc103093657 \h </w:instrText>
            </w:r>
            <w:r w:rsidR="00263699">
              <w:rPr>
                <w:noProof/>
                <w:webHidden/>
              </w:rPr>
            </w:r>
            <w:r w:rsidR="00263699">
              <w:rPr>
                <w:noProof/>
                <w:webHidden/>
              </w:rPr>
              <w:fldChar w:fldCharType="separate"/>
            </w:r>
            <w:r w:rsidR="00263699">
              <w:rPr>
                <w:noProof/>
                <w:webHidden/>
              </w:rPr>
              <w:t>5</w:t>
            </w:r>
            <w:r w:rsidR="00263699">
              <w:rPr>
                <w:noProof/>
                <w:webHidden/>
              </w:rPr>
              <w:fldChar w:fldCharType="end"/>
            </w:r>
          </w:hyperlink>
        </w:p>
        <w:p w14:paraId="7817C6C1" w14:textId="13E9AEE5" w:rsidR="00263699" w:rsidRDefault="00050211">
          <w:pPr>
            <w:pStyle w:val="TOC3"/>
            <w:tabs>
              <w:tab w:val="left" w:pos="1701"/>
            </w:tabs>
            <w:rPr>
              <w:rFonts w:asciiTheme="minorHAnsi" w:eastAsiaTheme="minorEastAsia" w:hAnsiTheme="minorHAnsi" w:cstheme="minorBidi"/>
              <w:noProof/>
              <w:sz w:val="22"/>
              <w:szCs w:val="22"/>
              <w:lang w:eastAsia="en-AU"/>
            </w:rPr>
          </w:pPr>
          <w:hyperlink w:anchor="_Toc103093658" w:history="1">
            <w:r w:rsidR="00263699" w:rsidRPr="009B5D00">
              <w:rPr>
                <w:rStyle w:val="Hyperlink"/>
                <w:noProof/>
              </w:rPr>
              <w:t>2.1</w:t>
            </w:r>
            <w:r w:rsidR="00263699">
              <w:rPr>
                <w:rFonts w:asciiTheme="minorHAnsi" w:eastAsiaTheme="minorEastAsia" w:hAnsiTheme="minorHAnsi" w:cstheme="minorBidi"/>
                <w:noProof/>
                <w:sz w:val="22"/>
                <w:szCs w:val="22"/>
                <w:lang w:eastAsia="en-AU"/>
              </w:rPr>
              <w:tab/>
            </w:r>
            <w:r w:rsidR="00263699" w:rsidRPr="009B5D00">
              <w:rPr>
                <w:rStyle w:val="Hyperlink"/>
                <w:noProof/>
              </w:rPr>
              <w:t>Final decision in relation to isothiazolinones, methylisothiazolinone and methylchloroisothiazolinone</w:t>
            </w:r>
            <w:r w:rsidR="00263699">
              <w:rPr>
                <w:noProof/>
                <w:webHidden/>
              </w:rPr>
              <w:tab/>
            </w:r>
            <w:r w:rsidR="00263699">
              <w:rPr>
                <w:noProof/>
                <w:webHidden/>
              </w:rPr>
              <w:fldChar w:fldCharType="begin"/>
            </w:r>
            <w:r w:rsidR="00263699">
              <w:rPr>
                <w:noProof/>
                <w:webHidden/>
              </w:rPr>
              <w:instrText xml:space="preserve"> PAGEREF _Toc103093658 \h </w:instrText>
            </w:r>
            <w:r w:rsidR="00263699">
              <w:rPr>
                <w:noProof/>
                <w:webHidden/>
              </w:rPr>
            </w:r>
            <w:r w:rsidR="00263699">
              <w:rPr>
                <w:noProof/>
                <w:webHidden/>
              </w:rPr>
              <w:fldChar w:fldCharType="separate"/>
            </w:r>
            <w:r w:rsidR="00263699">
              <w:rPr>
                <w:noProof/>
                <w:webHidden/>
              </w:rPr>
              <w:t>5</w:t>
            </w:r>
            <w:r w:rsidR="00263699">
              <w:rPr>
                <w:noProof/>
                <w:webHidden/>
              </w:rPr>
              <w:fldChar w:fldCharType="end"/>
            </w:r>
          </w:hyperlink>
        </w:p>
        <w:p w14:paraId="7DF331EE" w14:textId="07E8ED1B" w:rsidR="0025660C" w:rsidRDefault="008D3724" w:rsidP="008D3724">
          <w:pPr>
            <w:pStyle w:val="NonTOCheading2"/>
          </w:pPr>
          <w:r>
            <w:rPr>
              <w:sz w:val="32"/>
            </w:rPr>
            <w:fldChar w:fldCharType="end"/>
          </w:r>
        </w:p>
      </w:sdtContent>
    </w:sdt>
    <w:p w14:paraId="3445656D" w14:textId="797AC412" w:rsidR="0025660C" w:rsidRPr="00BC2009" w:rsidRDefault="00597B50" w:rsidP="00BC2009">
      <w:pPr>
        <w:pStyle w:val="Heading2"/>
        <w:pageBreakBefore/>
        <w:ind w:left="431" w:hanging="431"/>
      </w:pPr>
      <w:bookmarkStart w:id="3" w:name="_Toc103093656"/>
      <w:bookmarkEnd w:id="2"/>
      <w:bookmarkEnd w:id="1"/>
      <w:bookmarkEnd w:id="0"/>
      <w:r w:rsidRPr="00597B50">
        <w:lastRenderedPageBreak/>
        <w:t>Notice of final decisions to amend (or not amend) the current Poisons Standard</w:t>
      </w:r>
      <w:bookmarkEnd w:id="3"/>
      <w:r w:rsidRPr="00597B50">
        <w:t xml:space="preserve"> </w:t>
      </w:r>
    </w:p>
    <w:p w14:paraId="6885013C" w14:textId="5D67FB5C" w:rsidR="00597B50" w:rsidRPr="00263699" w:rsidRDefault="00597B50">
      <w:r>
        <w:t xml:space="preserve">This web publication constitutes a </w:t>
      </w:r>
      <w:r w:rsidRPr="00263699">
        <w:t xml:space="preserve">notice for the purposes of regulation 42ZCZS of the </w:t>
      </w:r>
      <w:r w:rsidRPr="00263699">
        <w:rPr>
          <w:i/>
        </w:rPr>
        <w:t xml:space="preserve">Therapeutic Goods Regulations 1990 </w:t>
      </w:r>
      <w:r w:rsidRPr="00263699">
        <w:t xml:space="preserve">(the </w:t>
      </w:r>
      <w:r w:rsidRPr="00263699">
        <w:rPr>
          <w:b/>
        </w:rPr>
        <w:t>Regulations</w:t>
      </w:r>
      <w:r w:rsidRPr="00263699">
        <w:t>). In accordance with regulations 42ZCZS, this notice publishes:</w:t>
      </w:r>
    </w:p>
    <w:p w14:paraId="518D5BAC" w14:textId="115F266C" w:rsidR="00597B50" w:rsidRPr="00263699" w:rsidRDefault="00597B50">
      <w:pPr>
        <w:pStyle w:val="ListBullet"/>
      </w:pPr>
      <w:r w:rsidRPr="00263699">
        <w:t>the decision made by a delegate of the Secretary</w:t>
      </w:r>
      <w:r w:rsidR="003E0262">
        <w:t xml:space="preserve"> of the Department of Health (the </w:t>
      </w:r>
      <w:r w:rsidR="003E0262" w:rsidRPr="003E0262">
        <w:rPr>
          <w:b/>
          <w:bCs/>
        </w:rPr>
        <w:t>Delegate</w:t>
      </w:r>
      <w:r w:rsidR="003E0262">
        <w:t>)</w:t>
      </w:r>
      <w:r w:rsidRPr="00263699">
        <w:t xml:space="preserve"> pursuant to regulation </w:t>
      </w:r>
      <w:proofErr w:type="gramStart"/>
      <w:r w:rsidRPr="00263699">
        <w:t>42ZCZR;</w:t>
      </w:r>
      <w:proofErr w:type="gramEnd"/>
    </w:p>
    <w:p w14:paraId="3702BF82" w14:textId="554AE471" w:rsidR="00597B50" w:rsidRPr="00263699" w:rsidRDefault="00597B50">
      <w:pPr>
        <w:pStyle w:val="ListBullet"/>
      </w:pPr>
      <w:r w:rsidRPr="00263699">
        <w:t xml:space="preserve">the reasons for the final decision; and </w:t>
      </w:r>
    </w:p>
    <w:p w14:paraId="18FD8D2C" w14:textId="433A0A7A" w:rsidR="00ED5D05" w:rsidRDefault="00597B50" w:rsidP="00FC0A60">
      <w:pPr>
        <w:pStyle w:val="ListBullet"/>
      </w:pPr>
      <w:r w:rsidRPr="00263699">
        <w:t>the date of effect of the decision.</w:t>
      </w:r>
    </w:p>
    <w:p w14:paraId="6FC130FF" w14:textId="77777777" w:rsidR="00263699" w:rsidRDefault="00263699">
      <w:pPr>
        <w:spacing w:before="0" w:after="0" w:line="240" w:lineRule="auto"/>
        <w:rPr>
          <w:rFonts w:ascii="Arial" w:eastAsia="Times New Roman" w:hAnsi="Arial"/>
          <w:b/>
          <w:bCs/>
          <w:sz w:val="32"/>
          <w:szCs w:val="32"/>
        </w:rPr>
      </w:pPr>
      <w:bookmarkStart w:id="4" w:name="_Toc46325255"/>
      <w:bookmarkStart w:id="5" w:name="_Toc46325611"/>
      <w:bookmarkStart w:id="6" w:name="_Toc46327427"/>
      <w:bookmarkStart w:id="7" w:name="_Toc46412213"/>
      <w:bookmarkStart w:id="8" w:name="_Final_decision_in"/>
      <w:bookmarkStart w:id="9" w:name="_Toc46325256"/>
      <w:bookmarkStart w:id="10" w:name="_Toc46325612"/>
      <w:bookmarkStart w:id="11" w:name="_Toc46327428"/>
      <w:bookmarkStart w:id="12" w:name="_Toc46412214"/>
      <w:bookmarkStart w:id="13" w:name="_Toc46325257"/>
      <w:bookmarkStart w:id="14" w:name="_Toc46325613"/>
      <w:bookmarkStart w:id="15" w:name="_Toc46327429"/>
      <w:bookmarkStart w:id="16" w:name="_Toc46412215"/>
      <w:bookmarkStart w:id="17" w:name="_Toc46325258"/>
      <w:bookmarkStart w:id="18" w:name="_Toc46325614"/>
      <w:bookmarkStart w:id="19" w:name="_Toc46327430"/>
      <w:bookmarkStart w:id="20" w:name="_Toc46412216"/>
      <w:bookmarkStart w:id="21" w:name="_Toc46325259"/>
      <w:bookmarkStart w:id="22" w:name="_Toc46325615"/>
      <w:bookmarkStart w:id="23" w:name="_Toc46327431"/>
      <w:bookmarkStart w:id="24" w:name="_Toc46412217"/>
      <w:bookmarkStart w:id="25" w:name="_Final_decision_in_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br w:type="page"/>
      </w:r>
    </w:p>
    <w:p w14:paraId="4214D372" w14:textId="17C4B0D9" w:rsidR="00FA029A" w:rsidRPr="00FA029A" w:rsidRDefault="00F41DCE" w:rsidP="00263699">
      <w:pPr>
        <w:pStyle w:val="Heading2"/>
      </w:pPr>
      <w:bookmarkStart w:id="26" w:name="_Toc103093657"/>
      <w:r>
        <w:lastRenderedPageBreak/>
        <w:t>Final</w:t>
      </w:r>
      <w:r w:rsidR="00FA029A" w:rsidRPr="00FA029A">
        <w:t xml:space="preserve"> decisions on proposed amendments referred to the Advisory Committee o</w:t>
      </w:r>
      <w:r w:rsidR="00FA029A">
        <w:t xml:space="preserve">n </w:t>
      </w:r>
      <w:r w:rsidR="003029A7">
        <w:t>Chemicals</w:t>
      </w:r>
      <w:r w:rsidR="00FA029A">
        <w:t xml:space="preserve"> Scheduling (</w:t>
      </w:r>
      <w:r w:rsidR="003029A7">
        <w:t xml:space="preserve">Joint </w:t>
      </w:r>
      <w:r w:rsidR="00FA029A">
        <w:t>ACMS</w:t>
      </w:r>
      <w:r w:rsidR="003029A7">
        <w:t>-ACCS</w:t>
      </w:r>
      <w:r w:rsidR="00FA029A">
        <w:t xml:space="preserve"> #</w:t>
      </w:r>
      <w:r w:rsidR="003029A7">
        <w:t>2</w:t>
      </w:r>
      <w:r w:rsidR="00967416">
        <w:t>5</w:t>
      </w:r>
      <w:r w:rsidR="00FA029A">
        <w:t xml:space="preserve">, </w:t>
      </w:r>
      <w:r w:rsidR="003029A7">
        <w:t>June</w:t>
      </w:r>
      <w:r w:rsidR="00FA029A">
        <w:t xml:space="preserve"> 20</w:t>
      </w:r>
      <w:r w:rsidR="00967416">
        <w:t>2</w:t>
      </w:r>
      <w:r w:rsidR="003029A7">
        <w:t>0</w:t>
      </w:r>
      <w:r w:rsidR="00FA029A" w:rsidRPr="00FA029A">
        <w:t>)</w:t>
      </w:r>
      <w:bookmarkEnd w:id="26"/>
    </w:p>
    <w:p w14:paraId="4F24AD70" w14:textId="6B1D8686" w:rsidR="0025660C" w:rsidRDefault="00F56D63" w:rsidP="00263699">
      <w:pPr>
        <w:pStyle w:val="Heading3"/>
      </w:pPr>
      <w:bookmarkStart w:id="27" w:name="_Toc103093658"/>
      <w:r>
        <w:t xml:space="preserve">Final decision in relation to </w:t>
      </w:r>
      <w:bookmarkStart w:id="28" w:name="_Hlk101353583"/>
      <w:proofErr w:type="spellStart"/>
      <w:r w:rsidR="003029A7">
        <w:t>isothiazolinones</w:t>
      </w:r>
      <w:proofErr w:type="spellEnd"/>
      <w:r w:rsidR="003029A7">
        <w:t xml:space="preserve">, methylisothiazolinone and </w:t>
      </w:r>
      <w:proofErr w:type="spellStart"/>
      <w:r w:rsidR="003029A7">
        <w:t>methylchloroisothiazolinon</w:t>
      </w:r>
      <w:bookmarkEnd w:id="28"/>
      <w:r w:rsidR="00A37835">
        <w:t>e</w:t>
      </w:r>
      <w:bookmarkEnd w:id="27"/>
      <w:proofErr w:type="spellEnd"/>
    </w:p>
    <w:p w14:paraId="61E0B426" w14:textId="4D13F197" w:rsidR="00335BEC" w:rsidRPr="008036B7" w:rsidRDefault="00436C41" w:rsidP="00F41DCE">
      <w:pPr>
        <w:pStyle w:val="Heading5"/>
      </w:pPr>
      <w:r>
        <w:t xml:space="preserve">Final Decision </w:t>
      </w:r>
    </w:p>
    <w:p w14:paraId="183C266B" w14:textId="0A51B223" w:rsidR="00A37835" w:rsidRPr="00335BEC" w:rsidRDefault="00A37835" w:rsidP="00A37835">
      <w:r>
        <w:t xml:space="preserve">Pursuant to regulation 42ZCZR of the Regulations, a Delegate has made a final decision to </w:t>
      </w:r>
      <w:r w:rsidRPr="00A37835">
        <w:t>confirm</w:t>
      </w:r>
      <w:r>
        <w:t xml:space="preserve"> </w:t>
      </w:r>
      <w:r w:rsidRPr="005203C8">
        <w:t>the interim decision</w:t>
      </w:r>
      <w:r>
        <w:t xml:space="preserve"> </w:t>
      </w:r>
      <w:r w:rsidRPr="00A37835">
        <w:t xml:space="preserve">and not amend the current Poisons Standard in relation to </w:t>
      </w:r>
      <w:proofErr w:type="spellStart"/>
      <w:r>
        <w:t>isothiazolinones</w:t>
      </w:r>
      <w:proofErr w:type="spellEnd"/>
      <w:r>
        <w:t>, methylisothiazolinone</w:t>
      </w:r>
      <w:r w:rsidR="00E83D3E">
        <w:t xml:space="preserve"> (MI)</w:t>
      </w:r>
      <w:r>
        <w:t xml:space="preserve"> and </w:t>
      </w:r>
      <w:proofErr w:type="spellStart"/>
      <w:r>
        <w:t>methylchloroisothiazolinone</w:t>
      </w:r>
      <w:proofErr w:type="spellEnd"/>
      <w:r w:rsidR="00E83D3E">
        <w:t xml:space="preserve"> (MCI)</w:t>
      </w:r>
      <w:r>
        <w:t>.</w:t>
      </w:r>
    </w:p>
    <w:p w14:paraId="5D482910" w14:textId="73C349EA" w:rsidR="00436C41" w:rsidRDefault="00436C41" w:rsidP="00F41DCE">
      <w:pPr>
        <w:pStyle w:val="Heading5"/>
      </w:pPr>
      <w:r>
        <w:t xml:space="preserve">Materials considered </w:t>
      </w:r>
    </w:p>
    <w:p w14:paraId="348AF278" w14:textId="4E3E957E" w:rsidR="006A64F4" w:rsidRDefault="006A64F4" w:rsidP="006A64F4">
      <w:r>
        <w:t>In making this final decision, the Delegate considered the following material:</w:t>
      </w:r>
    </w:p>
    <w:p w14:paraId="152016BB" w14:textId="4C2DC88A" w:rsidR="00D865C3" w:rsidRPr="003D69DF" w:rsidRDefault="00D865C3" w:rsidP="00D865C3">
      <w:pPr>
        <w:pStyle w:val="ListBullet"/>
        <w:rPr>
          <w:rFonts w:asciiTheme="minorHAnsi" w:hAnsiTheme="minorHAnsi"/>
        </w:rPr>
      </w:pPr>
      <w:r w:rsidRPr="003D69DF">
        <w:rPr>
          <w:rFonts w:asciiTheme="minorHAnsi" w:hAnsiTheme="minorHAnsi"/>
        </w:rPr>
        <w:t xml:space="preserve">The </w:t>
      </w:r>
      <w:hyperlink r:id="rId12" w:history="1">
        <w:r w:rsidRPr="003D69DF">
          <w:rPr>
            <w:rStyle w:val="Hyperlink"/>
            <w:rFonts w:asciiTheme="minorHAnsi" w:hAnsiTheme="minorHAnsi"/>
          </w:rPr>
          <w:t>application</w:t>
        </w:r>
      </w:hyperlink>
      <w:r w:rsidRPr="003D69DF">
        <w:rPr>
          <w:rFonts w:asciiTheme="minorHAnsi" w:hAnsiTheme="minorHAnsi"/>
        </w:rPr>
        <w:t xml:space="preserve"> to amend the current Poisons Standard with respect to </w:t>
      </w:r>
      <w:proofErr w:type="spellStart"/>
      <w:r w:rsidR="007F2123">
        <w:rPr>
          <w:rFonts w:asciiTheme="minorHAnsi" w:hAnsiTheme="minorHAnsi"/>
        </w:rPr>
        <w:t>isothiazolinones</w:t>
      </w:r>
      <w:proofErr w:type="spellEnd"/>
      <w:r w:rsidR="007F2123">
        <w:rPr>
          <w:rFonts w:asciiTheme="minorHAnsi" w:hAnsiTheme="minorHAnsi"/>
        </w:rPr>
        <w:t>, MI and MCI</w:t>
      </w:r>
      <w:r w:rsidR="0058315B">
        <w:rPr>
          <w:rFonts w:asciiTheme="minorHAnsi" w:hAnsiTheme="minorHAnsi"/>
        </w:rPr>
        <w:t xml:space="preserve"> (the </w:t>
      </w:r>
      <w:r w:rsidR="00FD1704">
        <w:rPr>
          <w:rFonts w:asciiTheme="minorHAnsi" w:hAnsiTheme="minorHAnsi"/>
          <w:b/>
          <w:bCs/>
        </w:rPr>
        <w:t>Application</w:t>
      </w:r>
      <w:r w:rsidR="0058315B">
        <w:rPr>
          <w:rFonts w:asciiTheme="minorHAnsi" w:hAnsiTheme="minorHAnsi"/>
        </w:rPr>
        <w:t>)</w:t>
      </w:r>
      <w:r w:rsidRPr="003D69DF">
        <w:rPr>
          <w:rFonts w:asciiTheme="minorHAnsi" w:hAnsiTheme="minorHAnsi"/>
        </w:rPr>
        <w:t>;</w:t>
      </w:r>
    </w:p>
    <w:p w14:paraId="5A1020AE" w14:textId="7CDE699F" w:rsidR="00D865C3" w:rsidRPr="003D69DF" w:rsidRDefault="00D865C3" w:rsidP="00D865C3">
      <w:pPr>
        <w:pStyle w:val="ListBullet"/>
        <w:rPr>
          <w:rFonts w:asciiTheme="minorHAnsi" w:hAnsiTheme="minorHAnsi"/>
        </w:rPr>
      </w:pPr>
      <w:r w:rsidRPr="003D69DF">
        <w:rPr>
          <w:rFonts w:asciiTheme="minorHAnsi" w:hAnsiTheme="minorHAnsi"/>
        </w:rPr>
        <w:t xml:space="preserve">The </w:t>
      </w:r>
      <w:r w:rsidR="00220D87">
        <w:rPr>
          <w:rFonts w:asciiTheme="minorHAnsi" w:hAnsiTheme="minorHAnsi"/>
        </w:rPr>
        <w:t>15</w:t>
      </w:r>
      <w:r w:rsidRPr="003D69DF">
        <w:rPr>
          <w:rFonts w:asciiTheme="minorHAnsi" w:hAnsiTheme="minorHAnsi"/>
        </w:rPr>
        <w:t xml:space="preserve"> </w:t>
      </w:r>
      <w:hyperlink r:id="rId13" w:history="1">
        <w:r w:rsidRPr="00220D87">
          <w:rPr>
            <w:rStyle w:val="Hyperlink"/>
            <w:rFonts w:asciiTheme="minorHAnsi" w:hAnsiTheme="minorHAnsi"/>
          </w:rPr>
          <w:t>public submissions</w:t>
        </w:r>
      </w:hyperlink>
      <w:r w:rsidRPr="003D69DF">
        <w:rPr>
          <w:rFonts w:asciiTheme="minorHAnsi" w:hAnsiTheme="minorHAnsi"/>
        </w:rPr>
        <w:t xml:space="preserve"> received in response to the </w:t>
      </w:r>
      <w:r w:rsidRPr="005400D4">
        <w:rPr>
          <w:rFonts w:asciiTheme="minorHAnsi" w:hAnsiTheme="minorHAnsi"/>
        </w:rPr>
        <w:t>pre-meeting consultation</w:t>
      </w:r>
      <w:r w:rsidRPr="003D69DF">
        <w:rPr>
          <w:rFonts w:asciiTheme="minorHAnsi" w:hAnsiTheme="minorHAnsi"/>
        </w:rPr>
        <w:t xml:space="preserve"> under regulation 42ZCZK of the Regulations. </w:t>
      </w:r>
    </w:p>
    <w:p w14:paraId="11BFC6FE" w14:textId="67BC5EB9" w:rsidR="00D865C3" w:rsidRPr="003D69DF" w:rsidRDefault="00D865C3" w:rsidP="00D865C3">
      <w:pPr>
        <w:pStyle w:val="ListBullet"/>
      </w:pPr>
      <w:r w:rsidRPr="003D69DF">
        <w:t xml:space="preserve">The advice received from the </w:t>
      </w:r>
      <w:r w:rsidR="005400D4">
        <w:t>25</w:t>
      </w:r>
      <w:r w:rsidRPr="003D69DF">
        <w:rPr>
          <w:vertAlign w:val="superscript"/>
        </w:rPr>
        <w:t>th</w:t>
      </w:r>
      <w:r w:rsidRPr="003D69DF">
        <w:t xml:space="preserve"> meeting of the Advisory Committee</w:t>
      </w:r>
      <w:r w:rsidR="005400D4">
        <w:t>s</w:t>
      </w:r>
      <w:r w:rsidRPr="003D69DF">
        <w:t xml:space="preserve"> on Medicines</w:t>
      </w:r>
      <w:r w:rsidR="005400D4">
        <w:t xml:space="preserve"> and Chemicals</w:t>
      </w:r>
      <w:r w:rsidRPr="003D69DF">
        <w:t xml:space="preserve"> Scheduling </w:t>
      </w:r>
      <w:r w:rsidR="005400D4">
        <w:t xml:space="preserve">in joint session </w:t>
      </w:r>
      <w:r w:rsidRPr="003D69DF">
        <w:t>(the</w:t>
      </w:r>
      <w:r w:rsidRPr="003D69DF">
        <w:rPr>
          <w:b/>
          <w:bCs/>
        </w:rPr>
        <w:t xml:space="preserve"> Committee</w:t>
      </w:r>
      <w:proofErr w:type="gramStart"/>
      <w:r w:rsidRPr="003D69DF">
        <w:t>);</w:t>
      </w:r>
      <w:proofErr w:type="gramEnd"/>
    </w:p>
    <w:p w14:paraId="0E48746C" w14:textId="4519B4BF" w:rsidR="006A64F4" w:rsidRDefault="006A64F4" w:rsidP="002C1418">
      <w:pPr>
        <w:pStyle w:val="ListBullet"/>
      </w:pPr>
      <w:r>
        <w:t>The</w:t>
      </w:r>
      <w:r w:rsidR="002C1418">
        <w:t xml:space="preserve"> </w:t>
      </w:r>
      <w:r w:rsidR="00835953">
        <w:t>t</w:t>
      </w:r>
      <w:r w:rsidR="005400D4">
        <w:t>hree</w:t>
      </w:r>
      <w:r>
        <w:t xml:space="preserve"> </w:t>
      </w:r>
      <w:hyperlink r:id="rId14" w:history="1">
        <w:r w:rsidRPr="005400D4">
          <w:rPr>
            <w:rStyle w:val="Hyperlink"/>
          </w:rPr>
          <w:t>public submissions</w:t>
        </w:r>
      </w:hyperlink>
      <w:r w:rsidR="00835953" w:rsidRPr="00835953">
        <w:t>,</w:t>
      </w:r>
      <w:r w:rsidR="00835953">
        <w:t xml:space="preserve"> including two written submissions,</w:t>
      </w:r>
      <w:r>
        <w:t xml:space="preserve"> received in response to the </w:t>
      </w:r>
      <w:hyperlink r:id="rId15" w:history="1">
        <w:r w:rsidR="008B7C43" w:rsidRPr="005400D4">
          <w:rPr>
            <w:rStyle w:val="Hyperlink"/>
          </w:rPr>
          <w:t>interim decision consultation</w:t>
        </w:r>
      </w:hyperlink>
      <w:r w:rsidR="008B7C43">
        <w:t xml:space="preserve"> </w:t>
      </w:r>
      <w:r w:rsidR="002C1418" w:rsidRPr="002C1418">
        <w:t>under regulation 42ZCZP of the Regulations</w:t>
      </w:r>
      <w:r>
        <w:t>;</w:t>
      </w:r>
    </w:p>
    <w:p w14:paraId="5138E7AC" w14:textId="48A5A8B6" w:rsidR="00D865C3" w:rsidRPr="003D69DF" w:rsidRDefault="00D865C3" w:rsidP="00D865C3">
      <w:pPr>
        <w:pStyle w:val="ListBullet"/>
      </w:pPr>
      <w:r w:rsidRPr="003D69DF">
        <w:t>Subsection 52</w:t>
      </w:r>
      <w:proofErr w:type="gramStart"/>
      <w:r w:rsidRPr="003D69DF">
        <w:t>E(</w:t>
      </w:r>
      <w:proofErr w:type="gramEnd"/>
      <w:r w:rsidRPr="003D69DF">
        <w:t xml:space="preserve">1) of </w:t>
      </w:r>
      <w:r w:rsidRPr="003D69DF">
        <w:rPr>
          <w:i/>
        </w:rPr>
        <w:t>the Therapeutic Goods Act 1989</w:t>
      </w:r>
      <w:r w:rsidRPr="003D69DF">
        <w:rPr>
          <w:iCs/>
        </w:rPr>
        <w:t xml:space="preserve"> (</w:t>
      </w:r>
      <w:proofErr w:type="spellStart"/>
      <w:r w:rsidRPr="003D69DF">
        <w:rPr>
          <w:iCs/>
        </w:rPr>
        <w:t>Cth</w:t>
      </w:r>
      <w:proofErr w:type="spellEnd"/>
      <w:r w:rsidRPr="003D69DF">
        <w:rPr>
          <w:iCs/>
        </w:rPr>
        <w:t xml:space="preserve">) (the </w:t>
      </w:r>
      <w:r w:rsidRPr="003D69DF">
        <w:rPr>
          <w:b/>
          <w:bCs/>
          <w:iCs/>
        </w:rPr>
        <w:t>Act</w:t>
      </w:r>
      <w:r w:rsidRPr="003D69DF">
        <w:rPr>
          <w:iCs/>
        </w:rPr>
        <w:t>)</w:t>
      </w:r>
      <w:r w:rsidRPr="003D69DF">
        <w:t xml:space="preserve">, in particular (a) the risks and benefits of the use of a substance; (b) the purposes for which a substance is to be used and the extent of use of a substance; (c) the toxicity of a substance; </w:t>
      </w:r>
      <w:r w:rsidR="005400D4">
        <w:t xml:space="preserve">and </w:t>
      </w:r>
      <w:r w:rsidRPr="003D69DF">
        <w:t>(d) the dosage;</w:t>
      </w:r>
    </w:p>
    <w:p w14:paraId="768EA662" w14:textId="77777777" w:rsidR="00D865C3" w:rsidRPr="003D69DF" w:rsidRDefault="00D865C3" w:rsidP="00D865C3">
      <w:pPr>
        <w:pStyle w:val="ListBullet"/>
        <w:rPr>
          <w:rFonts w:asciiTheme="minorHAnsi" w:hAnsiTheme="minorHAnsi"/>
        </w:rPr>
      </w:pPr>
      <w:r w:rsidRPr="003D69DF">
        <w:rPr>
          <w:rFonts w:asciiTheme="minorHAnsi" w:hAnsiTheme="minorHAnsi"/>
        </w:rPr>
        <w:t xml:space="preserve">The </w:t>
      </w:r>
      <w:hyperlink r:id="rId16" w:history="1">
        <w:r w:rsidRPr="003D69DF">
          <w:rPr>
            <w:rStyle w:val="Hyperlink"/>
            <w:rFonts w:asciiTheme="minorHAnsi" w:hAnsiTheme="minorHAnsi"/>
          </w:rPr>
          <w:t>Scheduling Policy Framework</w:t>
        </w:r>
      </w:hyperlink>
      <w:r w:rsidRPr="003D69DF">
        <w:rPr>
          <w:rFonts w:asciiTheme="minorHAnsi" w:hAnsiTheme="minorHAnsi"/>
        </w:rPr>
        <w:t xml:space="preserve"> 2018 (the </w:t>
      </w:r>
      <w:r w:rsidRPr="003D69DF">
        <w:rPr>
          <w:rFonts w:asciiTheme="minorHAnsi" w:hAnsiTheme="minorHAnsi"/>
          <w:b/>
          <w:bCs/>
        </w:rPr>
        <w:t>SPF</w:t>
      </w:r>
      <w:r w:rsidRPr="003D69DF">
        <w:rPr>
          <w:rFonts w:asciiTheme="minorHAnsi" w:hAnsiTheme="minorHAnsi"/>
        </w:rPr>
        <w:t>), pursuant to paragraph 52E(2)(a) of the Act; and</w:t>
      </w:r>
    </w:p>
    <w:p w14:paraId="59920392" w14:textId="77777777" w:rsidR="00D865C3" w:rsidRPr="003D69DF" w:rsidRDefault="00D865C3" w:rsidP="00D865C3">
      <w:pPr>
        <w:pStyle w:val="ListBullet"/>
        <w:rPr>
          <w:rFonts w:asciiTheme="minorHAnsi" w:hAnsiTheme="minorHAnsi"/>
        </w:rPr>
      </w:pPr>
      <w:r w:rsidRPr="003D69DF">
        <w:rPr>
          <w:rFonts w:asciiTheme="minorHAnsi" w:hAnsiTheme="minorHAnsi"/>
        </w:rPr>
        <w:t xml:space="preserve">The </w:t>
      </w:r>
      <w:hyperlink r:id="rId17" w:history="1">
        <w:r w:rsidRPr="003D69DF">
          <w:rPr>
            <w:rStyle w:val="Hyperlink"/>
            <w:rFonts w:asciiTheme="minorHAnsi" w:hAnsiTheme="minorHAnsi"/>
          </w:rPr>
          <w:t>Scheduling handbook: Guidance for amending the Poisons Standard</w:t>
        </w:r>
      </w:hyperlink>
      <w:r w:rsidRPr="003D69DF">
        <w:rPr>
          <w:rFonts w:asciiTheme="minorHAnsi" w:hAnsiTheme="minorHAnsi"/>
        </w:rPr>
        <w:t>.</w:t>
      </w:r>
    </w:p>
    <w:p w14:paraId="70E59020" w14:textId="6A773F7F" w:rsidR="00436C41" w:rsidRDefault="00436C41" w:rsidP="00F41DCE">
      <w:pPr>
        <w:pStyle w:val="Heading5"/>
      </w:pPr>
      <w:r w:rsidRPr="00436C41">
        <w:t>Reasons for the final decision (including findings on material questions of fact)</w:t>
      </w:r>
    </w:p>
    <w:p w14:paraId="29F50892" w14:textId="24B0C1D7" w:rsidR="00E06A1B" w:rsidRPr="00FC0A60" w:rsidRDefault="004B32D0" w:rsidP="00E06A1B">
      <w:r w:rsidRPr="00FD1704">
        <w:t xml:space="preserve">I have made a final decision to confirm my </w:t>
      </w:r>
      <w:hyperlink r:id="rId18" w:history="1">
        <w:r w:rsidRPr="00E83D3E">
          <w:rPr>
            <w:rStyle w:val="Hyperlink"/>
          </w:rPr>
          <w:t>interim decision</w:t>
        </w:r>
      </w:hyperlink>
      <w:r w:rsidRPr="00FD1704">
        <w:t xml:space="preserve"> </w:t>
      </w:r>
      <w:r w:rsidR="00E83D3E">
        <w:t xml:space="preserve">not </w:t>
      </w:r>
      <w:r w:rsidRPr="00FD1704">
        <w:t xml:space="preserve">to amend the current Poisons Standard with respect to </w:t>
      </w:r>
      <w:proofErr w:type="spellStart"/>
      <w:r w:rsidR="00E83D3E">
        <w:t>isothiazolinones</w:t>
      </w:r>
      <w:proofErr w:type="spellEnd"/>
      <w:r w:rsidR="00E83D3E">
        <w:t>, MI and MCI</w:t>
      </w:r>
      <w:r w:rsidRPr="00FD1704">
        <w:t xml:space="preserve">. My reasons for making the final decision are those set out in the interim decision. </w:t>
      </w:r>
      <w:r w:rsidRPr="005940B2">
        <w:t xml:space="preserve">In making my final decision, I have </w:t>
      </w:r>
      <w:proofErr w:type="gramStart"/>
      <w:r w:rsidRPr="005940B2">
        <w:t>taken into account</w:t>
      </w:r>
      <w:proofErr w:type="gramEnd"/>
      <w:r w:rsidRPr="005940B2">
        <w:t xml:space="preserve"> the material detailed in the interim </w:t>
      </w:r>
      <w:r w:rsidRPr="00835953">
        <w:t xml:space="preserve">decision and the </w:t>
      </w:r>
      <w:r w:rsidR="00835953" w:rsidRPr="00835953">
        <w:t>responses</w:t>
      </w:r>
      <w:r w:rsidRPr="00835953">
        <w:t xml:space="preserve"> </w:t>
      </w:r>
      <w:r w:rsidR="00835953">
        <w:t xml:space="preserve">after </w:t>
      </w:r>
      <w:r w:rsidRPr="005940B2">
        <w:t xml:space="preserve">the second </w:t>
      </w:r>
      <w:r w:rsidR="00835953">
        <w:t>call</w:t>
      </w:r>
      <w:r w:rsidRPr="005940B2">
        <w:t xml:space="preserve"> for </w:t>
      </w:r>
      <w:r w:rsidR="00835953">
        <w:t xml:space="preserve">public </w:t>
      </w:r>
      <w:r w:rsidRPr="005940B2">
        <w:t>submissions</w:t>
      </w:r>
      <w:r w:rsidR="00835953">
        <w:t>,</w:t>
      </w:r>
      <w:r w:rsidRPr="005940B2">
        <w:t xml:space="preserve"> published on </w:t>
      </w:r>
      <w:r w:rsidR="005E319B" w:rsidRPr="005940B2">
        <w:t>11</w:t>
      </w:r>
      <w:r w:rsidRPr="005940B2">
        <w:t xml:space="preserve"> </w:t>
      </w:r>
      <w:r w:rsidR="005E319B" w:rsidRPr="005940B2">
        <w:t>March</w:t>
      </w:r>
      <w:r w:rsidRPr="005940B2">
        <w:t xml:space="preserve"> </w:t>
      </w:r>
      <w:r w:rsidR="005E319B" w:rsidRPr="005940B2">
        <w:t>2022</w:t>
      </w:r>
      <w:r w:rsidRPr="005940B2">
        <w:t xml:space="preserve"> under regulation 42ZCZP of the Regulations.</w:t>
      </w:r>
      <w:r w:rsidR="00835953">
        <w:t xml:space="preserve"> I note that two written submissions were received, </w:t>
      </w:r>
      <w:r w:rsidR="00E83D3E">
        <w:t>both</w:t>
      </w:r>
      <w:r w:rsidR="00835953">
        <w:t xml:space="preserve"> supportive of the interim decision.</w:t>
      </w:r>
    </w:p>
    <w:sectPr w:rsidR="00E06A1B" w:rsidRPr="00FC0A60" w:rsidSect="003A48A2">
      <w:headerReference w:type="default" r:id="rId19"/>
      <w:footerReference w:type="default" r:id="rId20"/>
      <w:headerReference w:type="first" r:id="rId21"/>
      <w:footerReference w:type="first" r:id="rId22"/>
      <w:type w:val="continuous"/>
      <w:pgSz w:w="11906" w:h="16838" w:code="9"/>
      <w:pgMar w:top="1134" w:right="1418" w:bottom="1361" w:left="1418"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0B65E" w14:textId="77777777" w:rsidR="00202198" w:rsidRDefault="00202198" w:rsidP="00C40A36">
      <w:pPr>
        <w:spacing w:after="0"/>
      </w:pPr>
      <w:r>
        <w:separator/>
      </w:r>
    </w:p>
  </w:endnote>
  <w:endnote w:type="continuationSeparator" w:id="0">
    <w:p w14:paraId="5E0F4E3E" w14:textId="77777777" w:rsidR="00202198" w:rsidRDefault="00202198"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382"/>
    </w:tblGrid>
    <w:tr w:rsidR="00E61311" w:rsidRPr="00257138" w14:paraId="14B40608" w14:textId="77777777" w:rsidTr="009B00CC">
      <w:trPr>
        <w:trHeight w:val="423"/>
      </w:trPr>
      <w:tc>
        <w:tcPr>
          <w:tcW w:w="7338" w:type="dxa"/>
          <w:tcBorders>
            <w:top w:val="single" w:sz="4" w:space="0" w:color="auto"/>
          </w:tcBorders>
        </w:tcPr>
        <w:p w14:paraId="01C0B506" w14:textId="77777777" w:rsidR="00E61311" w:rsidRDefault="00E61311" w:rsidP="003F3095">
          <w:pPr>
            <w:pStyle w:val="Footer"/>
          </w:pPr>
          <w:r>
            <w:t>Record of the 29th meeting of the Advisory Committee on Medicines Scheduling</w:t>
          </w:r>
        </w:p>
        <w:p w14:paraId="5C7A2176" w14:textId="13ECDCE6" w:rsidR="00E61311" w:rsidRPr="00257138" w:rsidRDefault="00E61311" w:rsidP="003F3095">
          <w:pPr>
            <w:pStyle w:val="Footer"/>
          </w:pPr>
          <w:r>
            <w:t>12 March 2020</w:t>
          </w:r>
          <w:r>
            <w:br/>
          </w:r>
        </w:p>
      </w:tc>
      <w:tc>
        <w:tcPr>
          <w:tcW w:w="1382" w:type="dxa"/>
          <w:tcBorders>
            <w:top w:val="single" w:sz="4" w:space="0" w:color="auto"/>
          </w:tcBorders>
        </w:tcPr>
        <w:sdt>
          <w:sdtPr>
            <w:id w:val="21514580"/>
            <w:docPartObj>
              <w:docPartGallery w:val="Page Numbers (Top of Page)"/>
              <w:docPartUnique/>
            </w:docPartObj>
          </w:sdtPr>
          <w:sdtEndPr/>
          <w:sdtContent>
            <w:p w14:paraId="54629571" w14:textId="77777777" w:rsidR="00E61311" w:rsidRDefault="00E61311" w:rsidP="00782870">
              <w:pPr>
                <w:pStyle w:val="Footer"/>
                <w:jc w:val="right"/>
              </w:pPr>
            </w:p>
            <w:p w14:paraId="650BE744" w14:textId="16F39822" w:rsidR="00E61311" w:rsidRPr="00257138" w:rsidRDefault="00E61311" w:rsidP="0078287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6</w:t>
                </w:r>
              </w:fldSimple>
            </w:p>
          </w:sdtContent>
        </w:sdt>
      </w:tc>
    </w:tr>
    <w:tr w:rsidR="00E61311" w:rsidRPr="00257138" w14:paraId="10AB8BED" w14:textId="77777777" w:rsidTr="009B00CC">
      <w:trPr>
        <w:trHeight w:val="263"/>
      </w:trPr>
      <w:tc>
        <w:tcPr>
          <w:tcW w:w="7338" w:type="dxa"/>
        </w:tcPr>
        <w:p w14:paraId="59580AB7" w14:textId="19B73688" w:rsidR="00E61311" w:rsidRPr="00257138" w:rsidRDefault="00E61311" w:rsidP="00782870">
          <w:pPr>
            <w:pStyle w:val="Footer"/>
          </w:pPr>
        </w:p>
      </w:tc>
      <w:tc>
        <w:tcPr>
          <w:tcW w:w="1382" w:type="dxa"/>
        </w:tcPr>
        <w:p w14:paraId="219FF5F5" w14:textId="77777777" w:rsidR="00E61311" w:rsidRPr="00257138" w:rsidRDefault="00E61311" w:rsidP="00782870">
          <w:pPr>
            <w:pStyle w:val="Footer"/>
            <w:jc w:val="right"/>
          </w:pPr>
        </w:p>
      </w:tc>
    </w:tr>
  </w:tbl>
  <w:p w14:paraId="2023C75C" w14:textId="77777777" w:rsidR="00E61311" w:rsidRPr="00826007" w:rsidRDefault="00E61311" w:rsidP="002001F1">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E61311" w:rsidRPr="00257138" w14:paraId="11075AFF" w14:textId="77777777" w:rsidTr="009468C6">
      <w:trPr>
        <w:trHeight w:val="423"/>
      </w:trPr>
      <w:tc>
        <w:tcPr>
          <w:tcW w:w="7338" w:type="dxa"/>
        </w:tcPr>
        <w:p w14:paraId="61B06247" w14:textId="71067197" w:rsidR="00E61311" w:rsidRDefault="00E61311" w:rsidP="00516E40">
          <w:pPr>
            <w:pStyle w:val="Footer"/>
          </w:pPr>
          <w:r>
            <w:t>Delegate’s final decisions and reasons for decisions (Joint ACMS-ACCS #</w:t>
          </w:r>
          <w:r w:rsidR="0029524D">
            <w:t>25</w:t>
          </w:r>
          <w:r>
            <w:t xml:space="preserve">, </w:t>
          </w:r>
          <w:r w:rsidR="0029524D">
            <w:t>June 2020</w:t>
          </w:r>
        </w:p>
        <w:p w14:paraId="13E7B9DF" w14:textId="7DC98F18" w:rsidR="00E61311" w:rsidRPr="00257138" w:rsidRDefault="00E61311">
          <w:pPr>
            <w:pStyle w:val="Footer"/>
          </w:pPr>
          <w:r>
            <w:t xml:space="preserve"> </w:t>
          </w:r>
          <w:r>
            <w:br/>
          </w:r>
        </w:p>
      </w:tc>
      <w:tc>
        <w:tcPr>
          <w:tcW w:w="1382" w:type="dxa"/>
        </w:tcPr>
        <w:sdt>
          <w:sdtPr>
            <w:id w:val="6788836"/>
            <w:docPartObj>
              <w:docPartGallery w:val="Page Numbers (Top of Page)"/>
              <w:docPartUnique/>
            </w:docPartObj>
          </w:sdtPr>
          <w:sdtEndPr/>
          <w:sdtContent>
            <w:p w14:paraId="3BD26206" w14:textId="7BDCABDC" w:rsidR="00E61311" w:rsidRPr="00257138" w:rsidRDefault="00E61311" w:rsidP="009468C6">
              <w:pPr>
                <w:pStyle w:val="Footer"/>
                <w:jc w:val="right"/>
              </w:pPr>
              <w:r w:rsidRPr="00257138">
                <w:t xml:space="preserve">Page </w:t>
              </w:r>
              <w:r>
                <w:fldChar w:fldCharType="begin"/>
              </w:r>
              <w:r>
                <w:instrText xml:space="preserve"> PAGE </w:instrText>
              </w:r>
              <w:r>
                <w:fldChar w:fldCharType="separate"/>
              </w:r>
              <w:r>
                <w:rPr>
                  <w:noProof/>
                </w:rPr>
                <w:t>14</w:t>
              </w:r>
              <w:r>
                <w:fldChar w:fldCharType="end"/>
              </w:r>
              <w:r w:rsidRPr="00257138">
                <w:t xml:space="preserve"> of </w:t>
              </w:r>
              <w:fldSimple w:instr=" NUMPAGES  ">
                <w:r>
                  <w:rPr>
                    <w:noProof/>
                  </w:rPr>
                  <w:t>14</w:t>
                </w:r>
              </w:fldSimple>
            </w:p>
          </w:sdtContent>
        </w:sdt>
      </w:tc>
    </w:tr>
  </w:tbl>
  <w:p w14:paraId="623AA1CE" w14:textId="77777777" w:rsidR="00E61311" w:rsidRPr="00826007" w:rsidRDefault="00E61311" w:rsidP="002001F1">
    <w:pPr>
      <w:pStyle w:val="Footer"/>
      <w:tabs>
        <w:tab w:val="left" w:pos="7620"/>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E61311" w:rsidRPr="00257138" w14:paraId="76052F65" w14:textId="77777777" w:rsidTr="003A48A2">
      <w:trPr>
        <w:trHeight w:val="423"/>
      </w:trPr>
      <w:tc>
        <w:tcPr>
          <w:tcW w:w="7338" w:type="dxa"/>
        </w:tcPr>
        <w:p w14:paraId="6A331473" w14:textId="7979AEC0" w:rsidR="00E61311" w:rsidRPr="00257138" w:rsidRDefault="00E61311">
          <w:pPr>
            <w:pStyle w:val="Footer"/>
          </w:pPr>
          <w:r>
            <w:t xml:space="preserve">Delegate’s final decisions and reasons for decisions (Joint ACMS-ACCS </w:t>
          </w:r>
          <w:r w:rsidR="0029524D">
            <w:t>#</w:t>
          </w:r>
          <w:r w:rsidR="003029A7">
            <w:t>25</w:t>
          </w:r>
          <w:r>
            <w:t xml:space="preserve">, </w:t>
          </w:r>
          <w:r w:rsidR="003029A7">
            <w:t>June</w:t>
          </w:r>
          <w:r>
            <w:t xml:space="preserve"> 2020)</w:t>
          </w:r>
          <w:r>
            <w:br/>
          </w:r>
        </w:p>
      </w:tc>
      <w:tc>
        <w:tcPr>
          <w:tcW w:w="1382" w:type="dxa"/>
        </w:tcPr>
        <w:sdt>
          <w:sdtPr>
            <w:id w:val="5342774"/>
            <w:docPartObj>
              <w:docPartGallery w:val="Page Numbers (Top of Page)"/>
              <w:docPartUnique/>
            </w:docPartObj>
          </w:sdtPr>
          <w:sdtEndPr/>
          <w:sdtContent>
            <w:p w14:paraId="44A48167" w14:textId="6E064382" w:rsidR="00E61311" w:rsidRPr="00257138" w:rsidRDefault="00E61311" w:rsidP="003A48A2">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14</w:t>
                </w:r>
              </w:fldSimple>
            </w:p>
          </w:sdtContent>
        </w:sdt>
      </w:tc>
    </w:tr>
  </w:tbl>
  <w:p w14:paraId="3FF833DF" w14:textId="77777777" w:rsidR="00E61311" w:rsidRDefault="00E61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476D5" w14:textId="77777777" w:rsidR="00202198" w:rsidRDefault="00202198" w:rsidP="00C40A36">
      <w:pPr>
        <w:spacing w:after="0"/>
      </w:pPr>
      <w:r>
        <w:separator/>
      </w:r>
    </w:p>
  </w:footnote>
  <w:footnote w:type="continuationSeparator" w:id="0">
    <w:p w14:paraId="2C607EC6" w14:textId="77777777" w:rsidR="00202198" w:rsidRDefault="00202198" w:rsidP="00C40A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035"/>
      <w:gridCol w:w="4685"/>
    </w:tblGrid>
    <w:tr w:rsidR="00E61311" w:rsidRPr="00DA24C7" w14:paraId="081A8C01" w14:textId="77777777" w:rsidTr="00F923D6">
      <w:trPr>
        <w:trHeight w:val="709"/>
      </w:trPr>
      <w:tc>
        <w:tcPr>
          <w:tcW w:w="4035" w:type="dxa"/>
        </w:tcPr>
        <w:p w14:paraId="32A34B13" w14:textId="77777777" w:rsidR="00E61311" w:rsidRPr="00DA24C7" w:rsidRDefault="00E61311" w:rsidP="00DA24C7">
          <w:pPr>
            <w:rPr>
              <w:rStyle w:val="HeaderChar"/>
              <w:sz w:val="32"/>
            </w:rPr>
          </w:pPr>
          <w:r w:rsidRPr="00DA24C7">
            <w:rPr>
              <w:rStyle w:val="HeaderChar"/>
              <w:sz w:val="32"/>
            </w:rPr>
            <w:t>INTERNAL USE ONLY</w:t>
          </w:r>
        </w:p>
      </w:tc>
      <w:tc>
        <w:tcPr>
          <w:tcW w:w="4685" w:type="dxa"/>
          <w:tcBorders>
            <w:bottom w:val="single" w:sz="4" w:space="0" w:color="auto"/>
          </w:tcBorders>
          <w:vAlign w:val="bottom"/>
        </w:tcPr>
        <w:p w14:paraId="3D83E5FA" w14:textId="77777777" w:rsidR="00E61311" w:rsidRPr="000F5176" w:rsidRDefault="00E61311" w:rsidP="000F5176">
          <w:pPr>
            <w:pStyle w:val="HeaderNoLine"/>
            <w:rPr>
              <w:rStyle w:val="HeaderChar"/>
            </w:rPr>
          </w:pPr>
          <w:r w:rsidRPr="000F5176">
            <w:t>Therapeutic Goods Administration</w:t>
          </w:r>
        </w:p>
      </w:tc>
    </w:tr>
  </w:tbl>
  <w:p w14:paraId="7D79B037" w14:textId="77777777" w:rsidR="00E61311" w:rsidRDefault="00E61311" w:rsidP="00F923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314CE" w14:textId="28BF94E3" w:rsidR="00E61311" w:rsidRDefault="00E61311" w:rsidP="006E08B3">
    <w:pPr>
      <w:rPr>
        <w:noProof/>
      </w:rPr>
    </w:pPr>
    <w:r w:rsidRPr="00E57B71">
      <w:rPr>
        <w:noProof/>
        <w:lang w:eastAsia="en-AU"/>
      </w:rPr>
      <w:drawing>
        <wp:anchor distT="0" distB="0" distL="114300" distR="114300" simplePos="0" relativeHeight="251660288" behindDoc="0" locked="0" layoutInCell="1" allowOverlap="1" wp14:anchorId="4ED3BB99" wp14:editId="491EAEE4">
          <wp:simplePos x="0" y="0"/>
          <wp:positionH relativeFrom="column">
            <wp:posOffset>-195580</wp:posOffset>
          </wp:positionH>
          <wp:positionV relativeFrom="paragraph">
            <wp:posOffset>-58420</wp:posOffset>
          </wp:positionV>
          <wp:extent cx="3524250" cy="1209675"/>
          <wp:effectExtent l="19050" t="0" r="0" b="0"/>
          <wp:wrapTopAndBottom/>
          <wp:docPr id="25" name="Picture 25"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E61311" w:rsidRPr="00DE02AE" w14:paraId="6C8DF45D" w14:textId="77777777" w:rsidTr="00782870">
      <w:trPr>
        <w:trHeight w:hRule="exact" w:val="8845"/>
      </w:trPr>
      <w:tc>
        <w:tcPr>
          <w:tcW w:w="11964" w:type="dxa"/>
        </w:tcPr>
        <w:p w14:paraId="1F71D1E5" w14:textId="491F8166" w:rsidR="00E61311" w:rsidRPr="00DE02AE" w:rsidRDefault="00E61311" w:rsidP="00782870">
          <w:pPr>
            <w:pStyle w:val="Date"/>
            <w:ind w:left="-28"/>
          </w:pPr>
          <w:r w:rsidRPr="002B29B2">
            <w:rPr>
              <w:noProof/>
              <w:lang w:eastAsia="en-AU"/>
            </w:rPr>
            <w:drawing>
              <wp:anchor distT="0" distB="0" distL="114300" distR="114300" simplePos="0" relativeHeight="251662336" behindDoc="0" locked="0" layoutInCell="0" allowOverlap="1" wp14:anchorId="61F4C4D4" wp14:editId="1206443C">
                <wp:simplePos x="0" y="0"/>
                <wp:positionH relativeFrom="page">
                  <wp:posOffset>-22437</wp:posOffset>
                </wp:positionH>
                <wp:positionV relativeFrom="page">
                  <wp:posOffset>-16087</wp:posOffset>
                </wp:positionV>
                <wp:extent cx="7581900" cy="2447925"/>
                <wp:effectExtent l="19050" t="0" r="0" b="0"/>
                <wp:wrapNone/>
                <wp:docPr id="28" name="Picture 2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2" cstate="print"/>
                        <a:srcRect/>
                        <a:stretch>
                          <a:fillRect/>
                        </a:stretch>
                      </pic:blipFill>
                      <pic:spPr bwMode="auto">
                        <a:xfrm>
                          <a:off x="0" y="0"/>
                          <a:ext cx="7581900" cy="2447925"/>
                        </a:xfrm>
                        <a:prstGeom prst="rect">
                          <a:avLst/>
                        </a:prstGeom>
                        <a:noFill/>
                        <a:ln w="9525">
                          <a:noFill/>
                          <a:miter lim="800000"/>
                          <a:headEnd/>
                          <a:tailEnd/>
                        </a:ln>
                      </pic:spPr>
                    </pic:pic>
                  </a:graphicData>
                </a:graphic>
              </wp:anchor>
            </w:drawing>
          </w:r>
        </w:p>
      </w:tc>
    </w:tr>
  </w:tbl>
  <w:p w14:paraId="1CE47A24" w14:textId="6D657221" w:rsidR="00E61311" w:rsidRDefault="00E61311" w:rsidP="006D03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035"/>
      <w:gridCol w:w="4685"/>
    </w:tblGrid>
    <w:tr w:rsidR="00E61311" w:rsidRPr="00DA24C7" w14:paraId="7C724D59" w14:textId="77777777" w:rsidTr="00C6376F">
      <w:trPr>
        <w:trHeight w:val="558"/>
      </w:trPr>
      <w:tc>
        <w:tcPr>
          <w:tcW w:w="4035" w:type="dxa"/>
          <w:vAlign w:val="center"/>
        </w:tcPr>
        <w:p w14:paraId="047292FC" w14:textId="62B95FE3" w:rsidR="00E61311" w:rsidRPr="00EB74A7" w:rsidRDefault="00E61311" w:rsidP="00C6376F">
          <w:pPr>
            <w:rPr>
              <w:rStyle w:val="HeaderChar"/>
              <w:rFonts w:ascii="Arial" w:hAnsi="Arial" w:cs="Arial"/>
              <w:b/>
              <w:sz w:val="28"/>
              <w:szCs w:val="28"/>
            </w:rPr>
          </w:pPr>
        </w:p>
      </w:tc>
      <w:tc>
        <w:tcPr>
          <w:tcW w:w="4685" w:type="dxa"/>
          <w:vAlign w:val="center"/>
        </w:tcPr>
        <w:p w14:paraId="3A7D855E" w14:textId="77777777" w:rsidR="00E61311" w:rsidRPr="000F5176" w:rsidRDefault="00E61311" w:rsidP="00C6376F">
          <w:pPr>
            <w:pStyle w:val="HeaderNoLine"/>
            <w:rPr>
              <w:rStyle w:val="HeaderChar"/>
            </w:rPr>
          </w:pPr>
          <w:r w:rsidRPr="000F5176">
            <w:t>Therapeutic Goods Administration</w:t>
          </w:r>
        </w:p>
      </w:tc>
    </w:tr>
  </w:tbl>
  <w:p w14:paraId="480E463E" w14:textId="77777777" w:rsidR="00E61311" w:rsidRDefault="00E61311" w:rsidP="001017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035"/>
      <w:gridCol w:w="4685"/>
    </w:tblGrid>
    <w:tr w:rsidR="00E61311" w:rsidRPr="00DA24C7" w14:paraId="28E03D4B" w14:textId="77777777" w:rsidTr="00C6376F">
      <w:trPr>
        <w:trHeight w:val="558"/>
      </w:trPr>
      <w:tc>
        <w:tcPr>
          <w:tcW w:w="4035" w:type="dxa"/>
        </w:tcPr>
        <w:p w14:paraId="02A4F856" w14:textId="69123A4C" w:rsidR="00E61311" w:rsidRPr="00EB74A7" w:rsidRDefault="00E61311" w:rsidP="00C6376F">
          <w:pPr>
            <w:pStyle w:val="HeaderNoLine"/>
            <w:jc w:val="left"/>
            <w:rPr>
              <w:rStyle w:val="HeaderChar"/>
              <w:rFonts w:ascii="Arial" w:hAnsi="Arial" w:cs="Arial"/>
              <w:b/>
              <w:sz w:val="28"/>
              <w:szCs w:val="28"/>
            </w:rPr>
          </w:pPr>
        </w:p>
      </w:tc>
      <w:tc>
        <w:tcPr>
          <w:tcW w:w="4685" w:type="dxa"/>
          <w:vAlign w:val="center"/>
        </w:tcPr>
        <w:p w14:paraId="0DD7BFA8" w14:textId="77777777" w:rsidR="00E61311" w:rsidRPr="000F5176" w:rsidRDefault="00E61311" w:rsidP="00C6376F">
          <w:pPr>
            <w:pStyle w:val="HeaderNoLine"/>
            <w:rPr>
              <w:rStyle w:val="HeaderChar"/>
            </w:rPr>
          </w:pPr>
          <w:r w:rsidRPr="000F5176">
            <w:t>Therapeutic Goods Administration</w:t>
          </w:r>
        </w:p>
      </w:tc>
    </w:tr>
  </w:tbl>
  <w:p w14:paraId="3D9C25A3" w14:textId="77777777" w:rsidR="00E61311" w:rsidRDefault="00E61311" w:rsidP="008D7B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57877E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E7AC1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92F58"/>
    <w:multiLevelType w:val="hybridMultilevel"/>
    <w:tmpl w:val="231C4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4F666D4"/>
    <w:multiLevelType w:val="hybridMultilevel"/>
    <w:tmpl w:val="5F34CF6C"/>
    <w:lvl w:ilvl="0" w:tplc="068EF09E">
      <w:start w:val="1"/>
      <w:numFmt w:val="lowerRoman"/>
      <w:lvlText w:val="%1)"/>
      <w:lvlJc w:val="left"/>
      <w:pPr>
        <w:ind w:left="1440" w:hanging="360"/>
      </w:pPr>
      <w:rPr>
        <w:rFonts w:hint="default"/>
        <w:color w:val="FF000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6DF3123"/>
    <w:multiLevelType w:val="hybridMultilevel"/>
    <w:tmpl w:val="50F2B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BD74D0"/>
    <w:multiLevelType w:val="hybridMultilevel"/>
    <w:tmpl w:val="64BE2784"/>
    <w:lvl w:ilvl="0" w:tplc="4BD20BAA">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CEF3ACD"/>
    <w:multiLevelType w:val="multilevel"/>
    <w:tmpl w:val="0748BD50"/>
    <w:lvl w:ilvl="0">
      <w:start w:val="1"/>
      <w:numFmt w:val="decimal"/>
      <w:pStyle w:val="Heading2"/>
      <w:lvlText w:val="%1"/>
      <w:lvlJc w:val="left"/>
      <w:pPr>
        <w:ind w:left="432" w:hanging="432"/>
      </w:pPr>
    </w:lvl>
    <w:lvl w:ilvl="1">
      <w:start w:val="1"/>
      <w:numFmt w:val="decimal"/>
      <w:pStyle w:val="Heading3"/>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0034681"/>
    <w:multiLevelType w:val="hybridMultilevel"/>
    <w:tmpl w:val="FB3E1B4C"/>
    <w:lvl w:ilvl="0" w:tplc="985EB8BC">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217E0FF4"/>
    <w:multiLevelType w:val="multilevel"/>
    <w:tmpl w:val="1E4A7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C07C2A"/>
    <w:multiLevelType w:val="hybridMultilevel"/>
    <w:tmpl w:val="562E9400"/>
    <w:lvl w:ilvl="0" w:tplc="47D87E42">
      <w:start w:val="4"/>
      <w:numFmt w:val="lowerLetter"/>
      <w:lvlText w:val="%1)"/>
      <w:lvlJc w:val="left"/>
      <w:pPr>
        <w:ind w:left="108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15:restartNumberingAfterBreak="0">
    <w:nsid w:val="2DA42FC5"/>
    <w:multiLevelType w:val="hybridMultilevel"/>
    <w:tmpl w:val="98D249B2"/>
    <w:lvl w:ilvl="0" w:tplc="985EB8B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924211"/>
    <w:multiLevelType w:val="hybridMultilevel"/>
    <w:tmpl w:val="34C493BE"/>
    <w:lvl w:ilvl="0" w:tplc="5E685644">
      <w:start w:val="1"/>
      <w:numFmt w:val="lowerLetter"/>
      <w:pStyle w:val="ListBulleta"/>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30486946"/>
    <w:multiLevelType w:val="hybridMultilevel"/>
    <w:tmpl w:val="9AAAEAD0"/>
    <w:lvl w:ilvl="0" w:tplc="DE4EF6A8">
      <w:start w:val="1"/>
      <w:numFmt w:val="lowerLetter"/>
      <w:lvlText w:val="%1)"/>
      <w:lvlJc w:val="left"/>
      <w:pPr>
        <w:ind w:left="720" w:hanging="360"/>
      </w:pPr>
      <w:rPr>
        <w:rFonts w:hint="default"/>
        <w:color w:val="00B05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625B97"/>
    <w:multiLevelType w:val="hybridMultilevel"/>
    <w:tmpl w:val="17E8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D004C"/>
    <w:multiLevelType w:val="hybridMultilevel"/>
    <w:tmpl w:val="FD86B702"/>
    <w:lvl w:ilvl="0" w:tplc="985EB8B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93860DD"/>
    <w:multiLevelType w:val="hybridMultilevel"/>
    <w:tmpl w:val="65DE5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A31774"/>
    <w:multiLevelType w:val="multilevel"/>
    <w:tmpl w:val="CD8A9CA6"/>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color w:val="auto"/>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9" w15:restartNumberingAfterBreak="0">
    <w:nsid w:val="3EE35A0F"/>
    <w:multiLevelType w:val="hybridMultilevel"/>
    <w:tmpl w:val="72C42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177943"/>
    <w:multiLevelType w:val="hybridMultilevel"/>
    <w:tmpl w:val="B6CE8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1041C1"/>
    <w:multiLevelType w:val="hybridMultilevel"/>
    <w:tmpl w:val="7A14CE1A"/>
    <w:lvl w:ilvl="0" w:tplc="84D0B40A">
      <w:numFmt w:val="bullet"/>
      <w:lvlText w:val="•"/>
      <w:lvlJc w:val="left"/>
      <w:pPr>
        <w:ind w:left="1080" w:hanging="720"/>
      </w:pPr>
      <w:rPr>
        <w:rFonts w:ascii="Cambria" w:eastAsia="Times New Roman" w:hAnsi="Cambria"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262ADC"/>
    <w:multiLevelType w:val="hybridMultilevel"/>
    <w:tmpl w:val="C4AED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0C32A8"/>
    <w:multiLevelType w:val="hybridMultilevel"/>
    <w:tmpl w:val="38627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6E6499"/>
    <w:multiLevelType w:val="hybridMultilevel"/>
    <w:tmpl w:val="7400BC82"/>
    <w:lvl w:ilvl="0" w:tplc="1F849200">
      <w:start w:val="1"/>
      <w:numFmt w:val="lowerLetter"/>
      <w:pStyle w:val="Numberbullet2a"/>
      <w:lvlText w:val="%1)"/>
      <w:lvlJc w:val="left"/>
      <w:pPr>
        <w:ind w:left="1800" w:hanging="360"/>
      </w:pPr>
      <w:rPr>
        <w:rFonts w:hint="default"/>
        <w:color w:val="auto"/>
        <w:u w:color="FF0000"/>
      </w:rPr>
    </w:lvl>
    <w:lvl w:ilvl="1" w:tplc="0C090019">
      <w:start w:val="1"/>
      <w:numFmt w:val="lowerLetter"/>
      <w:lvlText w:val="%2."/>
      <w:lvlJc w:val="left"/>
      <w:pPr>
        <w:ind w:left="3306" w:hanging="360"/>
      </w:pPr>
    </w:lvl>
    <w:lvl w:ilvl="2" w:tplc="0C09001B" w:tentative="1">
      <w:start w:val="1"/>
      <w:numFmt w:val="lowerRoman"/>
      <w:lvlText w:val="%3."/>
      <w:lvlJc w:val="right"/>
      <w:pPr>
        <w:ind w:left="4026" w:hanging="180"/>
      </w:pPr>
    </w:lvl>
    <w:lvl w:ilvl="3" w:tplc="0C09000F" w:tentative="1">
      <w:start w:val="1"/>
      <w:numFmt w:val="decimal"/>
      <w:lvlText w:val="%4."/>
      <w:lvlJc w:val="left"/>
      <w:pPr>
        <w:ind w:left="4746" w:hanging="360"/>
      </w:pPr>
    </w:lvl>
    <w:lvl w:ilvl="4" w:tplc="0C090019" w:tentative="1">
      <w:start w:val="1"/>
      <w:numFmt w:val="lowerLetter"/>
      <w:lvlText w:val="%5."/>
      <w:lvlJc w:val="left"/>
      <w:pPr>
        <w:ind w:left="5466" w:hanging="360"/>
      </w:pPr>
    </w:lvl>
    <w:lvl w:ilvl="5" w:tplc="0C09001B" w:tentative="1">
      <w:start w:val="1"/>
      <w:numFmt w:val="lowerRoman"/>
      <w:lvlText w:val="%6."/>
      <w:lvlJc w:val="right"/>
      <w:pPr>
        <w:ind w:left="6186" w:hanging="180"/>
      </w:pPr>
    </w:lvl>
    <w:lvl w:ilvl="6" w:tplc="0C09000F" w:tentative="1">
      <w:start w:val="1"/>
      <w:numFmt w:val="decimal"/>
      <w:lvlText w:val="%7."/>
      <w:lvlJc w:val="left"/>
      <w:pPr>
        <w:ind w:left="6906" w:hanging="360"/>
      </w:pPr>
    </w:lvl>
    <w:lvl w:ilvl="7" w:tplc="0C090019" w:tentative="1">
      <w:start w:val="1"/>
      <w:numFmt w:val="lowerLetter"/>
      <w:lvlText w:val="%8."/>
      <w:lvlJc w:val="left"/>
      <w:pPr>
        <w:ind w:left="7626" w:hanging="360"/>
      </w:pPr>
    </w:lvl>
    <w:lvl w:ilvl="8" w:tplc="0C09001B" w:tentative="1">
      <w:start w:val="1"/>
      <w:numFmt w:val="lowerRoman"/>
      <w:lvlText w:val="%9."/>
      <w:lvlJc w:val="right"/>
      <w:pPr>
        <w:ind w:left="8346" w:hanging="180"/>
      </w:pPr>
    </w:lvl>
  </w:abstractNum>
  <w:abstractNum w:abstractNumId="25" w15:restartNumberingAfterBreak="0">
    <w:nsid w:val="4C7556A0"/>
    <w:multiLevelType w:val="hybridMultilevel"/>
    <w:tmpl w:val="08388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58193B"/>
    <w:multiLevelType w:val="hybridMultilevel"/>
    <w:tmpl w:val="5CE08CFE"/>
    <w:lvl w:ilvl="0" w:tplc="76948FAC">
      <w:start w:val="1"/>
      <w:numFmt w:val="lowerLetter"/>
      <w:lvlText w:val="%1)"/>
      <w:lvlJc w:val="left"/>
      <w:pPr>
        <w:ind w:left="720" w:hanging="360"/>
      </w:pPr>
      <w:rPr>
        <w:rFonts w:ascii="Cambria" w:eastAsia="Cambria" w:hAnsi="Cambria" w:cs="Times New Roman"/>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E90EF7"/>
    <w:multiLevelType w:val="hybridMultilevel"/>
    <w:tmpl w:val="BBD4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2936B5"/>
    <w:multiLevelType w:val="hybridMultilevel"/>
    <w:tmpl w:val="F9D290B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568F7B6F"/>
    <w:multiLevelType w:val="hybridMultilevel"/>
    <w:tmpl w:val="A516C19E"/>
    <w:lvl w:ilvl="0" w:tplc="722A0E08">
      <w:start w:val="1"/>
      <w:numFmt w:val="lowerRoman"/>
      <w:lvlText w:val="%1)"/>
      <w:lvlJc w:val="left"/>
      <w:pPr>
        <w:ind w:left="1800" w:hanging="360"/>
      </w:pPr>
      <w:rPr>
        <w:rFonts w:hint="default"/>
        <w:b w:val="0"/>
        <w:color w:val="FF000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5B0463CA"/>
    <w:multiLevelType w:val="hybridMultilevel"/>
    <w:tmpl w:val="04B04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DF54C1F"/>
    <w:multiLevelType w:val="hybridMultilevel"/>
    <w:tmpl w:val="1728C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3566ED"/>
    <w:multiLevelType w:val="hybridMultilevel"/>
    <w:tmpl w:val="BA46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CF4CEE"/>
    <w:multiLevelType w:val="hybridMultilevel"/>
    <w:tmpl w:val="2E7C9FBA"/>
    <w:lvl w:ilvl="0" w:tplc="4D669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D86CF1"/>
    <w:multiLevelType w:val="hybridMultilevel"/>
    <w:tmpl w:val="6AC2F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442C20"/>
    <w:multiLevelType w:val="hybridMultilevel"/>
    <w:tmpl w:val="E1680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327364"/>
    <w:multiLevelType w:val="multilevel"/>
    <w:tmpl w:val="0686936A"/>
    <w:lvl w:ilvl="0">
      <w:start w:val="1"/>
      <w:numFmt w:val="decimal"/>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6F9C1498"/>
    <w:multiLevelType w:val="hybridMultilevel"/>
    <w:tmpl w:val="6D864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6458F6"/>
    <w:multiLevelType w:val="hybridMultilevel"/>
    <w:tmpl w:val="5CBA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545FB"/>
    <w:multiLevelType w:val="multilevel"/>
    <w:tmpl w:val="B9AC6BFA"/>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ascii="Cambria" w:eastAsia="Cambria" w:hAnsi="Cambria" w:cs="Times New Roman"/>
      </w:rPr>
    </w:lvl>
    <w:lvl w:ilvl="3">
      <w:start w:val="1"/>
      <w:numFmt w:val="lowerRoman"/>
      <w:lvlText w:val="%4)"/>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num w:numId="1">
    <w:abstractNumId w:val="5"/>
  </w:num>
  <w:num w:numId="2">
    <w:abstractNumId w:val="3"/>
  </w:num>
  <w:num w:numId="3">
    <w:abstractNumId w:val="5"/>
  </w:num>
  <w:num w:numId="4">
    <w:abstractNumId w:val="3"/>
  </w:num>
  <w:num w:numId="5">
    <w:abstractNumId w:val="8"/>
  </w:num>
  <w:num w:numId="6">
    <w:abstractNumId w:val="31"/>
  </w:num>
  <w:num w:numId="7">
    <w:abstractNumId w:val="21"/>
  </w:num>
  <w:num w:numId="8">
    <w:abstractNumId w:val="32"/>
  </w:num>
  <w:num w:numId="9">
    <w:abstractNumId w:val="17"/>
  </w:num>
  <w:num w:numId="10">
    <w:abstractNumId w:val="20"/>
  </w:num>
  <w:num w:numId="11">
    <w:abstractNumId w:val="6"/>
  </w:num>
  <w:num w:numId="12">
    <w:abstractNumId w:val="30"/>
  </w:num>
  <w:num w:numId="13">
    <w:abstractNumId w:val="37"/>
  </w:num>
  <w:num w:numId="14">
    <w:abstractNumId w:val="38"/>
  </w:num>
  <w:num w:numId="15">
    <w:abstractNumId w:val="26"/>
  </w:num>
  <w:num w:numId="16">
    <w:abstractNumId w:val="13"/>
  </w:num>
  <w:num w:numId="17">
    <w:abstractNumId w:val="7"/>
  </w:num>
  <w:num w:numId="18">
    <w:abstractNumId w:val="11"/>
  </w:num>
  <w:num w:numId="19">
    <w:abstractNumId w:val="12"/>
  </w:num>
  <w:num w:numId="20">
    <w:abstractNumId w:val="4"/>
  </w:num>
  <w:num w:numId="21">
    <w:abstractNumId w:val="16"/>
  </w:num>
  <w:num w:numId="22">
    <w:abstractNumId w:val="9"/>
  </w:num>
  <w:num w:numId="23">
    <w:abstractNumId w:val="29"/>
  </w:num>
  <w:num w:numId="24">
    <w:abstractNumId w:val="23"/>
  </w:num>
  <w:num w:numId="25">
    <w:abstractNumId w:val="18"/>
  </w:num>
  <w:num w:numId="26">
    <w:abstractNumId w:val="39"/>
  </w:num>
  <w:num w:numId="27">
    <w:abstractNumId w:val="25"/>
  </w:num>
  <w:num w:numId="28">
    <w:abstractNumId w:val="15"/>
  </w:num>
  <w:num w:numId="29">
    <w:abstractNumId w:val="28"/>
  </w:num>
  <w:num w:numId="30">
    <w:abstractNumId w:val="2"/>
  </w:num>
  <w:num w:numId="31">
    <w:abstractNumId w:val="35"/>
  </w:num>
  <w:num w:numId="32">
    <w:abstractNumId w:val="22"/>
  </w:num>
  <w:num w:numId="33">
    <w:abstractNumId w:val="34"/>
  </w:num>
  <w:num w:numId="34">
    <w:abstractNumId w:val="13"/>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36"/>
  </w:num>
  <w:num w:numId="39">
    <w:abstractNumId w:val="10"/>
  </w:num>
  <w:num w:numId="40">
    <w:abstractNumId w:val="1"/>
  </w:num>
  <w:num w:numId="41">
    <w:abstractNumId w:val="0"/>
  </w:num>
  <w:num w:numId="42">
    <w:abstractNumId w:val="27"/>
  </w:num>
  <w:num w:numId="43">
    <w:abstractNumId w:val="19"/>
  </w:num>
  <w:num w:numId="44">
    <w:abstractNumId w:val="14"/>
  </w:num>
  <w:num w:numId="45">
    <w:abstractNumId w:val="24"/>
  </w:num>
  <w:num w:numId="46">
    <w:abstractNumId w:val="24"/>
    <w:lvlOverride w:ilvl="0">
      <w:startOverride w:val="1"/>
    </w:lvlOverride>
  </w:num>
  <w:num w:numId="47">
    <w:abstractNumId w:val="33"/>
  </w:num>
  <w:num w:numId="4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48"/>
    <w:rsid w:val="00001B6C"/>
    <w:rsid w:val="00001B7D"/>
    <w:rsid w:val="00002031"/>
    <w:rsid w:val="00003EE4"/>
    <w:rsid w:val="000042DA"/>
    <w:rsid w:val="00004734"/>
    <w:rsid w:val="00006AE7"/>
    <w:rsid w:val="00006B22"/>
    <w:rsid w:val="0001276A"/>
    <w:rsid w:val="00012D9E"/>
    <w:rsid w:val="00023C6E"/>
    <w:rsid w:val="000246AE"/>
    <w:rsid w:val="00025266"/>
    <w:rsid w:val="00025C67"/>
    <w:rsid w:val="000335FC"/>
    <w:rsid w:val="00033F14"/>
    <w:rsid w:val="0003532F"/>
    <w:rsid w:val="00041297"/>
    <w:rsid w:val="00042573"/>
    <w:rsid w:val="000465B5"/>
    <w:rsid w:val="00050211"/>
    <w:rsid w:val="0005081A"/>
    <w:rsid w:val="00052322"/>
    <w:rsid w:val="00053C6C"/>
    <w:rsid w:val="0005559E"/>
    <w:rsid w:val="00056156"/>
    <w:rsid w:val="00057FFC"/>
    <w:rsid w:val="00061765"/>
    <w:rsid w:val="0006427F"/>
    <w:rsid w:val="00065585"/>
    <w:rsid w:val="00065D1A"/>
    <w:rsid w:val="00072D02"/>
    <w:rsid w:val="00074EBD"/>
    <w:rsid w:val="000755F8"/>
    <w:rsid w:val="00077548"/>
    <w:rsid w:val="00077775"/>
    <w:rsid w:val="0008417D"/>
    <w:rsid w:val="00085DD5"/>
    <w:rsid w:val="000860B4"/>
    <w:rsid w:val="000869F6"/>
    <w:rsid w:val="00090471"/>
    <w:rsid w:val="000A56BE"/>
    <w:rsid w:val="000B0759"/>
    <w:rsid w:val="000B3532"/>
    <w:rsid w:val="000B3A75"/>
    <w:rsid w:val="000B56DE"/>
    <w:rsid w:val="000B7084"/>
    <w:rsid w:val="000C31F2"/>
    <w:rsid w:val="000C5F0B"/>
    <w:rsid w:val="000C6B99"/>
    <w:rsid w:val="000D0ABB"/>
    <w:rsid w:val="000D2B49"/>
    <w:rsid w:val="000D391B"/>
    <w:rsid w:val="000D3D6D"/>
    <w:rsid w:val="000D45F7"/>
    <w:rsid w:val="000D4FC7"/>
    <w:rsid w:val="000F04C4"/>
    <w:rsid w:val="000F3A5D"/>
    <w:rsid w:val="000F4869"/>
    <w:rsid w:val="000F5176"/>
    <w:rsid w:val="000F5B42"/>
    <w:rsid w:val="000F6E6F"/>
    <w:rsid w:val="001003F2"/>
    <w:rsid w:val="00101762"/>
    <w:rsid w:val="0010601F"/>
    <w:rsid w:val="00106BF9"/>
    <w:rsid w:val="00110AE1"/>
    <w:rsid w:val="00110EA5"/>
    <w:rsid w:val="00112440"/>
    <w:rsid w:val="00115240"/>
    <w:rsid w:val="001157F7"/>
    <w:rsid w:val="00116990"/>
    <w:rsid w:val="001169AC"/>
    <w:rsid w:val="00117127"/>
    <w:rsid w:val="00123BB2"/>
    <w:rsid w:val="00125091"/>
    <w:rsid w:val="00125148"/>
    <w:rsid w:val="00125318"/>
    <w:rsid w:val="0012669D"/>
    <w:rsid w:val="001268BE"/>
    <w:rsid w:val="001305A2"/>
    <w:rsid w:val="00130EB7"/>
    <w:rsid w:val="001327EC"/>
    <w:rsid w:val="00133238"/>
    <w:rsid w:val="00140FE3"/>
    <w:rsid w:val="0014197B"/>
    <w:rsid w:val="00143B58"/>
    <w:rsid w:val="001447CD"/>
    <w:rsid w:val="00150A66"/>
    <w:rsid w:val="001516B1"/>
    <w:rsid w:val="001525B4"/>
    <w:rsid w:val="00155651"/>
    <w:rsid w:val="00156316"/>
    <w:rsid w:val="00156847"/>
    <w:rsid w:val="00157601"/>
    <w:rsid w:val="001578C5"/>
    <w:rsid w:val="00161226"/>
    <w:rsid w:val="00165389"/>
    <w:rsid w:val="001653CE"/>
    <w:rsid w:val="00167C7B"/>
    <w:rsid w:val="00173C6A"/>
    <w:rsid w:val="0017693F"/>
    <w:rsid w:val="00176CB0"/>
    <w:rsid w:val="0018056A"/>
    <w:rsid w:val="0018110E"/>
    <w:rsid w:val="00181684"/>
    <w:rsid w:val="00182A4A"/>
    <w:rsid w:val="001843C6"/>
    <w:rsid w:val="001850E0"/>
    <w:rsid w:val="00185CE9"/>
    <w:rsid w:val="00186517"/>
    <w:rsid w:val="00193183"/>
    <w:rsid w:val="001A3925"/>
    <w:rsid w:val="001A525F"/>
    <w:rsid w:val="001A5FFE"/>
    <w:rsid w:val="001B09F9"/>
    <w:rsid w:val="001B0F8B"/>
    <w:rsid w:val="001B5CE3"/>
    <w:rsid w:val="001B6448"/>
    <w:rsid w:val="001C0D8C"/>
    <w:rsid w:val="001C2A9E"/>
    <w:rsid w:val="001C2D91"/>
    <w:rsid w:val="001C5266"/>
    <w:rsid w:val="001C7F0A"/>
    <w:rsid w:val="001E07CF"/>
    <w:rsid w:val="001E51C6"/>
    <w:rsid w:val="001E5555"/>
    <w:rsid w:val="001E59F1"/>
    <w:rsid w:val="001F04D7"/>
    <w:rsid w:val="001F32EC"/>
    <w:rsid w:val="001F49EB"/>
    <w:rsid w:val="001F6CBA"/>
    <w:rsid w:val="002001F1"/>
    <w:rsid w:val="0020028B"/>
    <w:rsid w:val="00200A9C"/>
    <w:rsid w:val="00201D4E"/>
    <w:rsid w:val="00202086"/>
    <w:rsid w:val="00202198"/>
    <w:rsid w:val="00204DF0"/>
    <w:rsid w:val="0020793B"/>
    <w:rsid w:val="002101CA"/>
    <w:rsid w:val="002147E0"/>
    <w:rsid w:val="00220B8A"/>
    <w:rsid w:val="00220D87"/>
    <w:rsid w:val="002226DD"/>
    <w:rsid w:val="002257F3"/>
    <w:rsid w:val="0023267B"/>
    <w:rsid w:val="00233456"/>
    <w:rsid w:val="002339A5"/>
    <w:rsid w:val="00236140"/>
    <w:rsid w:val="00240781"/>
    <w:rsid w:val="00242707"/>
    <w:rsid w:val="002445F4"/>
    <w:rsid w:val="002458D4"/>
    <w:rsid w:val="00245CF3"/>
    <w:rsid w:val="00247223"/>
    <w:rsid w:val="0025120A"/>
    <w:rsid w:val="0025660C"/>
    <w:rsid w:val="00257138"/>
    <w:rsid w:val="00257848"/>
    <w:rsid w:val="00263699"/>
    <w:rsid w:val="00267925"/>
    <w:rsid w:val="0027084A"/>
    <w:rsid w:val="00275590"/>
    <w:rsid w:val="00286434"/>
    <w:rsid w:val="00286C59"/>
    <w:rsid w:val="002929C2"/>
    <w:rsid w:val="00292BB3"/>
    <w:rsid w:val="002942D1"/>
    <w:rsid w:val="0029524D"/>
    <w:rsid w:val="002A0556"/>
    <w:rsid w:val="002A3961"/>
    <w:rsid w:val="002A5857"/>
    <w:rsid w:val="002A5F56"/>
    <w:rsid w:val="002A6E38"/>
    <w:rsid w:val="002B0E0E"/>
    <w:rsid w:val="002B1638"/>
    <w:rsid w:val="002B3304"/>
    <w:rsid w:val="002C07AF"/>
    <w:rsid w:val="002C1418"/>
    <w:rsid w:val="002C383A"/>
    <w:rsid w:val="002C43C3"/>
    <w:rsid w:val="002C48BF"/>
    <w:rsid w:val="002C6D34"/>
    <w:rsid w:val="002D0B05"/>
    <w:rsid w:val="002E430E"/>
    <w:rsid w:val="002E4C9A"/>
    <w:rsid w:val="002E5C31"/>
    <w:rsid w:val="002E69BE"/>
    <w:rsid w:val="002F11F8"/>
    <w:rsid w:val="002F3F56"/>
    <w:rsid w:val="002F44B5"/>
    <w:rsid w:val="002F53E0"/>
    <w:rsid w:val="00302504"/>
    <w:rsid w:val="003029A7"/>
    <w:rsid w:val="00303CBB"/>
    <w:rsid w:val="0030508C"/>
    <w:rsid w:val="003055BD"/>
    <w:rsid w:val="00311AC0"/>
    <w:rsid w:val="00314331"/>
    <w:rsid w:val="00316F8D"/>
    <w:rsid w:val="003208A0"/>
    <w:rsid w:val="003251D0"/>
    <w:rsid w:val="003261C8"/>
    <w:rsid w:val="00331DBB"/>
    <w:rsid w:val="00334439"/>
    <w:rsid w:val="00335BEC"/>
    <w:rsid w:val="003367E4"/>
    <w:rsid w:val="00343736"/>
    <w:rsid w:val="003521E8"/>
    <w:rsid w:val="00352A2E"/>
    <w:rsid w:val="00353AC2"/>
    <w:rsid w:val="003555D7"/>
    <w:rsid w:val="00356F04"/>
    <w:rsid w:val="00360648"/>
    <w:rsid w:val="00360DFD"/>
    <w:rsid w:val="00362473"/>
    <w:rsid w:val="00362F16"/>
    <w:rsid w:val="003662D5"/>
    <w:rsid w:val="003664BF"/>
    <w:rsid w:val="0036683E"/>
    <w:rsid w:val="0036794C"/>
    <w:rsid w:val="0037036E"/>
    <w:rsid w:val="0037215C"/>
    <w:rsid w:val="003728F3"/>
    <w:rsid w:val="00373D31"/>
    <w:rsid w:val="00375892"/>
    <w:rsid w:val="0038110B"/>
    <w:rsid w:val="00386152"/>
    <w:rsid w:val="00390900"/>
    <w:rsid w:val="003964E2"/>
    <w:rsid w:val="003A0110"/>
    <w:rsid w:val="003A0B29"/>
    <w:rsid w:val="003A0B68"/>
    <w:rsid w:val="003A19BA"/>
    <w:rsid w:val="003A48A2"/>
    <w:rsid w:val="003B1FAD"/>
    <w:rsid w:val="003B3601"/>
    <w:rsid w:val="003B629A"/>
    <w:rsid w:val="003B6E20"/>
    <w:rsid w:val="003B7E39"/>
    <w:rsid w:val="003C04B2"/>
    <w:rsid w:val="003C1BBB"/>
    <w:rsid w:val="003C58DC"/>
    <w:rsid w:val="003C62FC"/>
    <w:rsid w:val="003C7673"/>
    <w:rsid w:val="003D1DEC"/>
    <w:rsid w:val="003D26B4"/>
    <w:rsid w:val="003D497F"/>
    <w:rsid w:val="003D5D86"/>
    <w:rsid w:val="003E0262"/>
    <w:rsid w:val="003E0E6A"/>
    <w:rsid w:val="003E1945"/>
    <w:rsid w:val="003E2889"/>
    <w:rsid w:val="003E3208"/>
    <w:rsid w:val="003E33D4"/>
    <w:rsid w:val="003E3CA3"/>
    <w:rsid w:val="003E7390"/>
    <w:rsid w:val="003F0B04"/>
    <w:rsid w:val="003F3092"/>
    <w:rsid w:val="003F3095"/>
    <w:rsid w:val="003F48DD"/>
    <w:rsid w:val="003F626B"/>
    <w:rsid w:val="0040134E"/>
    <w:rsid w:val="00402EF6"/>
    <w:rsid w:val="00403ACE"/>
    <w:rsid w:val="00403D3E"/>
    <w:rsid w:val="00404AD5"/>
    <w:rsid w:val="0040598C"/>
    <w:rsid w:val="0040726C"/>
    <w:rsid w:val="004072A5"/>
    <w:rsid w:val="00411710"/>
    <w:rsid w:val="0041244F"/>
    <w:rsid w:val="00412E40"/>
    <w:rsid w:val="00414BA2"/>
    <w:rsid w:val="00421B7E"/>
    <w:rsid w:val="00423F10"/>
    <w:rsid w:val="004247DA"/>
    <w:rsid w:val="004302D7"/>
    <w:rsid w:val="0043074F"/>
    <w:rsid w:val="00430AAA"/>
    <w:rsid w:val="00432CDD"/>
    <w:rsid w:val="00433211"/>
    <w:rsid w:val="00435B13"/>
    <w:rsid w:val="00436C41"/>
    <w:rsid w:val="004407B2"/>
    <w:rsid w:val="00440A2D"/>
    <w:rsid w:val="004422DF"/>
    <w:rsid w:val="004432FB"/>
    <w:rsid w:val="004446E3"/>
    <w:rsid w:val="004454B4"/>
    <w:rsid w:val="0044589C"/>
    <w:rsid w:val="0044722D"/>
    <w:rsid w:val="0044785B"/>
    <w:rsid w:val="00455ECA"/>
    <w:rsid w:val="004564A7"/>
    <w:rsid w:val="00457FE3"/>
    <w:rsid w:val="004617BF"/>
    <w:rsid w:val="004618AB"/>
    <w:rsid w:val="00461999"/>
    <w:rsid w:val="00464DFB"/>
    <w:rsid w:val="0046516E"/>
    <w:rsid w:val="004658BC"/>
    <w:rsid w:val="00470EC2"/>
    <w:rsid w:val="00472080"/>
    <w:rsid w:val="00484BAB"/>
    <w:rsid w:val="00485BFD"/>
    <w:rsid w:val="00487716"/>
    <w:rsid w:val="004923FF"/>
    <w:rsid w:val="00494E60"/>
    <w:rsid w:val="004970FD"/>
    <w:rsid w:val="004A2400"/>
    <w:rsid w:val="004A6F05"/>
    <w:rsid w:val="004B21D7"/>
    <w:rsid w:val="004B2BD3"/>
    <w:rsid w:val="004B32D0"/>
    <w:rsid w:val="004B545E"/>
    <w:rsid w:val="004B6701"/>
    <w:rsid w:val="004B7B76"/>
    <w:rsid w:val="004C0070"/>
    <w:rsid w:val="004C241F"/>
    <w:rsid w:val="004C3BFD"/>
    <w:rsid w:val="004C4791"/>
    <w:rsid w:val="004C60B4"/>
    <w:rsid w:val="004D51A6"/>
    <w:rsid w:val="004D6739"/>
    <w:rsid w:val="004D722C"/>
    <w:rsid w:val="004E5523"/>
    <w:rsid w:val="004F0F38"/>
    <w:rsid w:val="004F4580"/>
    <w:rsid w:val="005009C0"/>
    <w:rsid w:val="00501179"/>
    <w:rsid w:val="00501921"/>
    <w:rsid w:val="00501CBA"/>
    <w:rsid w:val="005042C1"/>
    <w:rsid w:val="005164BD"/>
    <w:rsid w:val="005168C9"/>
    <w:rsid w:val="00516E40"/>
    <w:rsid w:val="00520F6C"/>
    <w:rsid w:val="00521BEF"/>
    <w:rsid w:val="005220E5"/>
    <w:rsid w:val="005221E1"/>
    <w:rsid w:val="005274DA"/>
    <w:rsid w:val="005302F5"/>
    <w:rsid w:val="00530354"/>
    <w:rsid w:val="00533970"/>
    <w:rsid w:val="00534871"/>
    <w:rsid w:val="0053538C"/>
    <w:rsid w:val="0053781A"/>
    <w:rsid w:val="005400D4"/>
    <w:rsid w:val="00541352"/>
    <w:rsid w:val="0054163A"/>
    <w:rsid w:val="005434C6"/>
    <w:rsid w:val="00543B39"/>
    <w:rsid w:val="00550096"/>
    <w:rsid w:val="00551F1D"/>
    <w:rsid w:val="00552DB2"/>
    <w:rsid w:val="005540F9"/>
    <w:rsid w:val="005576C9"/>
    <w:rsid w:val="00557FF9"/>
    <w:rsid w:val="00560BAF"/>
    <w:rsid w:val="00561B1B"/>
    <w:rsid w:val="005729B0"/>
    <w:rsid w:val="00575A6D"/>
    <w:rsid w:val="00576378"/>
    <w:rsid w:val="00577E38"/>
    <w:rsid w:val="005824DB"/>
    <w:rsid w:val="0058315B"/>
    <w:rsid w:val="00585069"/>
    <w:rsid w:val="00585322"/>
    <w:rsid w:val="0058774D"/>
    <w:rsid w:val="00591975"/>
    <w:rsid w:val="00593AD1"/>
    <w:rsid w:val="005940B2"/>
    <w:rsid w:val="005955CF"/>
    <w:rsid w:val="00597B50"/>
    <w:rsid w:val="005A1131"/>
    <w:rsid w:val="005A3F2F"/>
    <w:rsid w:val="005A5916"/>
    <w:rsid w:val="005A5A5E"/>
    <w:rsid w:val="005A6611"/>
    <w:rsid w:val="005B1DEF"/>
    <w:rsid w:val="005C03F2"/>
    <w:rsid w:val="005C0499"/>
    <w:rsid w:val="005C1D90"/>
    <w:rsid w:val="005C22EA"/>
    <w:rsid w:val="005C2732"/>
    <w:rsid w:val="005C2FB2"/>
    <w:rsid w:val="005C3414"/>
    <w:rsid w:val="005C5570"/>
    <w:rsid w:val="005C6864"/>
    <w:rsid w:val="005C6D87"/>
    <w:rsid w:val="005C79A4"/>
    <w:rsid w:val="005C7B9B"/>
    <w:rsid w:val="005D060C"/>
    <w:rsid w:val="005D16DC"/>
    <w:rsid w:val="005D4E06"/>
    <w:rsid w:val="005D5442"/>
    <w:rsid w:val="005E1A89"/>
    <w:rsid w:val="005E319B"/>
    <w:rsid w:val="005E3393"/>
    <w:rsid w:val="005E5885"/>
    <w:rsid w:val="005E6395"/>
    <w:rsid w:val="005F3EA0"/>
    <w:rsid w:val="00601594"/>
    <w:rsid w:val="00601FD3"/>
    <w:rsid w:val="0060581D"/>
    <w:rsid w:val="00612B30"/>
    <w:rsid w:val="006131AB"/>
    <w:rsid w:val="00613211"/>
    <w:rsid w:val="006132E8"/>
    <w:rsid w:val="006210F2"/>
    <w:rsid w:val="0062266E"/>
    <w:rsid w:val="00623676"/>
    <w:rsid w:val="006238C7"/>
    <w:rsid w:val="00632D4C"/>
    <w:rsid w:val="006352D8"/>
    <w:rsid w:val="006400CB"/>
    <w:rsid w:val="00640FC3"/>
    <w:rsid w:val="00642020"/>
    <w:rsid w:val="00650434"/>
    <w:rsid w:val="00651316"/>
    <w:rsid w:val="00652CEE"/>
    <w:rsid w:val="0065337B"/>
    <w:rsid w:val="0065419D"/>
    <w:rsid w:val="006604D8"/>
    <w:rsid w:val="00664A5B"/>
    <w:rsid w:val="006664CB"/>
    <w:rsid w:val="00667942"/>
    <w:rsid w:val="006733CD"/>
    <w:rsid w:val="00674BA2"/>
    <w:rsid w:val="00677050"/>
    <w:rsid w:val="006804A8"/>
    <w:rsid w:val="00680C08"/>
    <w:rsid w:val="0068543D"/>
    <w:rsid w:val="00686C19"/>
    <w:rsid w:val="0068741A"/>
    <w:rsid w:val="00691DBE"/>
    <w:rsid w:val="006931B1"/>
    <w:rsid w:val="006A15C0"/>
    <w:rsid w:val="006A1DC0"/>
    <w:rsid w:val="006A64F4"/>
    <w:rsid w:val="006A7FD9"/>
    <w:rsid w:val="006B1BCF"/>
    <w:rsid w:val="006B3B74"/>
    <w:rsid w:val="006B3CF2"/>
    <w:rsid w:val="006B6853"/>
    <w:rsid w:val="006C0A51"/>
    <w:rsid w:val="006C1A83"/>
    <w:rsid w:val="006C1AD9"/>
    <w:rsid w:val="006C1F3B"/>
    <w:rsid w:val="006C3E2A"/>
    <w:rsid w:val="006C450D"/>
    <w:rsid w:val="006C57B7"/>
    <w:rsid w:val="006C642F"/>
    <w:rsid w:val="006D03E5"/>
    <w:rsid w:val="006D08C1"/>
    <w:rsid w:val="006D5D3E"/>
    <w:rsid w:val="006D6A23"/>
    <w:rsid w:val="006E08B3"/>
    <w:rsid w:val="006E5071"/>
    <w:rsid w:val="006E5916"/>
    <w:rsid w:val="006F01FE"/>
    <w:rsid w:val="006F1A67"/>
    <w:rsid w:val="006F572E"/>
    <w:rsid w:val="006F65A9"/>
    <w:rsid w:val="007046D6"/>
    <w:rsid w:val="00705DB0"/>
    <w:rsid w:val="00706AFE"/>
    <w:rsid w:val="007105C8"/>
    <w:rsid w:val="00711BAE"/>
    <w:rsid w:val="007127A7"/>
    <w:rsid w:val="00717545"/>
    <w:rsid w:val="00717B5D"/>
    <w:rsid w:val="007249F8"/>
    <w:rsid w:val="0073205A"/>
    <w:rsid w:val="00732B06"/>
    <w:rsid w:val="0073345D"/>
    <w:rsid w:val="00736B85"/>
    <w:rsid w:val="00736EFA"/>
    <w:rsid w:val="00737627"/>
    <w:rsid w:val="0074253D"/>
    <w:rsid w:val="0074429B"/>
    <w:rsid w:val="007477F8"/>
    <w:rsid w:val="00750368"/>
    <w:rsid w:val="007560C5"/>
    <w:rsid w:val="007615BC"/>
    <w:rsid w:val="00761AA7"/>
    <w:rsid w:val="00762F05"/>
    <w:rsid w:val="007637F0"/>
    <w:rsid w:val="00763BB7"/>
    <w:rsid w:val="007652FF"/>
    <w:rsid w:val="00765C7B"/>
    <w:rsid w:val="00766729"/>
    <w:rsid w:val="00766888"/>
    <w:rsid w:val="00771329"/>
    <w:rsid w:val="00773EF7"/>
    <w:rsid w:val="007748DC"/>
    <w:rsid w:val="00774E1D"/>
    <w:rsid w:val="0077675A"/>
    <w:rsid w:val="00780355"/>
    <w:rsid w:val="00782870"/>
    <w:rsid w:val="00783116"/>
    <w:rsid w:val="00784124"/>
    <w:rsid w:val="00785721"/>
    <w:rsid w:val="007907BF"/>
    <w:rsid w:val="00793A59"/>
    <w:rsid w:val="00794519"/>
    <w:rsid w:val="007954D4"/>
    <w:rsid w:val="00797C67"/>
    <w:rsid w:val="007A2162"/>
    <w:rsid w:val="007A2B0B"/>
    <w:rsid w:val="007A58C5"/>
    <w:rsid w:val="007B0412"/>
    <w:rsid w:val="007B0A15"/>
    <w:rsid w:val="007B1ED1"/>
    <w:rsid w:val="007B7F38"/>
    <w:rsid w:val="007C0F3D"/>
    <w:rsid w:val="007C1AF7"/>
    <w:rsid w:val="007D2CFA"/>
    <w:rsid w:val="007D31C7"/>
    <w:rsid w:val="007D404B"/>
    <w:rsid w:val="007D4385"/>
    <w:rsid w:val="007D7B54"/>
    <w:rsid w:val="007E29E1"/>
    <w:rsid w:val="007E3E3E"/>
    <w:rsid w:val="007E4DCE"/>
    <w:rsid w:val="007E662C"/>
    <w:rsid w:val="007F2123"/>
    <w:rsid w:val="008030CD"/>
    <w:rsid w:val="00804357"/>
    <w:rsid w:val="0080449A"/>
    <w:rsid w:val="00811949"/>
    <w:rsid w:val="00812029"/>
    <w:rsid w:val="008122AC"/>
    <w:rsid w:val="00813E46"/>
    <w:rsid w:val="0081409B"/>
    <w:rsid w:val="00817471"/>
    <w:rsid w:val="00821776"/>
    <w:rsid w:val="00826007"/>
    <w:rsid w:val="0082653E"/>
    <w:rsid w:val="008266E2"/>
    <w:rsid w:val="0083209C"/>
    <w:rsid w:val="008321F5"/>
    <w:rsid w:val="00832369"/>
    <w:rsid w:val="00832486"/>
    <w:rsid w:val="0083329F"/>
    <w:rsid w:val="00834660"/>
    <w:rsid w:val="008357ED"/>
    <w:rsid w:val="00835953"/>
    <w:rsid w:val="00836BC2"/>
    <w:rsid w:val="0084109D"/>
    <w:rsid w:val="008423DC"/>
    <w:rsid w:val="00846E23"/>
    <w:rsid w:val="0085641B"/>
    <w:rsid w:val="00857136"/>
    <w:rsid w:val="008617CA"/>
    <w:rsid w:val="008702B3"/>
    <w:rsid w:val="008707DF"/>
    <w:rsid w:val="00871E49"/>
    <w:rsid w:val="00872807"/>
    <w:rsid w:val="00876EAC"/>
    <w:rsid w:val="0088186A"/>
    <w:rsid w:val="00881EA0"/>
    <w:rsid w:val="0088496A"/>
    <w:rsid w:val="0088678E"/>
    <w:rsid w:val="0089392A"/>
    <w:rsid w:val="00893C5D"/>
    <w:rsid w:val="00896018"/>
    <w:rsid w:val="00896E1F"/>
    <w:rsid w:val="008A00FE"/>
    <w:rsid w:val="008A2B9D"/>
    <w:rsid w:val="008A2D18"/>
    <w:rsid w:val="008A5E0B"/>
    <w:rsid w:val="008A69D0"/>
    <w:rsid w:val="008A6A7F"/>
    <w:rsid w:val="008A6B96"/>
    <w:rsid w:val="008A6D59"/>
    <w:rsid w:val="008B0015"/>
    <w:rsid w:val="008B2B27"/>
    <w:rsid w:val="008B4B03"/>
    <w:rsid w:val="008B596F"/>
    <w:rsid w:val="008B7C43"/>
    <w:rsid w:val="008C0C69"/>
    <w:rsid w:val="008C159F"/>
    <w:rsid w:val="008C1623"/>
    <w:rsid w:val="008C2B58"/>
    <w:rsid w:val="008C51A9"/>
    <w:rsid w:val="008C5225"/>
    <w:rsid w:val="008C7E46"/>
    <w:rsid w:val="008D0620"/>
    <w:rsid w:val="008D1287"/>
    <w:rsid w:val="008D3724"/>
    <w:rsid w:val="008D3FCE"/>
    <w:rsid w:val="008D67F7"/>
    <w:rsid w:val="008D7BD4"/>
    <w:rsid w:val="008E6463"/>
    <w:rsid w:val="008F1CCC"/>
    <w:rsid w:val="008F2967"/>
    <w:rsid w:val="008F2AD4"/>
    <w:rsid w:val="008F4A62"/>
    <w:rsid w:val="008F57B4"/>
    <w:rsid w:val="00910FAA"/>
    <w:rsid w:val="0091165D"/>
    <w:rsid w:val="00915525"/>
    <w:rsid w:val="00917AB4"/>
    <w:rsid w:val="00920330"/>
    <w:rsid w:val="009207ED"/>
    <w:rsid w:val="00920FF4"/>
    <w:rsid w:val="009219D7"/>
    <w:rsid w:val="00922D53"/>
    <w:rsid w:val="00923B70"/>
    <w:rsid w:val="0092465F"/>
    <w:rsid w:val="00924FB8"/>
    <w:rsid w:val="00925333"/>
    <w:rsid w:val="0092600B"/>
    <w:rsid w:val="00926BE5"/>
    <w:rsid w:val="00926F1C"/>
    <w:rsid w:val="00930237"/>
    <w:rsid w:val="009310B4"/>
    <w:rsid w:val="0093749E"/>
    <w:rsid w:val="00942751"/>
    <w:rsid w:val="00943A3F"/>
    <w:rsid w:val="00944B14"/>
    <w:rsid w:val="00945041"/>
    <w:rsid w:val="009468C6"/>
    <w:rsid w:val="00951677"/>
    <w:rsid w:val="00952C3D"/>
    <w:rsid w:val="00953EA8"/>
    <w:rsid w:val="00955A46"/>
    <w:rsid w:val="009628B7"/>
    <w:rsid w:val="00963C08"/>
    <w:rsid w:val="00963C0D"/>
    <w:rsid w:val="00965107"/>
    <w:rsid w:val="00966970"/>
    <w:rsid w:val="00967416"/>
    <w:rsid w:val="00967C5A"/>
    <w:rsid w:val="00970367"/>
    <w:rsid w:val="009741DD"/>
    <w:rsid w:val="009752DD"/>
    <w:rsid w:val="00975379"/>
    <w:rsid w:val="00981AC6"/>
    <w:rsid w:val="00981D0A"/>
    <w:rsid w:val="009835B6"/>
    <w:rsid w:val="00984CAD"/>
    <w:rsid w:val="00987D65"/>
    <w:rsid w:val="009927F3"/>
    <w:rsid w:val="00993AB0"/>
    <w:rsid w:val="009A190E"/>
    <w:rsid w:val="009A4825"/>
    <w:rsid w:val="009A4CED"/>
    <w:rsid w:val="009B00CC"/>
    <w:rsid w:val="009B1D12"/>
    <w:rsid w:val="009B20A0"/>
    <w:rsid w:val="009B2B3C"/>
    <w:rsid w:val="009B3475"/>
    <w:rsid w:val="009B416B"/>
    <w:rsid w:val="009B6348"/>
    <w:rsid w:val="009C4BD5"/>
    <w:rsid w:val="009C5F04"/>
    <w:rsid w:val="009C683C"/>
    <w:rsid w:val="009D0801"/>
    <w:rsid w:val="009D0A6D"/>
    <w:rsid w:val="009D0B0D"/>
    <w:rsid w:val="009D0DC8"/>
    <w:rsid w:val="009D2144"/>
    <w:rsid w:val="009D2E04"/>
    <w:rsid w:val="009D7B77"/>
    <w:rsid w:val="009E0BB0"/>
    <w:rsid w:val="009E37F8"/>
    <w:rsid w:val="009E3FBB"/>
    <w:rsid w:val="009F018D"/>
    <w:rsid w:val="009F01FD"/>
    <w:rsid w:val="009F207B"/>
    <w:rsid w:val="009F20E4"/>
    <w:rsid w:val="00A0156E"/>
    <w:rsid w:val="00A10C68"/>
    <w:rsid w:val="00A1235B"/>
    <w:rsid w:val="00A14DF7"/>
    <w:rsid w:val="00A22E19"/>
    <w:rsid w:val="00A27B10"/>
    <w:rsid w:val="00A31294"/>
    <w:rsid w:val="00A3246D"/>
    <w:rsid w:val="00A32C51"/>
    <w:rsid w:val="00A342E4"/>
    <w:rsid w:val="00A36E8D"/>
    <w:rsid w:val="00A36FA7"/>
    <w:rsid w:val="00A37835"/>
    <w:rsid w:val="00A40944"/>
    <w:rsid w:val="00A41E88"/>
    <w:rsid w:val="00A46A96"/>
    <w:rsid w:val="00A47209"/>
    <w:rsid w:val="00A475B7"/>
    <w:rsid w:val="00A47AF7"/>
    <w:rsid w:val="00A47C3E"/>
    <w:rsid w:val="00A50226"/>
    <w:rsid w:val="00A50992"/>
    <w:rsid w:val="00A60BAD"/>
    <w:rsid w:val="00A73339"/>
    <w:rsid w:val="00A737A1"/>
    <w:rsid w:val="00A73A8D"/>
    <w:rsid w:val="00A77C79"/>
    <w:rsid w:val="00A8051A"/>
    <w:rsid w:val="00A806AE"/>
    <w:rsid w:val="00A8571D"/>
    <w:rsid w:val="00A87334"/>
    <w:rsid w:val="00A92E6D"/>
    <w:rsid w:val="00A934D5"/>
    <w:rsid w:val="00A957C4"/>
    <w:rsid w:val="00AA34FC"/>
    <w:rsid w:val="00AB201E"/>
    <w:rsid w:val="00AB3F92"/>
    <w:rsid w:val="00AB42C4"/>
    <w:rsid w:val="00AB581C"/>
    <w:rsid w:val="00AB5C96"/>
    <w:rsid w:val="00AC262B"/>
    <w:rsid w:val="00AC2B40"/>
    <w:rsid w:val="00AC2BB2"/>
    <w:rsid w:val="00AC2C3C"/>
    <w:rsid w:val="00AC3BD9"/>
    <w:rsid w:val="00AC44FA"/>
    <w:rsid w:val="00AC54D1"/>
    <w:rsid w:val="00AC6EBE"/>
    <w:rsid w:val="00AD4722"/>
    <w:rsid w:val="00AD58C6"/>
    <w:rsid w:val="00AD7E78"/>
    <w:rsid w:val="00AE2270"/>
    <w:rsid w:val="00AE4205"/>
    <w:rsid w:val="00AE6155"/>
    <w:rsid w:val="00AE65EB"/>
    <w:rsid w:val="00AE670F"/>
    <w:rsid w:val="00AF1D94"/>
    <w:rsid w:val="00AF27F0"/>
    <w:rsid w:val="00AF316D"/>
    <w:rsid w:val="00AF3A8C"/>
    <w:rsid w:val="00AF60C5"/>
    <w:rsid w:val="00B009C6"/>
    <w:rsid w:val="00B01548"/>
    <w:rsid w:val="00B138BE"/>
    <w:rsid w:val="00B15AE2"/>
    <w:rsid w:val="00B15C1C"/>
    <w:rsid w:val="00B17A0B"/>
    <w:rsid w:val="00B17CB3"/>
    <w:rsid w:val="00B21D29"/>
    <w:rsid w:val="00B21FC5"/>
    <w:rsid w:val="00B25034"/>
    <w:rsid w:val="00B27B29"/>
    <w:rsid w:val="00B27EA3"/>
    <w:rsid w:val="00B325C7"/>
    <w:rsid w:val="00B33863"/>
    <w:rsid w:val="00B34F51"/>
    <w:rsid w:val="00B37D17"/>
    <w:rsid w:val="00B4175E"/>
    <w:rsid w:val="00B41A79"/>
    <w:rsid w:val="00B4454F"/>
    <w:rsid w:val="00B50EE7"/>
    <w:rsid w:val="00B510E1"/>
    <w:rsid w:val="00B54C25"/>
    <w:rsid w:val="00B55E71"/>
    <w:rsid w:val="00B57049"/>
    <w:rsid w:val="00B572B2"/>
    <w:rsid w:val="00B60801"/>
    <w:rsid w:val="00B617EA"/>
    <w:rsid w:val="00B6409A"/>
    <w:rsid w:val="00B6677B"/>
    <w:rsid w:val="00B71B18"/>
    <w:rsid w:val="00B7359B"/>
    <w:rsid w:val="00B7672F"/>
    <w:rsid w:val="00B76B91"/>
    <w:rsid w:val="00B83FC7"/>
    <w:rsid w:val="00B8473E"/>
    <w:rsid w:val="00B86F81"/>
    <w:rsid w:val="00B929EB"/>
    <w:rsid w:val="00B94276"/>
    <w:rsid w:val="00B94618"/>
    <w:rsid w:val="00B978A9"/>
    <w:rsid w:val="00BB0BD8"/>
    <w:rsid w:val="00BB538A"/>
    <w:rsid w:val="00BB6DFC"/>
    <w:rsid w:val="00BB7F56"/>
    <w:rsid w:val="00BC1CAB"/>
    <w:rsid w:val="00BC2009"/>
    <w:rsid w:val="00BC50DB"/>
    <w:rsid w:val="00BC526C"/>
    <w:rsid w:val="00BC5AC3"/>
    <w:rsid w:val="00BC5AE6"/>
    <w:rsid w:val="00BC622A"/>
    <w:rsid w:val="00BD48EC"/>
    <w:rsid w:val="00BE0A78"/>
    <w:rsid w:val="00BE79F0"/>
    <w:rsid w:val="00BF046D"/>
    <w:rsid w:val="00BF46E4"/>
    <w:rsid w:val="00BF5D04"/>
    <w:rsid w:val="00BF6D2F"/>
    <w:rsid w:val="00C007D3"/>
    <w:rsid w:val="00C019E6"/>
    <w:rsid w:val="00C0357E"/>
    <w:rsid w:val="00C1305B"/>
    <w:rsid w:val="00C13563"/>
    <w:rsid w:val="00C16CCE"/>
    <w:rsid w:val="00C17E00"/>
    <w:rsid w:val="00C24035"/>
    <w:rsid w:val="00C25FC2"/>
    <w:rsid w:val="00C31D44"/>
    <w:rsid w:val="00C32A88"/>
    <w:rsid w:val="00C33FDE"/>
    <w:rsid w:val="00C3534F"/>
    <w:rsid w:val="00C3536F"/>
    <w:rsid w:val="00C364D5"/>
    <w:rsid w:val="00C36810"/>
    <w:rsid w:val="00C404A6"/>
    <w:rsid w:val="00C40A36"/>
    <w:rsid w:val="00C434EA"/>
    <w:rsid w:val="00C44419"/>
    <w:rsid w:val="00C45E7B"/>
    <w:rsid w:val="00C471B1"/>
    <w:rsid w:val="00C54222"/>
    <w:rsid w:val="00C55437"/>
    <w:rsid w:val="00C55C1A"/>
    <w:rsid w:val="00C6204C"/>
    <w:rsid w:val="00C6316B"/>
    <w:rsid w:val="00C634A9"/>
    <w:rsid w:val="00C6376F"/>
    <w:rsid w:val="00C651B1"/>
    <w:rsid w:val="00C669EE"/>
    <w:rsid w:val="00C73315"/>
    <w:rsid w:val="00C741A3"/>
    <w:rsid w:val="00C74DD6"/>
    <w:rsid w:val="00C76E42"/>
    <w:rsid w:val="00C772FF"/>
    <w:rsid w:val="00C801AF"/>
    <w:rsid w:val="00C80256"/>
    <w:rsid w:val="00C81696"/>
    <w:rsid w:val="00C87CA5"/>
    <w:rsid w:val="00C93228"/>
    <w:rsid w:val="00C94239"/>
    <w:rsid w:val="00C95D76"/>
    <w:rsid w:val="00CA068B"/>
    <w:rsid w:val="00CA0F79"/>
    <w:rsid w:val="00CA3A38"/>
    <w:rsid w:val="00CA62E0"/>
    <w:rsid w:val="00CA7F35"/>
    <w:rsid w:val="00CB27FE"/>
    <w:rsid w:val="00CB6BC0"/>
    <w:rsid w:val="00CC1B7C"/>
    <w:rsid w:val="00CC314F"/>
    <w:rsid w:val="00CC50DE"/>
    <w:rsid w:val="00CC727F"/>
    <w:rsid w:val="00CD6EB8"/>
    <w:rsid w:val="00CE5BB0"/>
    <w:rsid w:val="00CE5E4B"/>
    <w:rsid w:val="00CF15C3"/>
    <w:rsid w:val="00CF2B6F"/>
    <w:rsid w:val="00CF3BC4"/>
    <w:rsid w:val="00CF6340"/>
    <w:rsid w:val="00D017ED"/>
    <w:rsid w:val="00D02AD9"/>
    <w:rsid w:val="00D07496"/>
    <w:rsid w:val="00D07BFC"/>
    <w:rsid w:val="00D135F8"/>
    <w:rsid w:val="00D153B1"/>
    <w:rsid w:val="00D1617A"/>
    <w:rsid w:val="00D224FE"/>
    <w:rsid w:val="00D229BA"/>
    <w:rsid w:val="00D24C02"/>
    <w:rsid w:val="00D46E89"/>
    <w:rsid w:val="00D47415"/>
    <w:rsid w:val="00D51CD8"/>
    <w:rsid w:val="00D55A5F"/>
    <w:rsid w:val="00D624D6"/>
    <w:rsid w:val="00D63084"/>
    <w:rsid w:val="00D63F91"/>
    <w:rsid w:val="00D6493E"/>
    <w:rsid w:val="00D72783"/>
    <w:rsid w:val="00D73C01"/>
    <w:rsid w:val="00D74637"/>
    <w:rsid w:val="00D763E2"/>
    <w:rsid w:val="00D80DD3"/>
    <w:rsid w:val="00D82F24"/>
    <w:rsid w:val="00D834EE"/>
    <w:rsid w:val="00D84A25"/>
    <w:rsid w:val="00D855AE"/>
    <w:rsid w:val="00D865C3"/>
    <w:rsid w:val="00D86C12"/>
    <w:rsid w:val="00D87F31"/>
    <w:rsid w:val="00D97D00"/>
    <w:rsid w:val="00DA1124"/>
    <w:rsid w:val="00DA24C7"/>
    <w:rsid w:val="00DA2BE7"/>
    <w:rsid w:val="00DA3BFE"/>
    <w:rsid w:val="00DA5B9B"/>
    <w:rsid w:val="00DA7A0C"/>
    <w:rsid w:val="00DB33CF"/>
    <w:rsid w:val="00DB34F5"/>
    <w:rsid w:val="00DC38FE"/>
    <w:rsid w:val="00DC55B7"/>
    <w:rsid w:val="00DC7746"/>
    <w:rsid w:val="00DC79D6"/>
    <w:rsid w:val="00DC7EE4"/>
    <w:rsid w:val="00DD75A3"/>
    <w:rsid w:val="00DE02AE"/>
    <w:rsid w:val="00DE6A0C"/>
    <w:rsid w:val="00DE6C04"/>
    <w:rsid w:val="00DF1D7F"/>
    <w:rsid w:val="00DF2F50"/>
    <w:rsid w:val="00E02FB4"/>
    <w:rsid w:val="00E05B04"/>
    <w:rsid w:val="00E06A1B"/>
    <w:rsid w:val="00E1165A"/>
    <w:rsid w:val="00E1340C"/>
    <w:rsid w:val="00E2020C"/>
    <w:rsid w:val="00E20571"/>
    <w:rsid w:val="00E207D9"/>
    <w:rsid w:val="00E21651"/>
    <w:rsid w:val="00E235F7"/>
    <w:rsid w:val="00E239D4"/>
    <w:rsid w:val="00E313A8"/>
    <w:rsid w:val="00E40B22"/>
    <w:rsid w:val="00E40BD2"/>
    <w:rsid w:val="00E41AD2"/>
    <w:rsid w:val="00E42068"/>
    <w:rsid w:val="00E4307C"/>
    <w:rsid w:val="00E4588F"/>
    <w:rsid w:val="00E46DA3"/>
    <w:rsid w:val="00E476C8"/>
    <w:rsid w:val="00E57B71"/>
    <w:rsid w:val="00E61311"/>
    <w:rsid w:val="00E72FC4"/>
    <w:rsid w:val="00E738DA"/>
    <w:rsid w:val="00E81BC9"/>
    <w:rsid w:val="00E83D3E"/>
    <w:rsid w:val="00E85439"/>
    <w:rsid w:val="00E85D5D"/>
    <w:rsid w:val="00E860E0"/>
    <w:rsid w:val="00E86A1F"/>
    <w:rsid w:val="00E8778C"/>
    <w:rsid w:val="00E9008E"/>
    <w:rsid w:val="00E9579B"/>
    <w:rsid w:val="00E97275"/>
    <w:rsid w:val="00EA0A0F"/>
    <w:rsid w:val="00EA16DE"/>
    <w:rsid w:val="00EA406B"/>
    <w:rsid w:val="00EA5776"/>
    <w:rsid w:val="00EB0798"/>
    <w:rsid w:val="00EB28AE"/>
    <w:rsid w:val="00EB2F97"/>
    <w:rsid w:val="00EB34F1"/>
    <w:rsid w:val="00EB40AD"/>
    <w:rsid w:val="00EB4571"/>
    <w:rsid w:val="00EB586E"/>
    <w:rsid w:val="00EB5FC8"/>
    <w:rsid w:val="00EB74A7"/>
    <w:rsid w:val="00EC384E"/>
    <w:rsid w:val="00EC4910"/>
    <w:rsid w:val="00EC580A"/>
    <w:rsid w:val="00ED5A41"/>
    <w:rsid w:val="00ED5D05"/>
    <w:rsid w:val="00ED6B23"/>
    <w:rsid w:val="00EE00CA"/>
    <w:rsid w:val="00EE2CC3"/>
    <w:rsid w:val="00EE3577"/>
    <w:rsid w:val="00EF1963"/>
    <w:rsid w:val="00EF3C6A"/>
    <w:rsid w:val="00EF578B"/>
    <w:rsid w:val="00EF7B95"/>
    <w:rsid w:val="00F033EC"/>
    <w:rsid w:val="00F0438D"/>
    <w:rsid w:val="00F049A1"/>
    <w:rsid w:val="00F04F68"/>
    <w:rsid w:val="00F10A73"/>
    <w:rsid w:val="00F10BD8"/>
    <w:rsid w:val="00F12670"/>
    <w:rsid w:val="00F14B27"/>
    <w:rsid w:val="00F20118"/>
    <w:rsid w:val="00F23105"/>
    <w:rsid w:val="00F25577"/>
    <w:rsid w:val="00F2700C"/>
    <w:rsid w:val="00F3148D"/>
    <w:rsid w:val="00F32D36"/>
    <w:rsid w:val="00F3509E"/>
    <w:rsid w:val="00F35298"/>
    <w:rsid w:val="00F3529E"/>
    <w:rsid w:val="00F41DCE"/>
    <w:rsid w:val="00F443FD"/>
    <w:rsid w:val="00F46F9A"/>
    <w:rsid w:val="00F47D14"/>
    <w:rsid w:val="00F47E37"/>
    <w:rsid w:val="00F50ADC"/>
    <w:rsid w:val="00F50B5E"/>
    <w:rsid w:val="00F53E24"/>
    <w:rsid w:val="00F56D63"/>
    <w:rsid w:val="00F640B6"/>
    <w:rsid w:val="00F647EA"/>
    <w:rsid w:val="00F65B15"/>
    <w:rsid w:val="00F70540"/>
    <w:rsid w:val="00F76802"/>
    <w:rsid w:val="00F80E40"/>
    <w:rsid w:val="00F91585"/>
    <w:rsid w:val="00F923D6"/>
    <w:rsid w:val="00F942E9"/>
    <w:rsid w:val="00F95CA6"/>
    <w:rsid w:val="00F9705F"/>
    <w:rsid w:val="00FA029A"/>
    <w:rsid w:val="00FA144A"/>
    <w:rsid w:val="00FA2018"/>
    <w:rsid w:val="00FA3338"/>
    <w:rsid w:val="00FA5B82"/>
    <w:rsid w:val="00FA639E"/>
    <w:rsid w:val="00FA7DF1"/>
    <w:rsid w:val="00FB1B89"/>
    <w:rsid w:val="00FB3817"/>
    <w:rsid w:val="00FC03C8"/>
    <w:rsid w:val="00FC0A60"/>
    <w:rsid w:val="00FC25E4"/>
    <w:rsid w:val="00FC42B9"/>
    <w:rsid w:val="00FC4EF7"/>
    <w:rsid w:val="00FD1704"/>
    <w:rsid w:val="00FD56A0"/>
    <w:rsid w:val="00FD5947"/>
    <w:rsid w:val="00FD62E3"/>
    <w:rsid w:val="00FE1DEE"/>
    <w:rsid w:val="00FE6710"/>
    <w:rsid w:val="00FE705F"/>
    <w:rsid w:val="00FF01FE"/>
    <w:rsid w:val="00FF1448"/>
    <w:rsid w:val="00FF2126"/>
    <w:rsid w:val="00FF25D3"/>
    <w:rsid w:val="00FF4170"/>
    <w:rsid w:val="00FF59FF"/>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5E7007"/>
  <w15:docId w15:val="{9FB8A505-8DA2-46F1-8113-1A546668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32D0"/>
    <w:pPr>
      <w:spacing w:before="120" w:after="180" w:line="240" w:lineRule="atLeast"/>
    </w:pPr>
    <w:rPr>
      <w:sz w:val="22"/>
      <w:lang w:eastAsia="en-US"/>
    </w:rPr>
  </w:style>
  <w:style w:type="paragraph" w:styleId="Heading1">
    <w:name w:val="heading 1"/>
    <w:basedOn w:val="Heading2"/>
    <w:next w:val="Normal"/>
    <w:link w:val="Heading1Char"/>
    <w:rsid w:val="00D97D00"/>
    <w:pPr>
      <w:outlineLvl w:val="0"/>
    </w:pPr>
  </w:style>
  <w:style w:type="paragraph" w:styleId="Heading2">
    <w:name w:val="heading 2"/>
    <w:basedOn w:val="Normal"/>
    <w:next w:val="Normal"/>
    <w:link w:val="Heading2Char"/>
    <w:qFormat/>
    <w:rsid w:val="00BC2009"/>
    <w:pPr>
      <w:keepNext/>
      <w:keepLines/>
      <w:numPr>
        <w:numId w:val="5"/>
      </w:numPr>
      <w:spacing w:before="480" w:after="120"/>
      <w:outlineLvl w:val="1"/>
    </w:pPr>
    <w:rPr>
      <w:rFonts w:ascii="Arial" w:eastAsia="Times New Roman" w:hAnsi="Arial"/>
      <w:b/>
      <w:bCs/>
      <w:sz w:val="32"/>
      <w:szCs w:val="32"/>
    </w:rPr>
  </w:style>
  <w:style w:type="paragraph" w:styleId="Heading3">
    <w:name w:val="heading 3"/>
    <w:basedOn w:val="Normal"/>
    <w:next w:val="Normal"/>
    <w:link w:val="Heading3Char"/>
    <w:qFormat/>
    <w:rsid w:val="00BC2009"/>
    <w:pPr>
      <w:keepNext/>
      <w:keepLines/>
      <w:numPr>
        <w:ilvl w:val="1"/>
        <w:numId w:val="5"/>
      </w:numPr>
      <w:spacing w:before="480" w:after="120"/>
      <w:outlineLvl w:val="2"/>
    </w:pPr>
    <w:rPr>
      <w:rFonts w:ascii="Arial" w:eastAsia="Times New Roman" w:hAnsi="Arial"/>
      <w:b/>
      <w:bCs/>
      <w:sz w:val="28"/>
      <w:szCs w:val="32"/>
    </w:rPr>
  </w:style>
  <w:style w:type="paragraph" w:styleId="Heading4">
    <w:name w:val="heading 4"/>
    <w:basedOn w:val="Normal"/>
    <w:next w:val="Normal"/>
    <w:link w:val="Heading4Char"/>
    <w:qFormat/>
    <w:rsid w:val="00E97275"/>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6C57B7"/>
    <w:pPr>
      <w:keepNext/>
      <w:keepLines/>
      <w:spacing w:before="240" w:after="120"/>
      <w:ind w:left="1008" w:hanging="1008"/>
      <w:outlineLvl w:val="4"/>
    </w:pPr>
    <w:rPr>
      <w:rFonts w:eastAsia="Times New Roman"/>
      <w:b/>
      <w:bCs/>
      <w:i/>
      <w:color w:val="001523"/>
      <w:szCs w:val="26"/>
    </w:rPr>
  </w:style>
  <w:style w:type="paragraph" w:styleId="Heading6">
    <w:name w:val="heading 6"/>
    <w:basedOn w:val="Normal"/>
    <w:next w:val="Normal"/>
    <w:link w:val="Heading6Char"/>
    <w:uiPriority w:val="9"/>
    <w:rsid w:val="00B138BE"/>
    <w:pPr>
      <w:keepNext/>
      <w:keepLines/>
      <w:numPr>
        <w:ilvl w:val="5"/>
        <w:numId w:val="5"/>
      </w:numPr>
      <w:spacing w:before="240" w:after="120"/>
      <w:outlineLvl w:val="5"/>
    </w:pPr>
    <w:rPr>
      <w:rFonts w:eastAsia="Times New Roman"/>
      <w:b/>
      <w:bCs/>
      <w:i/>
      <w:szCs w:val="21"/>
    </w:rPr>
  </w:style>
  <w:style w:type="paragraph" w:styleId="Heading7">
    <w:name w:val="heading 7"/>
    <w:basedOn w:val="Normal"/>
    <w:next w:val="Normal"/>
    <w:link w:val="Heading7Char"/>
    <w:uiPriority w:val="9"/>
    <w:rsid w:val="00B138BE"/>
    <w:pPr>
      <w:keepNext/>
      <w:keepLines/>
      <w:numPr>
        <w:ilvl w:val="6"/>
        <w:numId w:val="5"/>
      </w:numPr>
      <w:spacing w:before="240" w:after="60" w:line="180" w:lineRule="atLeast"/>
      <w:outlineLvl w:val="6"/>
    </w:pPr>
    <w:rPr>
      <w:rFonts w:eastAsia="Times New Roman"/>
      <w:bCs/>
      <w:i/>
      <w:szCs w:val="22"/>
    </w:rPr>
  </w:style>
  <w:style w:type="paragraph" w:styleId="Heading8">
    <w:name w:val="heading 8"/>
    <w:basedOn w:val="Normal"/>
    <w:next w:val="Normal"/>
    <w:link w:val="Heading8Char"/>
    <w:uiPriority w:val="9"/>
    <w:semiHidden/>
    <w:unhideWhenUsed/>
    <w:qFormat/>
    <w:rsid w:val="00430AAA"/>
    <w:pPr>
      <w:keepNext/>
      <w:keepLines/>
      <w:numPr>
        <w:ilvl w:val="7"/>
        <w:numId w:val="5"/>
      </w:numPr>
      <w:spacing w:before="200" w:after="0"/>
      <w:outlineLvl w:val="7"/>
    </w:pPr>
    <w:rPr>
      <w:rFonts w:asciiTheme="majorHAnsi" w:eastAsiaTheme="majorEastAsia" w:hAnsiTheme="majorHAnsi" w:cstheme="majorBidi"/>
      <w:color w:val="0070B5" w:themeColor="text1" w:themeTint="BF"/>
      <w:sz w:val="20"/>
    </w:rPr>
  </w:style>
  <w:style w:type="paragraph" w:styleId="Heading9">
    <w:name w:val="heading 9"/>
    <w:basedOn w:val="Normal"/>
    <w:next w:val="Normal"/>
    <w:link w:val="Heading9Char"/>
    <w:uiPriority w:val="9"/>
    <w:semiHidden/>
    <w:unhideWhenUsed/>
    <w:qFormat/>
    <w:rsid w:val="00430AAA"/>
    <w:pPr>
      <w:keepNext/>
      <w:keepLines/>
      <w:numPr>
        <w:ilvl w:val="8"/>
        <w:numId w:val="5"/>
      </w:numPr>
      <w:spacing w:before="200" w:after="0"/>
      <w:outlineLvl w:val="8"/>
    </w:pPr>
    <w:rPr>
      <w:rFonts w:asciiTheme="majorHAnsi" w:eastAsiaTheme="majorEastAsia" w:hAnsiTheme="majorHAnsi" w:cstheme="majorBidi"/>
      <w:i/>
      <w:iCs/>
      <w:color w:val="0070B5"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D00"/>
    <w:rPr>
      <w:rFonts w:ascii="Arial" w:eastAsia="Times New Roman" w:hAnsi="Arial"/>
      <w:b/>
      <w:bCs/>
      <w:sz w:val="32"/>
      <w:szCs w:val="32"/>
      <w:lang w:eastAsia="en-US"/>
    </w:rPr>
  </w:style>
  <w:style w:type="character" w:customStyle="1" w:styleId="Heading2Char">
    <w:name w:val="Heading 2 Char"/>
    <w:basedOn w:val="DefaultParagraphFont"/>
    <w:link w:val="Heading2"/>
    <w:rsid w:val="00BC2009"/>
    <w:rPr>
      <w:rFonts w:ascii="Arial" w:eastAsia="Times New Roman" w:hAnsi="Arial"/>
      <w:b/>
      <w:bCs/>
      <w:sz w:val="32"/>
      <w:szCs w:val="32"/>
      <w:lang w:eastAsia="en-US"/>
    </w:rPr>
  </w:style>
  <w:style w:type="character" w:customStyle="1" w:styleId="Heading3Char">
    <w:name w:val="Heading 3 Char"/>
    <w:basedOn w:val="DefaultParagraphFont"/>
    <w:link w:val="Heading3"/>
    <w:rsid w:val="00BC2009"/>
    <w:rPr>
      <w:rFonts w:ascii="Arial" w:eastAsia="Times New Roman" w:hAnsi="Arial"/>
      <w:b/>
      <w:bCs/>
      <w:sz w:val="28"/>
      <w:szCs w:val="32"/>
      <w:lang w:eastAsia="en-US"/>
    </w:rPr>
  </w:style>
  <w:style w:type="paragraph" w:customStyle="1" w:styleId="Figuredescription">
    <w:name w:val="Figure description"/>
    <w:basedOn w:val="Normal"/>
    <w:next w:val="Normal"/>
    <w:rsid w:val="00CA62E0"/>
    <w:pPr>
      <w:spacing w:after="240" w:line="180" w:lineRule="atLeast"/>
    </w:pPr>
    <w:rPr>
      <w:sz w:val="18"/>
    </w:rPr>
  </w:style>
  <w:style w:type="paragraph" w:customStyle="1" w:styleId="Figuretitle">
    <w:name w:val="Figure title"/>
    <w:basedOn w:val="Normal"/>
    <w:next w:val="Normal"/>
    <w:rsid w:val="00CA62E0"/>
    <w:pPr>
      <w:outlineLvl w:val="4"/>
    </w:pPr>
    <w:rPr>
      <w:b/>
    </w:rPr>
  </w:style>
  <w:style w:type="paragraph" w:styleId="DocumentMap">
    <w:name w:val="Document Map"/>
    <w:basedOn w:val="Normal"/>
    <w:link w:val="DocumentMapChar"/>
    <w:uiPriority w:val="99"/>
    <w:semiHidden/>
    <w:unhideWhenUsed/>
    <w:rsid w:val="001B5CE3"/>
    <w:pPr>
      <w:spacing w:before="0"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DocumentMapChar">
    <w:name w:val="Document Map Char"/>
    <w:basedOn w:val="DefaultParagraphFont"/>
    <w:link w:val="DocumentMap"/>
    <w:uiPriority w:val="99"/>
    <w:semiHidden/>
    <w:rsid w:val="001B5CE3"/>
    <w:rPr>
      <w:rFonts w:ascii="Tahoma" w:hAnsi="Tahoma" w:cs="Tahoma"/>
      <w:sz w:val="16"/>
      <w:szCs w:val="16"/>
      <w:lang w:eastAsia="en-US"/>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character" w:customStyle="1" w:styleId="Heading4Char">
    <w:name w:val="Heading 4 Char"/>
    <w:basedOn w:val="DefaultParagraphFont"/>
    <w:link w:val="Heading4"/>
    <w:rsid w:val="00E97275"/>
    <w:rPr>
      <w:rFonts w:ascii="Arial" w:hAnsi="Arial"/>
      <w:b/>
      <w:bCs/>
      <w:sz w:val="26"/>
      <w:szCs w:val="26"/>
      <w:lang w:eastAsia="en-US"/>
    </w:rPr>
  </w:style>
  <w:style w:type="character" w:styleId="FollowedHyperlink">
    <w:name w:val="FollowedHyperlink"/>
    <w:basedOn w:val="DefaultParagraphFont"/>
    <w:semiHidden/>
    <w:unhideWhenUsed/>
    <w:rsid w:val="006B3CF2"/>
    <w:rPr>
      <w:color w:val="800080"/>
      <w:u w:val="single"/>
    </w:rPr>
  </w:style>
  <w:style w:type="paragraph" w:styleId="Footer">
    <w:name w:val="footer"/>
    <w:basedOn w:val="Normal"/>
    <w:link w:val="FooterChar"/>
    <w:uiPriority w:val="99"/>
    <w:rsid w:val="00B138BE"/>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B138BE"/>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EB74A7"/>
    <w:pPr>
      <w:pBdr>
        <w:bottom w:val="none" w:sz="0" w:space="0" w:color="auto"/>
      </w:pBdr>
      <w:spacing w:before="240" w:after="120"/>
    </w:pPr>
  </w:style>
  <w:style w:type="character" w:customStyle="1" w:styleId="Heading5Char">
    <w:name w:val="Heading 5 Char"/>
    <w:basedOn w:val="DefaultParagraphFont"/>
    <w:link w:val="Heading5"/>
    <w:uiPriority w:val="9"/>
    <w:rsid w:val="006C57B7"/>
    <w:rPr>
      <w:rFonts w:eastAsia="Times New Roman"/>
      <w:b/>
      <w:bCs/>
      <w:i/>
      <w:color w:val="001523"/>
      <w:sz w:val="22"/>
      <w:szCs w:val="26"/>
      <w:lang w:eastAsia="en-US"/>
    </w:rPr>
  </w:style>
  <w:style w:type="character" w:customStyle="1" w:styleId="Heading6Char">
    <w:name w:val="Heading 6 Char"/>
    <w:basedOn w:val="DefaultParagraphFont"/>
    <w:link w:val="Heading6"/>
    <w:uiPriority w:val="9"/>
    <w:rsid w:val="00F3148D"/>
    <w:rPr>
      <w:rFonts w:eastAsia="Times New Roman"/>
      <w:b/>
      <w:bCs/>
      <w:i/>
      <w:sz w:val="22"/>
      <w:szCs w:val="21"/>
      <w:lang w:eastAsia="en-US"/>
    </w:rPr>
  </w:style>
  <w:style w:type="character" w:customStyle="1" w:styleId="Heading7Char">
    <w:name w:val="Heading 7 Char"/>
    <w:basedOn w:val="DefaultParagraphFont"/>
    <w:link w:val="Heading7"/>
    <w:uiPriority w:val="9"/>
    <w:rsid w:val="00F3148D"/>
    <w:rPr>
      <w:rFonts w:eastAsia="Times New Roman"/>
      <w:bCs/>
      <w:i/>
      <w:sz w:val="22"/>
      <w:szCs w:val="22"/>
      <w:lang w:eastAsia="en-US"/>
    </w:rPr>
  </w:style>
  <w:style w:type="character" w:styleId="Hyperlink">
    <w:name w:val="Hyperlink"/>
    <w:aliases w:val="OECD Hyperlink"/>
    <w:basedOn w:val="DefaultParagraphFont"/>
    <w:uiPriority w:val="99"/>
    <w:unhideWhenUsed/>
    <w:rsid w:val="00B138BE"/>
    <w:rPr>
      <w:color w:val="0000FF"/>
      <w:u w:val="single"/>
    </w:rPr>
  </w:style>
  <w:style w:type="paragraph" w:customStyle="1" w:styleId="LegalCopy">
    <w:name w:val="Legal Copy"/>
    <w:basedOn w:val="Footer"/>
    <w:unhideWhenUsed/>
    <w:rsid w:val="006B3CF2"/>
  </w:style>
  <w:style w:type="paragraph" w:customStyle="1" w:styleId="LegalSubheading">
    <w:name w:val="Legal Subheading"/>
    <w:basedOn w:val="Footer"/>
    <w:unhideWhenUsed/>
    <w:rsid w:val="006B3CF2"/>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E313A8"/>
    <w:pPr>
      <w:numPr>
        <w:numId w:val="3"/>
      </w:numPr>
    </w:pPr>
  </w:style>
  <w:style w:type="paragraph" w:styleId="ListBullet2">
    <w:name w:val="List Bullet 2"/>
    <w:basedOn w:val="Normal"/>
    <w:uiPriority w:val="2"/>
    <w:qFormat/>
    <w:rsid w:val="00E313A8"/>
    <w:pPr>
      <w:numPr>
        <w:ilvl w:val="1"/>
        <w:numId w:val="3"/>
      </w:numPr>
    </w:pPr>
  </w:style>
  <w:style w:type="paragraph" w:styleId="ListBullet3">
    <w:name w:val="List Bullet 3"/>
    <w:basedOn w:val="Normal"/>
    <w:uiPriority w:val="2"/>
    <w:qFormat/>
    <w:rsid w:val="00E313A8"/>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E313A8"/>
    <w:pPr>
      <w:numPr>
        <w:numId w:val="4"/>
      </w:numPr>
    </w:pPr>
  </w:style>
  <w:style w:type="paragraph" w:customStyle="1" w:styleId="Numberbullet2">
    <w:name w:val="Number bullet 2"/>
    <w:basedOn w:val="ListBullet2"/>
    <w:qFormat/>
    <w:rsid w:val="00E313A8"/>
    <w:pPr>
      <w:numPr>
        <w:numId w:val="4"/>
      </w:numPr>
      <w:ind w:left="850" w:hanging="425"/>
    </w:pPr>
  </w:style>
  <w:style w:type="paragraph" w:customStyle="1" w:styleId="Numberbullet3">
    <w:name w:val="Number bullet 3"/>
    <w:basedOn w:val="ListBullet3"/>
    <w:qFormat/>
    <w:rsid w:val="00E313A8"/>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B138BE"/>
    <w:pPr>
      <w:spacing w:before="40" w:after="0"/>
      <w:ind w:left="170" w:hanging="170"/>
    </w:pPr>
    <w:rPr>
      <w:sz w:val="19"/>
    </w:rPr>
  </w:style>
  <w:style w:type="paragraph" w:styleId="Subtitle">
    <w:name w:val="Subtitle"/>
    <w:basedOn w:val="Normal"/>
    <w:next w:val="Normal"/>
    <w:link w:val="SubtitleChar"/>
    <w:uiPriority w:val="11"/>
    <w:unhideWhenUsed/>
    <w:rsid w:val="001F04D7"/>
    <w:pPr>
      <w:numPr>
        <w:ilvl w:val="1"/>
      </w:numPr>
      <w:spacing w:after="12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1F04D7"/>
    <w:rPr>
      <w:rFonts w:ascii="Arial" w:eastAsia="Times New Roman" w:hAnsi="Arial"/>
      <w:bCs/>
      <w:iCs/>
      <w:color w:val="006DA7"/>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E860E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E860E0"/>
    <w:pPr>
      <w:keepNext/>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styleId="Title">
    <w:name w:val="Title"/>
    <w:next w:val="Normal"/>
    <w:link w:val="TitleChar"/>
    <w:uiPriority w:val="10"/>
    <w:unhideWhenUsed/>
    <w:rsid w:val="009F20E4"/>
    <w:pPr>
      <w:spacing w:after="120"/>
      <w:contextualSpacing/>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9F20E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D3724"/>
    <w:pPr>
      <w:keepNext/>
      <w:keepLines/>
      <w:tabs>
        <w:tab w:val="right" w:leader="underscore" w:pos="8505"/>
      </w:tabs>
      <w:spacing w:after="200"/>
    </w:pPr>
    <w:rPr>
      <w:rFonts w:ascii="Arial" w:hAnsi="Arial"/>
      <w:b/>
    </w:rPr>
  </w:style>
  <w:style w:type="paragraph" w:styleId="TOC2">
    <w:name w:val="toc 2"/>
    <w:basedOn w:val="Normal"/>
    <w:next w:val="Normal"/>
    <w:uiPriority w:val="39"/>
    <w:unhideWhenUsed/>
    <w:rsid w:val="008D3724"/>
    <w:pPr>
      <w:keepNext/>
      <w:keepLines/>
      <w:tabs>
        <w:tab w:val="right" w:leader="underscore" w:pos="8505"/>
      </w:tabs>
      <w:spacing w:after="100"/>
      <w:ind w:left="425"/>
    </w:pPr>
  </w:style>
  <w:style w:type="paragraph" w:styleId="TOC3">
    <w:name w:val="toc 3"/>
    <w:basedOn w:val="Normal"/>
    <w:next w:val="Normal"/>
    <w:uiPriority w:val="39"/>
    <w:unhideWhenUsed/>
    <w:rsid w:val="008D3724"/>
    <w:pPr>
      <w:keepNext/>
      <w:keepLines/>
      <w:tabs>
        <w:tab w:val="right" w:leader="hyphen" w:pos="8505"/>
      </w:tabs>
      <w:spacing w:after="100"/>
      <w:ind w:left="851"/>
    </w:pPr>
    <w:rPr>
      <w:sz w:val="20"/>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B138BE"/>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unhideWhenUsed/>
    <w:rsid w:val="001525B4"/>
    <w:rPr>
      <w:vertAlign w:val="superscript"/>
    </w:rPr>
  </w:style>
  <w:style w:type="paragraph" w:customStyle="1" w:styleId="NonTOCheading2">
    <w:name w:val="Non TOC heading 2"/>
    <w:basedOn w:val="Normal"/>
    <w:next w:val="Normal"/>
    <w:rsid w:val="008D3724"/>
    <w:pPr>
      <w:keepNext/>
      <w:keepLines/>
      <w:spacing w:before="360"/>
    </w:pPr>
    <w:rPr>
      <w:rFonts w:ascii="Arial" w:hAnsi="Arial"/>
      <w:b/>
    </w:rPr>
  </w:style>
  <w:style w:type="paragraph" w:customStyle="1" w:styleId="Quotation">
    <w:name w:val="Quotation"/>
    <w:basedOn w:val="Normal"/>
    <w:next w:val="Normal"/>
    <w:uiPriority w:val="4"/>
    <w:qFormat/>
    <w:rsid w:val="00B138BE"/>
    <w:pPr>
      <w:ind w:left="425"/>
    </w:pPr>
    <w:rPr>
      <w:sz w:val="20"/>
    </w:rPr>
  </w:style>
  <w:style w:type="paragraph" w:customStyle="1" w:styleId="Tabledescription">
    <w:name w:val="Table description"/>
    <w:basedOn w:val="Figuredescription"/>
    <w:next w:val="Normal"/>
    <w:rsid w:val="00CA62E0"/>
  </w:style>
  <w:style w:type="paragraph" w:customStyle="1" w:styleId="Tabletitle">
    <w:name w:val="Table title"/>
    <w:basedOn w:val="Normal"/>
    <w:next w:val="Normal"/>
    <w:rsid w:val="00041297"/>
    <w:pPr>
      <w:keepNext/>
      <w:outlineLvl w:val="4"/>
    </w:pPr>
    <w:rPr>
      <w:b/>
    </w:rPr>
  </w:style>
  <w:style w:type="paragraph" w:styleId="TOC4">
    <w:name w:val="toc 4"/>
    <w:basedOn w:val="Normal"/>
    <w:next w:val="Normal"/>
    <w:autoRedefine/>
    <w:uiPriority w:val="39"/>
    <w:semiHidden/>
    <w:unhideWhenUsed/>
    <w:rsid w:val="00B138BE"/>
    <w:pPr>
      <w:tabs>
        <w:tab w:val="right" w:leader="hyphen" w:pos="8505"/>
      </w:tabs>
      <w:spacing w:after="100"/>
      <w:ind w:left="1276"/>
    </w:pPr>
  </w:style>
  <w:style w:type="paragraph" w:styleId="TOC5">
    <w:name w:val="toc 5"/>
    <w:basedOn w:val="Normal"/>
    <w:next w:val="Normal"/>
    <w:autoRedefine/>
    <w:uiPriority w:val="39"/>
    <w:semiHidden/>
    <w:unhideWhenUsed/>
    <w:rsid w:val="00B138BE"/>
    <w:pPr>
      <w:tabs>
        <w:tab w:val="right" w:leader="dot" w:pos="8505"/>
      </w:tabs>
      <w:spacing w:after="100"/>
      <w:ind w:left="1701"/>
    </w:pPr>
    <w:rPr>
      <w:noProof/>
    </w:rPr>
  </w:style>
  <w:style w:type="paragraph" w:styleId="TOC6">
    <w:name w:val="toc 6"/>
    <w:basedOn w:val="Normal"/>
    <w:next w:val="Normal"/>
    <w:autoRedefine/>
    <w:uiPriority w:val="39"/>
    <w:semiHidden/>
    <w:unhideWhenUsed/>
    <w:rsid w:val="00B138BE"/>
    <w:pPr>
      <w:tabs>
        <w:tab w:val="right" w:pos="8505"/>
      </w:tabs>
      <w:spacing w:after="100"/>
      <w:ind w:left="2126"/>
    </w:pPr>
  </w:style>
  <w:style w:type="paragraph" w:styleId="EndnoteText">
    <w:name w:val="endnote text"/>
    <w:basedOn w:val="FootnoteText"/>
    <w:link w:val="EndnoteTextChar"/>
    <w:semiHidden/>
    <w:unhideWhenUsed/>
    <w:rsid w:val="00732B06"/>
    <w:rPr>
      <w:rFonts w:asciiTheme="minorHAnsi" w:hAnsiTheme="minorHAnsi" w:cstheme="minorBidi"/>
      <w:szCs w:val="22"/>
    </w:rPr>
  </w:style>
  <w:style w:type="character" w:customStyle="1" w:styleId="EndnoteTextChar">
    <w:name w:val="Endnote Text Char"/>
    <w:basedOn w:val="DefaultParagraphFont"/>
    <w:link w:val="EndnoteText"/>
    <w:semiHidden/>
    <w:rsid w:val="00732B06"/>
    <w:rPr>
      <w:rFonts w:asciiTheme="minorHAnsi" w:hAnsiTheme="minorHAnsi" w:cstheme="minorBidi"/>
      <w:szCs w:val="2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D3FCE"/>
    <w:pPr>
      <w:ind w:left="720"/>
      <w:contextualSpacing/>
    </w:pPr>
  </w:style>
  <w:style w:type="character" w:customStyle="1" w:styleId="Heading8Char">
    <w:name w:val="Heading 8 Char"/>
    <w:basedOn w:val="DefaultParagraphFont"/>
    <w:link w:val="Heading8"/>
    <w:uiPriority w:val="9"/>
    <w:semiHidden/>
    <w:rsid w:val="00430AAA"/>
    <w:rPr>
      <w:rFonts w:asciiTheme="majorHAnsi" w:eastAsiaTheme="majorEastAsia" w:hAnsiTheme="majorHAnsi" w:cstheme="majorBidi"/>
      <w:color w:val="0070B5" w:themeColor="text1" w:themeTint="BF"/>
      <w:lang w:eastAsia="en-US"/>
    </w:rPr>
  </w:style>
  <w:style w:type="character" w:customStyle="1" w:styleId="Heading9Char">
    <w:name w:val="Heading 9 Char"/>
    <w:basedOn w:val="DefaultParagraphFont"/>
    <w:link w:val="Heading9"/>
    <w:uiPriority w:val="9"/>
    <w:semiHidden/>
    <w:rsid w:val="00430AAA"/>
    <w:rPr>
      <w:rFonts w:asciiTheme="majorHAnsi" w:eastAsiaTheme="majorEastAsia" w:hAnsiTheme="majorHAnsi" w:cstheme="majorBidi"/>
      <w:i/>
      <w:iCs/>
      <w:color w:val="0070B5" w:themeColor="text1" w:themeTint="BF"/>
      <w:lang w:eastAsia="en-US"/>
    </w:rPr>
  </w:style>
  <w:style w:type="character" w:styleId="CommentReference">
    <w:name w:val="annotation reference"/>
    <w:basedOn w:val="DefaultParagraphFont"/>
    <w:uiPriority w:val="99"/>
    <w:semiHidden/>
    <w:unhideWhenUsed/>
    <w:rsid w:val="00A342E4"/>
    <w:rPr>
      <w:sz w:val="16"/>
      <w:szCs w:val="16"/>
    </w:rPr>
  </w:style>
  <w:style w:type="paragraph" w:styleId="CommentText">
    <w:name w:val="annotation text"/>
    <w:basedOn w:val="Normal"/>
    <w:link w:val="CommentTextChar"/>
    <w:uiPriority w:val="99"/>
    <w:unhideWhenUsed/>
    <w:rsid w:val="00A342E4"/>
    <w:pPr>
      <w:spacing w:line="240" w:lineRule="auto"/>
    </w:pPr>
    <w:rPr>
      <w:sz w:val="20"/>
    </w:rPr>
  </w:style>
  <w:style w:type="character" w:customStyle="1" w:styleId="CommentTextChar">
    <w:name w:val="Comment Text Char"/>
    <w:basedOn w:val="DefaultParagraphFont"/>
    <w:link w:val="CommentText"/>
    <w:uiPriority w:val="99"/>
    <w:rsid w:val="00A342E4"/>
    <w:rPr>
      <w:lang w:eastAsia="en-US"/>
    </w:rPr>
  </w:style>
  <w:style w:type="paragraph" w:styleId="CommentSubject">
    <w:name w:val="annotation subject"/>
    <w:basedOn w:val="CommentText"/>
    <w:next w:val="CommentText"/>
    <w:link w:val="CommentSubjectChar"/>
    <w:uiPriority w:val="99"/>
    <w:semiHidden/>
    <w:unhideWhenUsed/>
    <w:rsid w:val="00A342E4"/>
    <w:rPr>
      <w:b/>
      <w:bCs/>
    </w:rPr>
  </w:style>
  <w:style w:type="character" w:customStyle="1" w:styleId="CommentSubjectChar">
    <w:name w:val="Comment Subject Char"/>
    <w:basedOn w:val="CommentTextChar"/>
    <w:link w:val="CommentSubject"/>
    <w:uiPriority w:val="99"/>
    <w:semiHidden/>
    <w:rsid w:val="00A342E4"/>
    <w:rPr>
      <w:b/>
      <w:bCs/>
      <w:lang w:eastAsia="en-US"/>
    </w:rPr>
  </w:style>
  <w:style w:type="table" w:styleId="LightList-Accent1">
    <w:name w:val="Light List Accent 1"/>
    <w:basedOn w:val="TableNormal"/>
    <w:uiPriority w:val="61"/>
    <w:rsid w:val="00D47415"/>
    <w:rPr>
      <w:rFonts w:asciiTheme="minorHAnsi" w:eastAsiaTheme="minorEastAsia" w:hAnsiTheme="minorHAnsi" w:cstheme="minorBidi"/>
      <w:sz w:val="22"/>
      <w:szCs w:val="22"/>
      <w:lang w:eastAsia="en-US"/>
    </w:rPr>
    <w:tblPr>
      <w:tblStyleRowBandSize w:val="1"/>
      <w:tblStyleColBandSize w:val="1"/>
      <w:tblBorders>
        <w:top w:val="single" w:sz="8" w:space="0" w:color="006EA8" w:themeColor="accent1"/>
        <w:left w:val="single" w:sz="8" w:space="0" w:color="006EA8" w:themeColor="accent1"/>
        <w:bottom w:val="single" w:sz="8" w:space="0" w:color="006EA8" w:themeColor="accent1"/>
        <w:right w:val="single" w:sz="8" w:space="0" w:color="006EA8" w:themeColor="accent1"/>
      </w:tblBorders>
    </w:tblPr>
    <w:tblStylePr w:type="firstRow">
      <w:pPr>
        <w:spacing w:before="0" w:after="0" w:line="240" w:lineRule="auto"/>
      </w:pPr>
      <w:rPr>
        <w:b/>
        <w:bCs/>
        <w:color w:val="FFFFFF" w:themeColor="background1"/>
      </w:rPr>
      <w:tblPr/>
      <w:tcPr>
        <w:shd w:val="clear" w:color="auto" w:fill="006EA8" w:themeFill="accent1"/>
      </w:tcPr>
    </w:tblStylePr>
    <w:tblStylePr w:type="lastRow">
      <w:pPr>
        <w:spacing w:before="0" w:after="0" w:line="240" w:lineRule="auto"/>
      </w:pPr>
      <w:rPr>
        <w:b/>
        <w:bCs/>
      </w:rPr>
      <w:tblPr/>
      <w:tcPr>
        <w:tcBorders>
          <w:top w:val="double" w:sz="6" w:space="0" w:color="006EA8" w:themeColor="accent1"/>
          <w:left w:val="single" w:sz="8" w:space="0" w:color="006EA8" w:themeColor="accent1"/>
          <w:bottom w:val="single" w:sz="8" w:space="0" w:color="006EA8" w:themeColor="accent1"/>
          <w:right w:val="single" w:sz="8" w:space="0" w:color="006EA8" w:themeColor="accent1"/>
        </w:tcBorders>
      </w:tcPr>
    </w:tblStylePr>
    <w:tblStylePr w:type="firstCol">
      <w:rPr>
        <w:b/>
        <w:bCs/>
      </w:rPr>
    </w:tblStylePr>
    <w:tblStylePr w:type="lastCol">
      <w:rPr>
        <w:b/>
        <w:bCs/>
      </w:rPr>
    </w:tblStylePr>
    <w:tblStylePr w:type="band1Vert">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tblStylePr w:type="band1Horz">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style>
  <w:style w:type="paragraph" w:styleId="TOC9">
    <w:name w:val="toc 9"/>
    <w:basedOn w:val="Normal"/>
    <w:next w:val="Normal"/>
    <w:autoRedefine/>
    <w:uiPriority w:val="39"/>
    <w:semiHidden/>
    <w:unhideWhenUsed/>
    <w:rsid w:val="008D3724"/>
    <w:pPr>
      <w:spacing w:after="100"/>
      <w:ind w:left="1760"/>
    </w:pPr>
  </w:style>
  <w:style w:type="paragraph" w:customStyle="1" w:styleId="TableTitle0">
    <w:name w:val="Table Title"/>
    <w:basedOn w:val="Normal"/>
    <w:next w:val="Normal"/>
    <w:qFormat/>
    <w:rsid w:val="00FA7DF1"/>
    <w:pPr>
      <w:spacing w:before="180"/>
    </w:pPr>
    <w:rPr>
      <w:b/>
    </w:rPr>
  </w:style>
  <w:style w:type="character" w:styleId="Strong">
    <w:name w:val="Strong"/>
    <w:basedOn w:val="DefaultParagraphFont"/>
    <w:uiPriority w:val="22"/>
    <w:qFormat/>
    <w:rsid w:val="00FA7DF1"/>
    <w:rPr>
      <w:b/>
      <w:bCs/>
    </w:rPr>
  </w:style>
  <w:style w:type="paragraph" w:customStyle="1" w:styleId="Default">
    <w:name w:val="Default"/>
    <w:rsid w:val="00AE6155"/>
    <w:pPr>
      <w:autoSpaceDE w:val="0"/>
      <w:autoSpaceDN w:val="0"/>
      <w:adjustRightInd w:val="0"/>
    </w:pPr>
    <w:rPr>
      <w:rFonts w:ascii="Times New Roman" w:hAnsi="Times New Roman"/>
      <w:color w:val="000000"/>
      <w:sz w:val="24"/>
      <w:szCs w:val="24"/>
    </w:rPr>
  </w:style>
  <w:style w:type="character" w:styleId="EndnoteReference">
    <w:name w:val="endnote reference"/>
    <w:basedOn w:val="DefaultParagraphFont"/>
    <w:uiPriority w:val="99"/>
    <w:semiHidden/>
    <w:unhideWhenUsed/>
    <w:rsid w:val="00871E49"/>
    <w:rPr>
      <w:vertAlign w:val="superscript"/>
    </w:rPr>
  </w:style>
  <w:style w:type="character" w:customStyle="1" w:styleId="fontstyle01">
    <w:name w:val="fontstyle01"/>
    <w:basedOn w:val="DefaultParagraphFont"/>
    <w:rsid w:val="002B3304"/>
    <w:rPr>
      <w:rFonts w:ascii="Cambria" w:hAnsi="Cambria" w:hint="default"/>
      <w:b w:val="0"/>
      <w:bCs w:val="0"/>
      <w:i w:val="0"/>
      <w:iCs w:val="0"/>
      <w:color w:val="000000"/>
      <w:sz w:val="22"/>
      <w:szCs w:val="22"/>
    </w:rPr>
  </w:style>
  <w:style w:type="character" w:customStyle="1" w:styleId="fontstyle21">
    <w:name w:val="fontstyle21"/>
    <w:basedOn w:val="DefaultParagraphFont"/>
    <w:rsid w:val="002B3304"/>
    <w:rPr>
      <w:rFonts w:ascii="Cambria-Bold" w:hAnsi="Cambria-Bold" w:hint="default"/>
      <w:b/>
      <w:bCs/>
      <w:i w:val="0"/>
      <w:iCs w:val="0"/>
      <w:color w:val="000000"/>
      <w:sz w:val="22"/>
      <w:szCs w:val="22"/>
    </w:rPr>
  </w:style>
  <w:style w:type="paragraph" w:styleId="Revision">
    <w:name w:val="Revision"/>
    <w:hidden/>
    <w:uiPriority w:val="99"/>
    <w:semiHidden/>
    <w:rsid w:val="002C48BF"/>
    <w:rPr>
      <w:sz w:val="22"/>
      <w:lang w:eastAsia="en-US"/>
    </w:rPr>
  </w:style>
  <w:style w:type="paragraph" w:customStyle="1" w:styleId="ListBulleta">
    <w:name w:val="List Bullet a)"/>
    <w:basedOn w:val="ListBullet"/>
    <w:uiPriority w:val="1"/>
    <w:qFormat/>
    <w:rsid w:val="005302F5"/>
    <w:pPr>
      <w:numPr>
        <w:numId w:val="16"/>
      </w:numPr>
    </w:pPr>
  </w:style>
  <w:style w:type="paragraph" w:customStyle="1" w:styleId="ListBulleti">
    <w:name w:val="List Bullet i)"/>
    <w:basedOn w:val="ListBullet"/>
    <w:uiPriority w:val="1"/>
    <w:qFormat/>
    <w:rsid w:val="005302F5"/>
    <w:pPr>
      <w:numPr>
        <w:numId w:val="17"/>
      </w:numPr>
    </w:pPr>
  </w:style>
  <w:style w:type="character" w:customStyle="1" w:styleId="Style1">
    <w:name w:val="Style1"/>
    <w:basedOn w:val="DefaultParagraphFont"/>
    <w:uiPriority w:val="1"/>
    <w:rsid w:val="005A5916"/>
    <w:rPr>
      <w:rFonts w:ascii="Cambria" w:hAnsi="Cambria"/>
      <w:sz w:val="22"/>
    </w:rPr>
  </w:style>
  <w:style w:type="paragraph" w:styleId="NormalWeb">
    <w:name w:val="Normal (Web)"/>
    <w:basedOn w:val="Normal"/>
    <w:uiPriority w:val="99"/>
    <w:semiHidden/>
    <w:unhideWhenUsed/>
    <w:rsid w:val="004B545E"/>
    <w:pPr>
      <w:spacing w:before="100" w:beforeAutospacing="1" w:after="100" w:afterAutospacing="1" w:line="240" w:lineRule="auto"/>
    </w:pPr>
    <w:rPr>
      <w:rFonts w:ascii="Times New Roman" w:eastAsia="Times New Roman" w:hAnsi="Times New Roman"/>
      <w:sz w:val="24"/>
      <w:szCs w:val="24"/>
      <w:lang w:eastAsia="en-AU"/>
    </w:rPr>
  </w:style>
  <w:style w:type="table" w:customStyle="1" w:styleId="TableTGAblue1">
    <w:name w:val="Table TGA blue1"/>
    <w:basedOn w:val="TableNormal"/>
    <w:uiPriority w:val="99"/>
    <w:qFormat/>
    <w:rsid w:val="00967416"/>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Numberbullet2a">
    <w:name w:val="Number bullet 2 a)"/>
    <w:basedOn w:val="Normal"/>
    <w:uiPriority w:val="1"/>
    <w:qFormat/>
    <w:rsid w:val="005E319B"/>
    <w:pPr>
      <w:numPr>
        <w:numId w:val="45"/>
      </w:numPr>
    </w:pPr>
    <w:rPr>
      <w:rFonts w:asciiTheme="minorHAnsi" w:hAnsiTheme="minorHAnsi" w:cstheme="minorHAnsi"/>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5E319B"/>
    <w:rPr>
      <w:sz w:val="22"/>
      <w:lang w:eastAsia="en-US"/>
    </w:rPr>
  </w:style>
  <w:style w:type="character" w:styleId="UnresolvedMention">
    <w:name w:val="Unresolved Mention"/>
    <w:basedOn w:val="DefaultParagraphFont"/>
    <w:uiPriority w:val="99"/>
    <w:semiHidden/>
    <w:unhideWhenUsed/>
    <w:rsid w:val="00FD1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scheduling-submission/public-submissions-scheduling-matters-referred-acms-31-and-joint-acms-accs-25-meetings-held-june-2020" TargetMode="External"/><Relationship Id="rId18" Type="http://schemas.openxmlformats.org/officeDocument/2006/relationships/hyperlink" Target="https://www.tga.gov.au/scheduling-decision-interim/notice-interim-decisions-proposed-amendments-poisons-standard-joint-acms-accs-25-june-202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tga.gov.au/consultation-invitation/consultation-proposed-amendments-poisons-standard-acms-and-joint-acmsaccs-meetings-june-2020" TargetMode="External"/><Relationship Id="rId17" Type="http://schemas.openxmlformats.org/officeDocument/2006/relationships/hyperlink" Target="https://www.tga.gov.au/publication/scheduling-handbook-guidance-amending-poisons-standard" TargetMode="External"/><Relationship Id="rId2" Type="http://schemas.openxmlformats.org/officeDocument/2006/relationships/numbering" Target="numbering.xml"/><Relationship Id="rId16" Type="http://schemas.openxmlformats.org/officeDocument/2006/relationships/hyperlink" Target="https://www.tga.gov.au/publication/ahmac-scheduling-policy-framework-medicines-and-chemica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copyright@tga.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ga.gov.au/scheduling-decision-interim/notice-interim-decisions-proposed-amendments-poisons-standard-joint-acms-accs-25-june-2020"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nsultations.tga.gov.au/tga/june_2020_acms_accs_isothiazolinone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mic\AppData\Local\Hewlett-Packard\HP%20TRIM\TEMP\HPTRIM.7372\R14%201178772%20%20Template%20%23011%20-%20Minutes%20-%20ACMS.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53532-0F79-47E1-9479-D7FCFD6C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R14 1178772  Template #011 - Minutes - ACMS.DOTX</Template>
  <TotalTime>268</TotalTime>
  <Pages>5</Pages>
  <Words>819</Words>
  <Characters>4510</Characters>
  <Application>Microsoft Office Word</Application>
  <DocSecurity>0</DocSecurity>
  <Lines>86</Lines>
  <Paragraphs>42</Paragraphs>
  <ScaleCrop>false</ScaleCrop>
  <HeadingPairs>
    <vt:vector size="2" baseType="variant">
      <vt:variant>
        <vt:lpstr>Title</vt:lpstr>
      </vt:variant>
      <vt:variant>
        <vt:i4>1</vt:i4>
      </vt:variant>
    </vt:vector>
  </HeadingPairs>
  <TitlesOfParts>
    <vt:vector size="1" baseType="lpstr">
      <vt:lpstr>Notice of final decision to amend (or not amend) the current Poisons Standard in relation to isothiazolinones, methylisothiazolinone and methylchloroisothiazolinone</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decision to amend (or not amend) the current Poisons Standard in relation to isothiazolinones, methylisothiazolinone and methylchloroisothiazolinone</dc:title>
  <dc:creator>Therapeutic Goods Administration</dc:creator>
  <dc:description/>
  <cp:lastModifiedBy>PITKIN, Brendan</cp:lastModifiedBy>
  <cp:revision>18</cp:revision>
  <cp:lastPrinted>2020-05-01T05:17:00Z</cp:lastPrinted>
  <dcterms:created xsi:type="dcterms:W3CDTF">2022-03-08T02:37:00Z</dcterms:created>
  <dcterms:modified xsi:type="dcterms:W3CDTF">2022-05-23T03:50:00Z</dcterms:modified>
</cp:coreProperties>
</file>