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30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25660C" w14:paraId="487E857D" w14:textId="77777777" w:rsidTr="00904E42">
        <w:tc>
          <w:tcPr>
            <w:tcW w:w="8720" w:type="dxa"/>
          </w:tcPr>
          <w:p w14:paraId="158C7559" w14:textId="572D96F3" w:rsidR="0025660C" w:rsidRPr="00077548" w:rsidRDefault="00BD05E9" w:rsidP="00904E42">
            <w:pPr>
              <w:pStyle w:val="Title"/>
            </w:pPr>
            <w:r>
              <w:t>Noti</w:t>
            </w:r>
            <w:r w:rsidR="00CC66CA">
              <w:t>c</w:t>
            </w:r>
            <w:r w:rsidR="00835392">
              <w:t>e</w:t>
            </w:r>
            <w:r w:rsidRPr="00597B50">
              <w:t xml:space="preserve"> </w:t>
            </w:r>
            <w:r w:rsidR="00597B50" w:rsidRPr="00597B50">
              <w:t xml:space="preserve">of </w:t>
            </w:r>
            <w:r w:rsidR="00842746">
              <w:t>amendments</w:t>
            </w:r>
            <w:r w:rsidR="00AD2969">
              <w:t xml:space="preserve"> </w:t>
            </w:r>
            <w:r w:rsidR="00842746">
              <w:t xml:space="preserve">to the </w:t>
            </w:r>
            <w:r w:rsidR="00597B50" w:rsidRPr="00597B50">
              <w:t>Poisons Standard</w:t>
            </w:r>
            <w:r w:rsidR="00AD2969">
              <w:t xml:space="preserve"> in relatio</w:t>
            </w:r>
            <w:r w:rsidR="00B37BA4">
              <w:t xml:space="preserve">n to </w:t>
            </w:r>
            <w:r w:rsidR="005607E0">
              <w:t xml:space="preserve">New Chemical Entities (NCEs) and </w:t>
            </w:r>
            <w:r w:rsidR="0075678F">
              <w:t xml:space="preserve">Delegate-only </w:t>
            </w:r>
            <w:r w:rsidR="006A70C4">
              <w:t>decisions</w:t>
            </w:r>
          </w:p>
        </w:tc>
      </w:tr>
      <w:tr w:rsidR="0025660C" w14:paraId="3393FE2A" w14:textId="77777777" w:rsidTr="00904E42">
        <w:trPr>
          <w:trHeight w:val="810"/>
        </w:trPr>
        <w:tc>
          <w:tcPr>
            <w:tcW w:w="8720" w:type="dxa"/>
          </w:tcPr>
          <w:p w14:paraId="38D3E20E" w14:textId="3D2E176C" w:rsidR="0025660C" w:rsidRPr="00077548" w:rsidRDefault="005254B4" w:rsidP="00904E42">
            <w:pPr>
              <w:pStyle w:val="Subtitle"/>
              <w:tabs>
                <w:tab w:val="left" w:pos="5310"/>
              </w:tabs>
              <w:ind w:left="0"/>
            </w:pPr>
            <w:r w:rsidRPr="005254B4">
              <w:t>13</w:t>
            </w:r>
            <w:r w:rsidR="006A70C4" w:rsidRPr="005254B4">
              <w:t xml:space="preserve"> </w:t>
            </w:r>
            <w:r w:rsidR="00F67A84" w:rsidRPr="005254B4">
              <w:t>April</w:t>
            </w:r>
            <w:r w:rsidR="00F67A84" w:rsidRPr="00032875">
              <w:t xml:space="preserve"> </w:t>
            </w:r>
            <w:r w:rsidR="006A70C4" w:rsidRPr="00032875">
              <w:t>202</w:t>
            </w:r>
            <w:r w:rsidR="00D14B89" w:rsidRPr="00032875">
              <w:t>2</w:t>
            </w:r>
            <w:r w:rsidR="00693E59">
              <w:t xml:space="preserve"> </w:t>
            </w:r>
          </w:p>
        </w:tc>
      </w:tr>
    </w:tbl>
    <w:p w14:paraId="6D852DDD" w14:textId="3F8D50F0" w:rsidR="0025660C" w:rsidRDefault="0025660C" w:rsidP="0025660C">
      <w:pPr>
        <w:sectPr w:rsidR="0025660C" w:rsidSect="00E57B71">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361" w:left="1418" w:header="851" w:footer="768" w:gutter="0"/>
          <w:cols w:space="708"/>
          <w:titlePg/>
          <w:docGrid w:linePitch="360"/>
        </w:sectPr>
      </w:pPr>
    </w:p>
    <w:p w14:paraId="30F6686F" w14:textId="02FB7BF9" w:rsidR="007907BF" w:rsidRPr="005D4EA1" w:rsidRDefault="007907BF" w:rsidP="007907BF">
      <w:pPr>
        <w:pStyle w:val="LegalSubheading"/>
        <w:pageBreakBefore/>
      </w:pPr>
      <w:r w:rsidRPr="00691723">
        <w:lastRenderedPageBreak/>
        <w:t>Copyright</w:t>
      </w:r>
    </w:p>
    <w:p w14:paraId="781131BA" w14:textId="644316A6" w:rsidR="007907BF" w:rsidRDefault="007907BF" w:rsidP="007907BF">
      <w:pPr>
        <w:pStyle w:val="LegalCopy"/>
      </w:pPr>
      <w:r w:rsidRPr="009401F6">
        <w:t>© Commonwealth of Australia 20</w:t>
      </w:r>
      <w:r w:rsidR="0075678F">
        <w:t>2</w:t>
      </w:r>
      <w:r w:rsidR="00AE0AF7">
        <w:t>2</w:t>
      </w:r>
      <w:r w:rsidRPr="009401F6">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9401F6">
        <w:rPr>
          <w:i/>
        </w:rPr>
        <w:t>Copyright Act 1968</w:t>
      </w:r>
      <w:r w:rsidRPr="009401F6">
        <w:t xml:space="preserve"> or allowed by this copyright notice, all other rights are </w:t>
      </w:r>
      <w:proofErr w:type="gramStart"/>
      <w:r w:rsidRPr="009401F6">
        <w:t>reserved</w:t>
      </w:r>
      <w:proofErr w:type="gramEnd"/>
      <w:r w:rsidRPr="009401F6">
        <w:t xml:space="preserve">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4" w:history="1">
        <w:r w:rsidRPr="009401F6">
          <w:rPr>
            <w:rStyle w:val="Hyperlink"/>
            <w:rFonts w:cs="Arial"/>
          </w:rPr>
          <w:t>tga.copyright@tga.gov.au</w:t>
        </w:r>
      </w:hyperlink>
      <w:r w:rsidRPr="009401F6">
        <w:t>&gt;</w:t>
      </w:r>
    </w:p>
    <w:p w14:paraId="48F61410" w14:textId="7C7C2441" w:rsidR="0025660C" w:rsidRPr="00766888" w:rsidRDefault="0025660C" w:rsidP="00ED6B23">
      <w:pPr>
        <w:pStyle w:val="LegalCopy"/>
        <w:tabs>
          <w:tab w:val="clear" w:pos="4513"/>
          <w:tab w:val="clear" w:pos="9026"/>
          <w:tab w:val="left" w:pos="2027"/>
        </w:tabs>
        <w:spacing w:before="12000"/>
      </w:pPr>
    </w:p>
    <w:bookmarkStart w:id="0" w:name="_Toc323740418" w:displacedByCustomXml="next"/>
    <w:bookmarkStart w:id="1" w:name="_Toc328388475" w:displacedByCustomXml="next"/>
    <w:bookmarkStart w:id="2" w:name="_Toc323740419" w:displacedByCustomXml="next"/>
    <w:sdt>
      <w:sdtPr>
        <w:rPr>
          <w:rFonts w:ascii="Arial" w:hAnsi="Arial"/>
          <w:b/>
          <w:sz w:val="20"/>
        </w:rPr>
        <w:id w:val="21514559"/>
        <w:docPartObj>
          <w:docPartGallery w:val="Table of Contents"/>
          <w:docPartUnique/>
        </w:docPartObj>
      </w:sdtPr>
      <w:sdtEndPr>
        <w:rPr>
          <w:rFonts w:ascii="Cambria" w:hAnsi="Cambria"/>
          <w:b w:val="0"/>
        </w:rPr>
      </w:sdtEndPr>
      <w:sdtContent>
        <w:p w14:paraId="79997605" w14:textId="77777777" w:rsidR="00441972" w:rsidRPr="00327070" w:rsidRDefault="0025660C">
          <w:pPr>
            <w:pStyle w:val="TOC2"/>
            <w:tabs>
              <w:tab w:val="left" w:pos="851"/>
            </w:tabs>
            <w:rPr>
              <w:rFonts w:ascii="Calibri" w:hAnsi="Calibri" w:cs="Calibri"/>
              <w:sz w:val="28"/>
              <w:szCs w:val="28"/>
            </w:rPr>
          </w:pPr>
          <w:r w:rsidRPr="00327070">
            <w:rPr>
              <w:rFonts w:ascii="Calibri" w:hAnsi="Calibri" w:cs="Calibri"/>
              <w:sz w:val="28"/>
              <w:szCs w:val="28"/>
            </w:rPr>
            <w:t>Contents</w:t>
          </w:r>
        </w:p>
        <w:p w14:paraId="3A860B04" w14:textId="36650C28" w:rsidR="00F27DE1" w:rsidRDefault="008D3724">
          <w:pPr>
            <w:pStyle w:val="TOC2"/>
            <w:tabs>
              <w:tab w:val="left" w:pos="851"/>
            </w:tabs>
            <w:rPr>
              <w:rFonts w:asciiTheme="minorHAnsi" w:eastAsiaTheme="minorEastAsia" w:hAnsiTheme="minorHAnsi" w:cstheme="minorBidi"/>
              <w:noProof/>
              <w:szCs w:val="22"/>
              <w:lang w:eastAsia="en-AU"/>
            </w:rPr>
          </w:pPr>
          <w:r w:rsidRPr="0063416E">
            <w:rPr>
              <w:rFonts w:asciiTheme="minorHAnsi" w:hAnsiTheme="minorHAnsi"/>
              <w:sz w:val="24"/>
              <w:szCs w:val="24"/>
            </w:rPr>
            <w:fldChar w:fldCharType="begin"/>
          </w:r>
          <w:r w:rsidRPr="0063416E">
            <w:rPr>
              <w:rFonts w:asciiTheme="minorHAnsi" w:hAnsiTheme="minorHAnsi"/>
              <w:sz w:val="24"/>
              <w:szCs w:val="24"/>
            </w:rPr>
            <w:instrText xml:space="preserve"> TOC \o "1-3" \h \z \u </w:instrText>
          </w:r>
          <w:r w:rsidRPr="0063416E">
            <w:rPr>
              <w:rFonts w:asciiTheme="minorHAnsi" w:hAnsiTheme="minorHAnsi"/>
              <w:sz w:val="24"/>
              <w:szCs w:val="24"/>
            </w:rPr>
            <w:fldChar w:fldCharType="separate"/>
          </w:r>
          <w:hyperlink w:anchor="_Toc100620698" w:history="1">
            <w:r w:rsidR="00F27DE1" w:rsidRPr="00071884">
              <w:rPr>
                <w:rStyle w:val="Hyperlink"/>
                <w:noProof/>
              </w:rPr>
              <w:t>1</w:t>
            </w:r>
            <w:r w:rsidR="00F27DE1">
              <w:rPr>
                <w:rFonts w:asciiTheme="minorHAnsi" w:eastAsiaTheme="minorEastAsia" w:hAnsiTheme="minorHAnsi" w:cstheme="minorBidi"/>
                <w:noProof/>
                <w:szCs w:val="22"/>
                <w:lang w:eastAsia="en-AU"/>
              </w:rPr>
              <w:tab/>
            </w:r>
            <w:r w:rsidR="00F27DE1" w:rsidRPr="00071884">
              <w:rPr>
                <w:rStyle w:val="Hyperlink"/>
                <w:noProof/>
              </w:rPr>
              <w:t>Notice of Decisions to amend the current Poisons Standard</w:t>
            </w:r>
            <w:r w:rsidR="00F27DE1">
              <w:rPr>
                <w:noProof/>
                <w:webHidden/>
              </w:rPr>
              <w:tab/>
            </w:r>
            <w:r w:rsidR="00F27DE1">
              <w:rPr>
                <w:noProof/>
                <w:webHidden/>
              </w:rPr>
              <w:fldChar w:fldCharType="begin"/>
            </w:r>
            <w:r w:rsidR="00F27DE1">
              <w:rPr>
                <w:noProof/>
                <w:webHidden/>
              </w:rPr>
              <w:instrText xml:space="preserve"> PAGEREF _Toc100620698 \h </w:instrText>
            </w:r>
            <w:r w:rsidR="00F27DE1">
              <w:rPr>
                <w:noProof/>
                <w:webHidden/>
              </w:rPr>
            </w:r>
            <w:r w:rsidR="00F27DE1">
              <w:rPr>
                <w:noProof/>
                <w:webHidden/>
              </w:rPr>
              <w:fldChar w:fldCharType="separate"/>
            </w:r>
            <w:r w:rsidR="00F27DE1">
              <w:rPr>
                <w:noProof/>
                <w:webHidden/>
              </w:rPr>
              <w:t>4</w:t>
            </w:r>
            <w:r w:rsidR="00F27DE1">
              <w:rPr>
                <w:noProof/>
                <w:webHidden/>
              </w:rPr>
              <w:fldChar w:fldCharType="end"/>
            </w:r>
          </w:hyperlink>
        </w:p>
        <w:p w14:paraId="4361609C" w14:textId="4B065103" w:rsidR="00F27DE1" w:rsidRDefault="00AD4E50">
          <w:pPr>
            <w:pStyle w:val="TOC2"/>
            <w:tabs>
              <w:tab w:val="left" w:pos="851"/>
            </w:tabs>
            <w:rPr>
              <w:rFonts w:asciiTheme="minorHAnsi" w:eastAsiaTheme="minorEastAsia" w:hAnsiTheme="minorHAnsi" w:cstheme="minorBidi"/>
              <w:noProof/>
              <w:szCs w:val="22"/>
              <w:lang w:eastAsia="en-AU"/>
            </w:rPr>
          </w:pPr>
          <w:hyperlink w:anchor="_Toc100620699" w:history="1">
            <w:r w:rsidR="00F27DE1" w:rsidRPr="00071884">
              <w:rPr>
                <w:rStyle w:val="Hyperlink"/>
                <w:noProof/>
              </w:rPr>
              <w:t>2</w:t>
            </w:r>
            <w:r w:rsidR="00F27DE1">
              <w:rPr>
                <w:rFonts w:asciiTheme="minorHAnsi" w:eastAsiaTheme="minorEastAsia" w:hAnsiTheme="minorHAnsi" w:cstheme="minorBidi"/>
                <w:noProof/>
                <w:szCs w:val="22"/>
                <w:lang w:eastAsia="en-AU"/>
              </w:rPr>
              <w:tab/>
            </w:r>
            <w:r w:rsidR="00F27DE1" w:rsidRPr="00071884">
              <w:rPr>
                <w:rStyle w:val="Hyperlink"/>
                <w:noProof/>
              </w:rPr>
              <w:t>Amendments to the Poison Standard in relation to New Chemical Entities (NCEs)</w:t>
            </w:r>
            <w:r w:rsidR="00F27DE1">
              <w:rPr>
                <w:noProof/>
                <w:webHidden/>
              </w:rPr>
              <w:tab/>
            </w:r>
            <w:r w:rsidR="00F27DE1">
              <w:rPr>
                <w:noProof/>
                <w:webHidden/>
              </w:rPr>
              <w:fldChar w:fldCharType="begin"/>
            </w:r>
            <w:r w:rsidR="00F27DE1">
              <w:rPr>
                <w:noProof/>
                <w:webHidden/>
              </w:rPr>
              <w:instrText xml:space="preserve"> PAGEREF _Toc100620699 \h </w:instrText>
            </w:r>
            <w:r w:rsidR="00F27DE1">
              <w:rPr>
                <w:noProof/>
                <w:webHidden/>
              </w:rPr>
            </w:r>
            <w:r w:rsidR="00F27DE1">
              <w:rPr>
                <w:noProof/>
                <w:webHidden/>
              </w:rPr>
              <w:fldChar w:fldCharType="separate"/>
            </w:r>
            <w:r w:rsidR="00F27DE1">
              <w:rPr>
                <w:noProof/>
                <w:webHidden/>
              </w:rPr>
              <w:t>4</w:t>
            </w:r>
            <w:r w:rsidR="00F27DE1">
              <w:rPr>
                <w:noProof/>
                <w:webHidden/>
              </w:rPr>
              <w:fldChar w:fldCharType="end"/>
            </w:r>
          </w:hyperlink>
        </w:p>
        <w:p w14:paraId="09C41771" w14:textId="211EF176" w:rsidR="00F27DE1" w:rsidRDefault="00AD4E50">
          <w:pPr>
            <w:pStyle w:val="TOC3"/>
            <w:rPr>
              <w:rFonts w:asciiTheme="minorHAnsi" w:eastAsiaTheme="minorEastAsia" w:hAnsiTheme="minorHAnsi" w:cstheme="minorBidi"/>
              <w:noProof/>
              <w:sz w:val="22"/>
              <w:szCs w:val="22"/>
              <w:lang w:eastAsia="en-AU"/>
            </w:rPr>
          </w:pPr>
          <w:hyperlink w:anchor="_Toc100620700" w:history="1">
            <w:r w:rsidR="00F27DE1" w:rsidRPr="00071884">
              <w:rPr>
                <w:rStyle w:val="Hyperlink"/>
                <w:noProof/>
              </w:rPr>
              <w:t>2.1   Belzutifan</w:t>
            </w:r>
            <w:r w:rsidR="00F27DE1">
              <w:rPr>
                <w:noProof/>
                <w:webHidden/>
              </w:rPr>
              <w:tab/>
            </w:r>
            <w:r w:rsidR="00F27DE1">
              <w:rPr>
                <w:noProof/>
                <w:webHidden/>
              </w:rPr>
              <w:fldChar w:fldCharType="begin"/>
            </w:r>
            <w:r w:rsidR="00F27DE1">
              <w:rPr>
                <w:noProof/>
                <w:webHidden/>
              </w:rPr>
              <w:instrText xml:space="preserve"> PAGEREF _Toc100620700 \h </w:instrText>
            </w:r>
            <w:r w:rsidR="00F27DE1">
              <w:rPr>
                <w:noProof/>
                <w:webHidden/>
              </w:rPr>
            </w:r>
            <w:r w:rsidR="00F27DE1">
              <w:rPr>
                <w:noProof/>
                <w:webHidden/>
              </w:rPr>
              <w:fldChar w:fldCharType="separate"/>
            </w:r>
            <w:r w:rsidR="00F27DE1">
              <w:rPr>
                <w:noProof/>
                <w:webHidden/>
              </w:rPr>
              <w:t>4</w:t>
            </w:r>
            <w:r w:rsidR="00F27DE1">
              <w:rPr>
                <w:noProof/>
                <w:webHidden/>
              </w:rPr>
              <w:fldChar w:fldCharType="end"/>
            </w:r>
          </w:hyperlink>
        </w:p>
        <w:p w14:paraId="42C40A90" w14:textId="4C242245" w:rsidR="00F27DE1" w:rsidRDefault="00AD4E50">
          <w:pPr>
            <w:pStyle w:val="TOC3"/>
            <w:rPr>
              <w:rFonts w:asciiTheme="minorHAnsi" w:eastAsiaTheme="minorEastAsia" w:hAnsiTheme="minorHAnsi" w:cstheme="minorBidi"/>
              <w:noProof/>
              <w:sz w:val="22"/>
              <w:szCs w:val="22"/>
              <w:lang w:eastAsia="en-AU"/>
            </w:rPr>
          </w:pPr>
          <w:hyperlink w:anchor="_Toc100620701" w:history="1">
            <w:r w:rsidR="00F27DE1" w:rsidRPr="00071884">
              <w:rPr>
                <w:rStyle w:val="Hyperlink"/>
                <w:noProof/>
              </w:rPr>
              <w:t>2.2   Diroximel fumarate</w:t>
            </w:r>
            <w:r w:rsidR="00F27DE1">
              <w:rPr>
                <w:noProof/>
                <w:webHidden/>
              </w:rPr>
              <w:tab/>
            </w:r>
            <w:r w:rsidR="00F27DE1">
              <w:rPr>
                <w:noProof/>
                <w:webHidden/>
              </w:rPr>
              <w:fldChar w:fldCharType="begin"/>
            </w:r>
            <w:r w:rsidR="00F27DE1">
              <w:rPr>
                <w:noProof/>
                <w:webHidden/>
              </w:rPr>
              <w:instrText xml:space="preserve"> PAGEREF _Toc100620701 \h </w:instrText>
            </w:r>
            <w:r w:rsidR="00F27DE1">
              <w:rPr>
                <w:noProof/>
                <w:webHidden/>
              </w:rPr>
            </w:r>
            <w:r w:rsidR="00F27DE1">
              <w:rPr>
                <w:noProof/>
                <w:webHidden/>
              </w:rPr>
              <w:fldChar w:fldCharType="separate"/>
            </w:r>
            <w:r w:rsidR="00F27DE1">
              <w:rPr>
                <w:noProof/>
                <w:webHidden/>
              </w:rPr>
              <w:t>4</w:t>
            </w:r>
            <w:r w:rsidR="00F27DE1">
              <w:rPr>
                <w:noProof/>
                <w:webHidden/>
              </w:rPr>
              <w:fldChar w:fldCharType="end"/>
            </w:r>
          </w:hyperlink>
        </w:p>
        <w:p w14:paraId="75D61F36" w14:textId="668A3B76" w:rsidR="00F27DE1" w:rsidRDefault="00AD4E50">
          <w:pPr>
            <w:pStyle w:val="TOC3"/>
            <w:rPr>
              <w:rFonts w:asciiTheme="minorHAnsi" w:eastAsiaTheme="minorEastAsia" w:hAnsiTheme="minorHAnsi" w:cstheme="minorBidi"/>
              <w:noProof/>
              <w:sz w:val="22"/>
              <w:szCs w:val="22"/>
              <w:lang w:eastAsia="en-AU"/>
            </w:rPr>
          </w:pPr>
          <w:hyperlink w:anchor="_Toc100620702" w:history="1">
            <w:r w:rsidR="00F27DE1" w:rsidRPr="00071884">
              <w:rPr>
                <w:rStyle w:val="Hyperlink"/>
                <w:noProof/>
              </w:rPr>
              <w:t>2.3   Enfortumab vedotin</w:t>
            </w:r>
            <w:r w:rsidR="00F27DE1">
              <w:rPr>
                <w:noProof/>
                <w:webHidden/>
              </w:rPr>
              <w:tab/>
            </w:r>
            <w:r w:rsidR="00F27DE1">
              <w:rPr>
                <w:noProof/>
                <w:webHidden/>
              </w:rPr>
              <w:fldChar w:fldCharType="begin"/>
            </w:r>
            <w:r w:rsidR="00F27DE1">
              <w:rPr>
                <w:noProof/>
                <w:webHidden/>
              </w:rPr>
              <w:instrText xml:space="preserve"> PAGEREF _Toc100620702 \h </w:instrText>
            </w:r>
            <w:r w:rsidR="00F27DE1">
              <w:rPr>
                <w:noProof/>
                <w:webHidden/>
              </w:rPr>
            </w:r>
            <w:r w:rsidR="00F27DE1">
              <w:rPr>
                <w:noProof/>
                <w:webHidden/>
              </w:rPr>
              <w:fldChar w:fldCharType="separate"/>
            </w:r>
            <w:r w:rsidR="00F27DE1">
              <w:rPr>
                <w:noProof/>
                <w:webHidden/>
              </w:rPr>
              <w:t>4</w:t>
            </w:r>
            <w:r w:rsidR="00F27DE1">
              <w:rPr>
                <w:noProof/>
                <w:webHidden/>
              </w:rPr>
              <w:fldChar w:fldCharType="end"/>
            </w:r>
          </w:hyperlink>
        </w:p>
        <w:p w14:paraId="32783FD9" w14:textId="00A4E44E" w:rsidR="00F27DE1" w:rsidRDefault="00AD4E50">
          <w:pPr>
            <w:pStyle w:val="TOC3"/>
            <w:rPr>
              <w:rFonts w:asciiTheme="minorHAnsi" w:eastAsiaTheme="minorEastAsia" w:hAnsiTheme="minorHAnsi" w:cstheme="minorBidi"/>
              <w:noProof/>
              <w:sz w:val="22"/>
              <w:szCs w:val="22"/>
              <w:lang w:eastAsia="en-AU"/>
            </w:rPr>
          </w:pPr>
          <w:hyperlink w:anchor="_Toc100620703" w:history="1">
            <w:r w:rsidR="00F27DE1" w:rsidRPr="00071884">
              <w:rPr>
                <w:rStyle w:val="Hyperlink"/>
                <w:noProof/>
              </w:rPr>
              <w:t>2.4   Lurbinectedin</w:t>
            </w:r>
            <w:r w:rsidR="00F27DE1">
              <w:rPr>
                <w:noProof/>
                <w:webHidden/>
              </w:rPr>
              <w:tab/>
            </w:r>
            <w:r w:rsidR="00F27DE1">
              <w:rPr>
                <w:noProof/>
                <w:webHidden/>
              </w:rPr>
              <w:fldChar w:fldCharType="begin"/>
            </w:r>
            <w:r w:rsidR="00F27DE1">
              <w:rPr>
                <w:noProof/>
                <w:webHidden/>
              </w:rPr>
              <w:instrText xml:space="preserve"> PAGEREF _Toc100620703 \h </w:instrText>
            </w:r>
            <w:r w:rsidR="00F27DE1">
              <w:rPr>
                <w:noProof/>
                <w:webHidden/>
              </w:rPr>
            </w:r>
            <w:r w:rsidR="00F27DE1">
              <w:rPr>
                <w:noProof/>
                <w:webHidden/>
              </w:rPr>
              <w:fldChar w:fldCharType="separate"/>
            </w:r>
            <w:r w:rsidR="00F27DE1">
              <w:rPr>
                <w:noProof/>
                <w:webHidden/>
              </w:rPr>
              <w:t>5</w:t>
            </w:r>
            <w:r w:rsidR="00F27DE1">
              <w:rPr>
                <w:noProof/>
                <w:webHidden/>
              </w:rPr>
              <w:fldChar w:fldCharType="end"/>
            </w:r>
          </w:hyperlink>
        </w:p>
        <w:p w14:paraId="4A362A98" w14:textId="27BB8C48" w:rsidR="00F27DE1" w:rsidRDefault="00AD4E50">
          <w:pPr>
            <w:pStyle w:val="TOC3"/>
            <w:rPr>
              <w:rFonts w:asciiTheme="minorHAnsi" w:eastAsiaTheme="minorEastAsia" w:hAnsiTheme="minorHAnsi" w:cstheme="minorBidi"/>
              <w:noProof/>
              <w:sz w:val="22"/>
              <w:szCs w:val="22"/>
              <w:lang w:eastAsia="en-AU"/>
            </w:rPr>
          </w:pPr>
          <w:hyperlink w:anchor="_Toc100620704" w:history="1">
            <w:r w:rsidR="00F27DE1" w:rsidRPr="00071884">
              <w:rPr>
                <w:rStyle w:val="Hyperlink"/>
                <w:noProof/>
              </w:rPr>
              <w:t>2.5   Mavacamten</w:t>
            </w:r>
            <w:r w:rsidR="00F27DE1">
              <w:rPr>
                <w:noProof/>
                <w:webHidden/>
              </w:rPr>
              <w:tab/>
            </w:r>
            <w:r w:rsidR="00F27DE1">
              <w:rPr>
                <w:noProof/>
                <w:webHidden/>
              </w:rPr>
              <w:fldChar w:fldCharType="begin"/>
            </w:r>
            <w:r w:rsidR="00F27DE1">
              <w:rPr>
                <w:noProof/>
                <w:webHidden/>
              </w:rPr>
              <w:instrText xml:space="preserve"> PAGEREF _Toc100620704 \h </w:instrText>
            </w:r>
            <w:r w:rsidR="00F27DE1">
              <w:rPr>
                <w:noProof/>
                <w:webHidden/>
              </w:rPr>
            </w:r>
            <w:r w:rsidR="00F27DE1">
              <w:rPr>
                <w:noProof/>
                <w:webHidden/>
              </w:rPr>
              <w:fldChar w:fldCharType="separate"/>
            </w:r>
            <w:r w:rsidR="00F27DE1">
              <w:rPr>
                <w:noProof/>
                <w:webHidden/>
              </w:rPr>
              <w:t>5</w:t>
            </w:r>
            <w:r w:rsidR="00F27DE1">
              <w:rPr>
                <w:noProof/>
                <w:webHidden/>
              </w:rPr>
              <w:fldChar w:fldCharType="end"/>
            </w:r>
          </w:hyperlink>
        </w:p>
        <w:p w14:paraId="1B0CDCFE" w14:textId="79FE7A15" w:rsidR="00F27DE1" w:rsidRDefault="00AD4E50">
          <w:pPr>
            <w:pStyle w:val="TOC3"/>
            <w:rPr>
              <w:rFonts w:asciiTheme="minorHAnsi" w:eastAsiaTheme="minorEastAsia" w:hAnsiTheme="minorHAnsi" w:cstheme="minorBidi"/>
              <w:noProof/>
              <w:sz w:val="22"/>
              <w:szCs w:val="22"/>
              <w:lang w:eastAsia="en-AU"/>
            </w:rPr>
          </w:pPr>
          <w:hyperlink w:anchor="_Toc100620705" w:history="1">
            <w:r w:rsidR="00F27DE1" w:rsidRPr="00071884">
              <w:rPr>
                <w:rStyle w:val="Hyperlink"/>
                <w:noProof/>
              </w:rPr>
              <w:t>2.6   Ponatinib</w:t>
            </w:r>
            <w:r w:rsidR="00F27DE1">
              <w:rPr>
                <w:noProof/>
                <w:webHidden/>
              </w:rPr>
              <w:tab/>
            </w:r>
            <w:r w:rsidR="00F27DE1">
              <w:rPr>
                <w:noProof/>
                <w:webHidden/>
              </w:rPr>
              <w:fldChar w:fldCharType="begin"/>
            </w:r>
            <w:r w:rsidR="00F27DE1">
              <w:rPr>
                <w:noProof/>
                <w:webHidden/>
              </w:rPr>
              <w:instrText xml:space="preserve"> PAGEREF _Toc100620705 \h </w:instrText>
            </w:r>
            <w:r w:rsidR="00F27DE1">
              <w:rPr>
                <w:noProof/>
                <w:webHidden/>
              </w:rPr>
            </w:r>
            <w:r w:rsidR="00F27DE1">
              <w:rPr>
                <w:noProof/>
                <w:webHidden/>
              </w:rPr>
              <w:fldChar w:fldCharType="separate"/>
            </w:r>
            <w:r w:rsidR="00F27DE1">
              <w:rPr>
                <w:noProof/>
                <w:webHidden/>
              </w:rPr>
              <w:t>5</w:t>
            </w:r>
            <w:r w:rsidR="00F27DE1">
              <w:rPr>
                <w:noProof/>
                <w:webHidden/>
              </w:rPr>
              <w:fldChar w:fldCharType="end"/>
            </w:r>
          </w:hyperlink>
        </w:p>
        <w:p w14:paraId="5786B298" w14:textId="74D00593" w:rsidR="00F27DE1" w:rsidRDefault="00AD4E50">
          <w:pPr>
            <w:pStyle w:val="TOC3"/>
            <w:rPr>
              <w:rFonts w:asciiTheme="minorHAnsi" w:eastAsiaTheme="minorEastAsia" w:hAnsiTheme="minorHAnsi" w:cstheme="minorBidi"/>
              <w:noProof/>
              <w:sz w:val="22"/>
              <w:szCs w:val="22"/>
              <w:lang w:eastAsia="en-AU"/>
            </w:rPr>
          </w:pPr>
          <w:hyperlink w:anchor="_Toc100620706" w:history="1">
            <w:r w:rsidR="00F27DE1" w:rsidRPr="00071884">
              <w:rPr>
                <w:rStyle w:val="Hyperlink"/>
                <w:noProof/>
              </w:rPr>
              <w:t>2.7   Somapacitan</w:t>
            </w:r>
            <w:r w:rsidR="00F27DE1">
              <w:rPr>
                <w:noProof/>
                <w:webHidden/>
              </w:rPr>
              <w:tab/>
            </w:r>
            <w:r w:rsidR="00F27DE1">
              <w:rPr>
                <w:noProof/>
                <w:webHidden/>
              </w:rPr>
              <w:fldChar w:fldCharType="begin"/>
            </w:r>
            <w:r w:rsidR="00F27DE1">
              <w:rPr>
                <w:noProof/>
                <w:webHidden/>
              </w:rPr>
              <w:instrText xml:space="preserve"> PAGEREF _Toc100620706 \h </w:instrText>
            </w:r>
            <w:r w:rsidR="00F27DE1">
              <w:rPr>
                <w:noProof/>
                <w:webHidden/>
              </w:rPr>
            </w:r>
            <w:r w:rsidR="00F27DE1">
              <w:rPr>
                <w:noProof/>
                <w:webHidden/>
              </w:rPr>
              <w:fldChar w:fldCharType="separate"/>
            </w:r>
            <w:r w:rsidR="00F27DE1">
              <w:rPr>
                <w:noProof/>
                <w:webHidden/>
              </w:rPr>
              <w:t>5</w:t>
            </w:r>
            <w:r w:rsidR="00F27DE1">
              <w:rPr>
                <w:noProof/>
                <w:webHidden/>
              </w:rPr>
              <w:fldChar w:fldCharType="end"/>
            </w:r>
          </w:hyperlink>
        </w:p>
        <w:p w14:paraId="657E6581" w14:textId="50FA84A1" w:rsidR="00F27DE1" w:rsidRDefault="00AD4E50">
          <w:pPr>
            <w:pStyle w:val="TOC2"/>
            <w:tabs>
              <w:tab w:val="left" w:pos="851"/>
            </w:tabs>
            <w:rPr>
              <w:rFonts w:asciiTheme="minorHAnsi" w:eastAsiaTheme="minorEastAsia" w:hAnsiTheme="minorHAnsi" w:cstheme="minorBidi"/>
              <w:noProof/>
              <w:szCs w:val="22"/>
              <w:lang w:eastAsia="en-AU"/>
            </w:rPr>
          </w:pPr>
          <w:hyperlink w:anchor="_Toc100620707" w:history="1">
            <w:r w:rsidR="00F27DE1" w:rsidRPr="00071884">
              <w:rPr>
                <w:rStyle w:val="Hyperlink"/>
                <w:noProof/>
              </w:rPr>
              <w:t>3</w:t>
            </w:r>
            <w:r w:rsidR="00F27DE1">
              <w:rPr>
                <w:rFonts w:asciiTheme="minorHAnsi" w:eastAsiaTheme="minorEastAsia" w:hAnsiTheme="minorHAnsi" w:cstheme="minorBidi"/>
                <w:noProof/>
                <w:szCs w:val="22"/>
                <w:lang w:eastAsia="en-AU"/>
              </w:rPr>
              <w:tab/>
            </w:r>
            <w:r w:rsidR="00F27DE1" w:rsidRPr="00071884">
              <w:rPr>
                <w:rStyle w:val="Hyperlink"/>
                <w:noProof/>
              </w:rPr>
              <w:t>Amendments to the Poisons Standard made as delegate-only decisions</w:t>
            </w:r>
            <w:r w:rsidR="00F27DE1">
              <w:rPr>
                <w:noProof/>
                <w:webHidden/>
              </w:rPr>
              <w:tab/>
            </w:r>
            <w:r w:rsidR="00F27DE1">
              <w:rPr>
                <w:noProof/>
                <w:webHidden/>
              </w:rPr>
              <w:fldChar w:fldCharType="begin"/>
            </w:r>
            <w:r w:rsidR="00F27DE1">
              <w:rPr>
                <w:noProof/>
                <w:webHidden/>
              </w:rPr>
              <w:instrText xml:space="preserve"> PAGEREF _Toc100620707 \h </w:instrText>
            </w:r>
            <w:r w:rsidR="00F27DE1">
              <w:rPr>
                <w:noProof/>
                <w:webHidden/>
              </w:rPr>
            </w:r>
            <w:r w:rsidR="00F27DE1">
              <w:rPr>
                <w:noProof/>
                <w:webHidden/>
              </w:rPr>
              <w:fldChar w:fldCharType="separate"/>
            </w:r>
            <w:r w:rsidR="00F27DE1">
              <w:rPr>
                <w:noProof/>
                <w:webHidden/>
              </w:rPr>
              <w:t>6</w:t>
            </w:r>
            <w:r w:rsidR="00F27DE1">
              <w:rPr>
                <w:noProof/>
                <w:webHidden/>
              </w:rPr>
              <w:fldChar w:fldCharType="end"/>
            </w:r>
          </w:hyperlink>
        </w:p>
        <w:p w14:paraId="3D090278" w14:textId="3DB4EC22" w:rsidR="00F27DE1" w:rsidRDefault="00AD4E50">
          <w:pPr>
            <w:pStyle w:val="TOC3"/>
            <w:rPr>
              <w:rFonts w:asciiTheme="minorHAnsi" w:eastAsiaTheme="minorEastAsia" w:hAnsiTheme="minorHAnsi" w:cstheme="minorBidi"/>
              <w:noProof/>
              <w:sz w:val="22"/>
              <w:szCs w:val="22"/>
              <w:lang w:eastAsia="en-AU"/>
            </w:rPr>
          </w:pPr>
          <w:hyperlink w:anchor="_Toc100620708" w:history="1">
            <w:r w:rsidR="00F27DE1" w:rsidRPr="00071884">
              <w:rPr>
                <w:rStyle w:val="Hyperlink"/>
                <w:noProof/>
              </w:rPr>
              <w:t>3.1 Final decision in relation to inpyrfluxam</w:t>
            </w:r>
            <w:r w:rsidR="00F27DE1">
              <w:rPr>
                <w:noProof/>
                <w:webHidden/>
              </w:rPr>
              <w:tab/>
            </w:r>
            <w:r w:rsidR="00F27DE1">
              <w:rPr>
                <w:noProof/>
                <w:webHidden/>
              </w:rPr>
              <w:fldChar w:fldCharType="begin"/>
            </w:r>
            <w:r w:rsidR="00F27DE1">
              <w:rPr>
                <w:noProof/>
                <w:webHidden/>
              </w:rPr>
              <w:instrText xml:space="preserve"> PAGEREF _Toc100620708 \h </w:instrText>
            </w:r>
            <w:r w:rsidR="00F27DE1">
              <w:rPr>
                <w:noProof/>
                <w:webHidden/>
              </w:rPr>
            </w:r>
            <w:r w:rsidR="00F27DE1">
              <w:rPr>
                <w:noProof/>
                <w:webHidden/>
              </w:rPr>
              <w:fldChar w:fldCharType="separate"/>
            </w:r>
            <w:r w:rsidR="00F27DE1">
              <w:rPr>
                <w:noProof/>
                <w:webHidden/>
              </w:rPr>
              <w:t>6</w:t>
            </w:r>
            <w:r w:rsidR="00F27DE1">
              <w:rPr>
                <w:noProof/>
                <w:webHidden/>
              </w:rPr>
              <w:fldChar w:fldCharType="end"/>
            </w:r>
          </w:hyperlink>
        </w:p>
        <w:p w14:paraId="1DB0920F" w14:textId="7B311B4B" w:rsidR="00F27DE1" w:rsidRDefault="00AD4E50">
          <w:pPr>
            <w:pStyle w:val="TOC3"/>
            <w:rPr>
              <w:rFonts w:asciiTheme="minorHAnsi" w:eastAsiaTheme="minorEastAsia" w:hAnsiTheme="minorHAnsi" w:cstheme="minorBidi"/>
              <w:noProof/>
              <w:sz w:val="22"/>
              <w:szCs w:val="22"/>
              <w:lang w:eastAsia="en-AU"/>
            </w:rPr>
          </w:pPr>
          <w:hyperlink w:anchor="_Toc100620709" w:history="1">
            <w:r w:rsidR="00F27DE1" w:rsidRPr="00071884">
              <w:rPr>
                <w:rStyle w:val="Hyperlink"/>
                <w:noProof/>
              </w:rPr>
              <w:t>3.2 Final decision in relation to dimpropyridaz</w:t>
            </w:r>
            <w:r w:rsidR="00F27DE1">
              <w:rPr>
                <w:noProof/>
                <w:webHidden/>
              </w:rPr>
              <w:tab/>
            </w:r>
            <w:r w:rsidR="00F27DE1">
              <w:rPr>
                <w:noProof/>
                <w:webHidden/>
              </w:rPr>
              <w:fldChar w:fldCharType="begin"/>
            </w:r>
            <w:r w:rsidR="00F27DE1">
              <w:rPr>
                <w:noProof/>
                <w:webHidden/>
              </w:rPr>
              <w:instrText xml:space="preserve"> PAGEREF _Toc100620709 \h </w:instrText>
            </w:r>
            <w:r w:rsidR="00F27DE1">
              <w:rPr>
                <w:noProof/>
                <w:webHidden/>
              </w:rPr>
            </w:r>
            <w:r w:rsidR="00F27DE1">
              <w:rPr>
                <w:noProof/>
                <w:webHidden/>
              </w:rPr>
              <w:fldChar w:fldCharType="separate"/>
            </w:r>
            <w:r w:rsidR="00F27DE1">
              <w:rPr>
                <w:noProof/>
                <w:webHidden/>
              </w:rPr>
              <w:t>8</w:t>
            </w:r>
            <w:r w:rsidR="00F27DE1">
              <w:rPr>
                <w:noProof/>
                <w:webHidden/>
              </w:rPr>
              <w:fldChar w:fldCharType="end"/>
            </w:r>
          </w:hyperlink>
        </w:p>
        <w:p w14:paraId="19E00279" w14:textId="53153EF6" w:rsidR="00F27DE1" w:rsidRDefault="00AD4E50">
          <w:pPr>
            <w:pStyle w:val="TOC3"/>
            <w:rPr>
              <w:rFonts w:asciiTheme="minorHAnsi" w:eastAsiaTheme="minorEastAsia" w:hAnsiTheme="minorHAnsi" w:cstheme="minorBidi"/>
              <w:noProof/>
              <w:sz w:val="22"/>
              <w:szCs w:val="22"/>
              <w:lang w:eastAsia="en-AU"/>
            </w:rPr>
          </w:pPr>
          <w:hyperlink w:anchor="_Toc100620710" w:history="1">
            <w:r w:rsidR="00F27DE1" w:rsidRPr="00071884">
              <w:rPr>
                <w:rStyle w:val="Hyperlink"/>
                <w:noProof/>
              </w:rPr>
              <w:t>3.3 Final decision in relation to aminocyclopyrachlor</w:t>
            </w:r>
            <w:r w:rsidR="00F27DE1">
              <w:rPr>
                <w:noProof/>
                <w:webHidden/>
              </w:rPr>
              <w:tab/>
            </w:r>
            <w:r w:rsidR="00F27DE1">
              <w:rPr>
                <w:noProof/>
                <w:webHidden/>
              </w:rPr>
              <w:fldChar w:fldCharType="begin"/>
            </w:r>
            <w:r w:rsidR="00F27DE1">
              <w:rPr>
                <w:noProof/>
                <w:webHidden/>
              </w:rPr>
              <w:instrText xml:space="preserve"> PAGEREF _Toc100620710 \h </w:instrText>
            </w:r>
            <w:r w:rsidR="00F27DE1">
              <w:rPr>
                <w:noProof/>
                <w:webHidden/>
              </w:rPr>
            </w:r>
            <w:r w:rsidR="00F27DE1">
              <w:rPr>
                <w:noProof/>
                <w:webHidden/>
              </w:rPr>
              <w:fldChar w:fldCharType="separate"/>
            </w:r>
            <w:r w:rsidR="00F27DE1">
              <w:rPr>
                <w:noProof/>
                <w:webHidden/>
              </w:rPr>
              <w:t>9</w:t>
            </w:r>
            <w:r w:rsidR="00F27DE1">
              <w:rPr>
                <w:noProof/>
                <w:webHidden/>
              </w:rPr>
              <w:fldChar w:fldCharType="end"/>
            </w:r>
          </w:hyperlink>
        </w:p>
        <w:p w14:paraId="7DF331EE" w14:textId="626E605C" w:rsidR="0025660C" w:rsidRDefault="00AD4E50" w:rsidP="005254B4">
          <w:pPr>
            <w:pStyle w:val="TOC3"/>
          </w:pPr>
          <w:hyperlink w:anchor="_Toc100620711" w:history="1">
            <w:r w:rsidR="00F27DE1" w:rsidRPr="00071884">
              <w:rPr>
                <w:rStyle w:val="Hyperlink"/>
                <w:noProof/>
              </w:rPr>
              <w:t>3.4 Final decision in relation to monoclonal antibodies</w:t>
            </w:r>
            <w:r w:rsidR="00F27DE1">
              <w:rPr>
                <w:noProof/>
                <w:webHidden/>
              </w:rPr>
              <w:tab/>
            </w:r>
            <w:r w:rsidR="00F27DE1">
              <w:rPr>
                <w:noProof/>
                <w:webHidden/>
              </w:rPr>
              <w:fldChar w:fldCharType="begin"/>
            </w:r>
            <w:r w:rsidR="00F27DE1">
              <w:rPr>
                <w:noProof/>
                <w:webHidden/>
              </w:rPr>
              <w:instrText xml:space="preserve"> PAGEREF _Toc100620711 \h </w:instrText>
            </w:r>
            <w:r w:rsidR="00F27DE1">
              <w:rPr>
                <w:noProof/>
                <w:webHidden/>
              </w:rPr>
            </w:r>
            <w:r w:rsidR="00F27DE1">
              <w:rPr>
                <w:noProof/>
                <w:webHidden/>
              </w:rPr>
              <w:fldChar w:fldCharType="separate"/>
            </w:r>
            <w:r w:rsidR="00F27DE1">
              <w:rPr>
                <w:noProof/>
                <w:webHidden/>
              </w:rPr>
              <w:t>11</w:t>
            </w:r>
            <w:r w:rsidR="00F27DE1">
              <w:rPr>
                <w:noProof/>
                <w:webHidden/>
              </w:rPr>
              <w:fldChar w:fldCharType="end"/>
            </w:r>
          </w:hyperlink>
          <w:r w:rsidR="008D3724" w:rsidRPr="0063416E">
            <w:rPr>
              <w:rFonts w:asciiTheme="minorHAnsi" w:hAnsiTheme="minorHAnsi"/>
              <w:sz w:val="24"/>
              <w:szCs w:val="24"/>
            </w:rPr>
            <w:fldChar w:fldCharType="end"/>
          </w:r>
        </w:p>
      </w:sdtContent>
    </w:sdt>
    <w:p w14:paraId="612CCF14" w14:textId="2E27AC2E" w:rsidR="00574B36" w:rsidRDefault="00AD2969" w:rsidP="00DB4BE8">
      <w:pPr>
        <w:pStyle w:val="acthead5"/>
        <w:shd w:val="clear" w:color="auto" w:fill="FFFFFF"/>
        <w:spacing w:before="280" w:beforeAutospacing="0" w:after="0" w:afterAutospacing="0"/>
        <w:ind w:left="1134" w:hanging="1134"/>
        <w:rPr>
          <w:color w:val="000000"/>
          <w:sz w:val="22"/>
          <w:szCs w:val="22"/>
        </w:rPr>
      </w:pPr>
      <w:bookmarkStart w:id="3" w:name="_Final_decision_in_2"/>
      <w:bookmarkEnd w:id="3"/>
      <w:bookmarkEnd w:id="2"/>
      <w:bookmarkEnd w:id="1"/>
      <w:bookmarkEnd w:id="0"/>
      <w:r>
        <w:br w:type="page"/>
      </w:r>
    </w:p>
    <w:p w14:paraId="6FAA270C" w14:textId="42C9F494" w:rsidR="00C12B78" w:rsidRPr="005069D2" w:rsidRDefault="00C12B78" w:rsidP="005069D2">
      <w:pPr>
        <w:pStyle w:val="Heading2"/>
      </w:pPr>
      <w:bookmarkStart w:id="4" w:name="_Toc100620698"/>
      <w:bookmarkStart w:id="5" w:name="_Hlk99553830"/>
      <w:bookmarkStart w:id="6" w:name="_Toc89270390"/>
      <w:r w:rsidRPr="005069D2">
        <w:lastRenderedPageBreak/>
        <w:t>Notice of Decisions to amend the current Poisons Standard</w:t>
      </w:r>
      <w:bookmarkEnd w:id="4"/>
      <w:r w:rsidRPr="005069D2">
        <w:t xml:space="preserve"> </w:t>
      </w:r>
    </w:p>
    <w:p w14:paraId="6CA16738" w14:textId="737443E5" w:rsidR="00C12B78" w:rsidRDefault="00C12B78" w:rsidP="00C12B78">
      <w:r>
        <w:t xml:space="preserve">This web publication constitutes a notice for the purposes of regulation 42ZCZX of the </w:t>
      </w:r>
      <w:r w:rsidRPr="00C12B78">
        <w:rPr>
          <w:i/>
          <w:iCs/>
        </w:rPr>
        <w:t>Therapeutic Goods Regulations 1990</w:t>
      </w:r>
      <w:r>
        <w:t xml:space="preserve"> (the Regulations)</w:t>
      </w:r>
      <w:r w:rsidR="00AB641B">
        <w:t>, i</w:t>
      </w:r>
      <w:r>
        <w:t xml:space="preserve">n accordance with </w:t>
      </w:r>
      <w:r w:rsidR="00AB641B">
        <w:t xml:space="preserve">which </w:t>
      </w:r>
      <w:r>
        <w:t xml:space="preserve">this notice publishes the: </w:t>
      </w:r>
    </w:p>
    <w:p w14:paraId="64D4D290" w14:textId="77777777" w:rsidR="00C12B78" w:rsidRDefault="00C12B78" w:rsidP="00C12B78">
      <w:pPr>
        <w:pStyle w:val="ListParagraph"/>
        <w:numPr>
          <w:ilvl w:val="0"/>
          <w:numId w:val="29"/>
        </w:numPr>
        <w:ind w:left="714" w:hanging="357"/>
        <w:contextualSpacing w:val="0"/>
      </w:pPr>
      <w:r>
        <w:t xml:space="preserve">decisions made by a delegate of the Secretary pursuant to regulations </w:t>
      </w:r>
      <w:proofErr w:type="gramStart"/>
      <w:r>
        <w:t>42ZCZU;</w:t>
      </w:r>
      <w:proofErr w:type="gramEnd"/>
      <w:r>
        <w:t xml:space="preserve"> </w:t>
      </w:r>
    </w:p>
    <w:p w14:paraId="0A3A2318" w14:textId="77777777" w:rsidR="00C12B78" w:rsidRDefault="00C12B78" w:rsidP="00C12B78">
      <w:pPr>
        <w:pStyle w:val="ListParagraph"/>
        <w:numPr>
          <w:ilvl w:val="0"/>
          <w:numId w:val="29"/>
        </w:numPr>
        <w:ind w:left="714" w:hanging="357"/>
        <w:contextualSpacing w:val="0"/>
      </w:pPr>
      <w:r>
        <w:t xml:space="preserve">reasons for those final decisions; and </w:t>
      </w:r>
    </w:p>
    <w:p w14:paraId="07C56729" w14:textId="1A09EF9D" w:rsidR="00C12B78" w:rsidRDefault="00C12B78" w:rsidP="00C12B78">
      <w:pPr>
        <w:pStyle w:val="ListParagraph"/>
        <w:numPr>
          <w:ilvl w:val="0"/>
          <w:numId w:val="29"/>
        </w:numPr>
        <w:ind w:left="714" w:hanging="357"/>
        <w:contextualSpacing w:val="0"/>
      </w:pPr>
      <w:r>
        <w:t>date of effect of those decisions.</w:t>
      </w:r>
    </w:p>
    <w:p w14:paraId="4D14BD52" w14:textId="58B89F3E" w:rsidR="005607E0" w:rsidRPr="005069D2" w:rsidRDefault="00C12B78" w:rsidP="005069D2">
      <w:pPr>
        <w:pStyle w:val="Heading2"/>
        <w:numPr>
          <w:ilvl w:val="0"/>
          <w:numId w:val="0"/>
        </w:numPr>
        <w:ind w:left="432" w:hanging="432"/>
      </w:pPr>
      <w:bookmarkStart w:id="7" w:name="_Toc100620699"/>
      <w:bookmarkEnd w:id="5"/>
      <w:r w:rsidRPr="005069D2">
        <w:t>2</w:t>
      </w:r>
      <w:r w:rsidRPr="005069D2">
        <w:tab/>
      </w:r>
      <w:r w:rsidR="005607E0" w:rsidRPr="005069D2">
        <w:t>Amendments to the Poison Standard in relation to New Chemical Entities (NCEs)</w:t>
      </w:r>
      <w:bookmarkEnd w:id="6"/>
      <w:bookmarkEnd w:id="7"/>
      <w:r w:rsidR="005607E0" w:rsidRPr="005069D2">
        <w:t xml:space="preserve"> </w:t>
      </w:r>
    </w:p>
    <w:p w14:paraId="084F76E3" w14:textId="46B21B7B" w:rsidR="005607E0" w:rsidRDefault="005607E0" w:rsidP="005607E0">
      <w:r>
        <w:t>The NCEs listed below will be included in the new Poisons Standard that will come into effect on 1 June 2022.</w:t>
      </w:r>
    </w:p>
    <w:p w14:paraId="6A3B6C9E" w14:textId="7D185643" w:rsidR="00976248" w:rsidRDefault="00976248" w:rsidP="00976248">
      <w:pPr>
        <w:pStyle w:val="Heading3"/>
        <w:numPr>
          <w:ilvl w:val="0"/>
          <w:numId w:val="0"/>
        </w:numPr>
        <w:spacing w:before="240" w:after="0" w:line="220" w:lineRule="atLeast"/>
        <w:ind w:left="360"/>
      </w:pPr>
      <w:bookmarkStart w:id="8" w:name="_Toc100620700"/>
      <w:r>
        <w:t xml:space="preserve">2.1   </w:t>
      </w:r>
      <w:proofErr w:type="spellStart"/>
      <w:r>
        <w:t>Belzutifan</w:t>
      </w:r>
      <w:bookmarkEnd w:id="8"/>
      <w:proofErr w:type="spellEnd"/>
    </w:p>
    <w:tbl>
      <w:tblPr>
        <w:tblStyle w:val="TableGrid"/>
        <w:tblW w:w="0" w:type="auto"/>
        <w:tblInd w:w="988" w:type="dxa"/>
        <w:tblLook w:val="04A0" w:firstRow="1" w:lastRow="0" w:firstColumn="1" w:lastColumn="0" w:noHBand="0" w:noVBand="1"/>
      </w:tblPr>
      <w:tblGrid>
        <w:gridCol w:w="8072"/>
      </w:tblGrid>
      <w:tr w:rsidR="00976248" w14:paraId="1DBE2B52" w14:textId="77777777" w:rsidTr="005A03FF">
        <w:tc>
          <w:tcPr>
            <w:tcW w:w="8072" w:type="dxa"/>
          </w:tcPr>
          <w:p w14:paraId="04C2D9CB" w14:textId="77777777" w:rsidR="00976248" w:rsidRPr="00105867" w:rsidRDefault="00976248" w:rsidP="005A03FF">
            <w:pPr>
              <w:rPr>
                <w:rFonts w:asciiTheme="minorHAnsi" w:hAnsiTheme="minorHAnsi"/>
              </w:rPr>
            </w:pPr>
            <w:r w:rsidRPr="00105867">
              <w:rPr>
                <w:rStyle w:val="Strong"/>
                <w:rFonts w:asciiTheme="minorHAnsi" w:hAnsiTheme="minorHAnsi"/>
                <w:color w:val="000000"/>
                <w:szCs w:val="22"/>
              </w:rPr>
              <w:t xml:space="preserve">Schedule 4 </w:t>
            </w:r>
            <w:r>
              <w:rPr>
                <w:rStyle w:val="Strong"/>
                <w:rFonts w:asciiTheme="minorHAnsi" w:hAnsiTheme="minorHAnsi"/>
                <w:color w:val="000000"/>
                <w:szCs w:val="22"/>
              </w:rPr>
              <w:t>–</w:t>
            </w:r>
            <w:r w:rsidRPr="00105867">
              <w:rPr>
                <w:rStyle w:val="Strong"/>
                <w:rFonts w:asciiTheme="minorHAnsi" w:hAnsiTheme="minorHAnsi"/>
                <w:color w:val="000000"/>
                <w:szCs w:val="22"/>
              </w:rPr>
              <w:t xml:space="preserve"> New Entry</w:t>
            </w:r>
          </w:p>
          <w:p w14:paraId="422A05E8" w14:textId="77777777" w:rsidR="00976248" w:rsidRDefault="00976248" w:rsidP="005A03FF">
            <w:pPr>
              <w:rPr>
                <w:rFonts w:asciiTheme="minorHAnsi" w:hAnsiTheme="minorHAnsi"/>
                <w:color w:val="00B050"/>
              </w:rPr>
            </w:pPr>
            <w:r w:rsidRPr="00105867">
              <w:rPr>
                <w:rFonts w:asciiTheme="minorHAnsi" w:hAnsiTheme="minorHAnsi"/>
                <w:color w:val="00B050"/>
              </w:rPr>
              <w:t>BELZUTIFAN</w:t>
            </w:r>
          </w:p>
          <w:p w14:paraId="613161DB" w14:textId="77777777" w:rsidR="00976248" w:rsidRPr="00105867" w:rsidRDefault="00976248" w:rsidP="005A03FF">
            <w:pPr>
              <w:rPr>
                <w:rFonts w:asciiTheme="minorHAnsi" w:hAnsiTheme="minorHAnsi"/>
              </w:rPr>
            </w:pPr>
            <w:r w:rsidRPr="00105867">
              <w:rPr>
                <w:rStyle w:val="Strong"/>
                <w:rFonts w:asciiTheme="minorHAnsi" w:hAnsiTheme="minorHAnsi"/>
                <w:color w:val="000000"/>
                <w:szCs w:val="22"/>
              </w:rPr>
              <w:t xml:space="preserve">Index </w:t>
            </w:r>
            <w:r>
              <w:rPr>
                <w:rStyle w:val="Strong"/>
                <w:rFonts w:asciiTheme="minorHAnsi" w:hAnsiTheme="minorHAnsi"/>
                <w:color w:val="000000"/>
                <w:szCs w:val="22"/>
              </w:rPr>
              <w:t>–</w:t>
            </w:r>
            <w:r w:rsidRPr="00105867">
              <w:rPr>
                <w:rStyle w:val="Strong"/>
                <w:rFonts w:asciiTheme="minorHAnsi" w:hAnsiTheme="minorHAnsi"/>
                <w:color w:val="000000"/>
                <w:szCs w:val="22"/>
              </w:rPr>
              <w:t xml:space="preserve"> New Entry</w:t>
            </w:r>
          </w:p>
          <w:p w14:paraId="3E8400D3" w14:textId="77777777" w:rsidR="00976248" w:rsidRDefault="00976248" w:rsidP="005A03FF">
            <w:pPr>
              <w:rPr>
                <w:rFonts w:asciiTheme="minorHAnsi" w:hAnsiTheme="minorHAnsi"/>
                <w:b/>
                <w:bCs/>
                <w:color w:val="00B050"/>
              </w:rPr>
            </w:pPr>
            <w:r w:rsidRPr="00013BFF">
              <w:rPr>
                <w:rFonts w:asciiTheme="minorHAnsi" w:hAnsiTheme="minorHAnsi"/>
                <w:b/>
                <w:bCs/>
                <w:color w:val="00B050"/>
              </w:rPr>
              <w:t>BELZUTIFAN</w:t>
            </w:r>
          </w:p>
          <w:p w14:paraId="69207890" w14:textId="77777777" w:rsidR="00976248" w:rsidRPr="00013BFF" w:rsidRDefault="00976248" w:rsidP="005A03FF">
            <w:pPr>
              <w:rPr>
                <w:color w:val="00B050"/>
              </w:rPr>
            </w:pPr>
            <w:r w:rsidRPr="00013BFF">
              <w:rPr>
                <w:rFonts w:asciiTheme="minorHAnsi" w:hAnsiTheme="minorHAnsi"/>
                <w:color w:val="00B050"/>
              </w:rPr>
              <w:t>Schedule 4</w:t>
            </w:r>
          </w:p>
        </w:tc>
      </w:tr>
    </w:tbl>
    <w:p w14:paraId="1EAA16AC" w14:textId="123FE188" w:rsidR="00976248" w:rsidRPr="002F1391" w:rsidRDefault="00976248" w:rsidP="00113E24">
      <w:pPr>
        <w:pStyle w:val="Heading3"/>
        <w:numPr>
          <w:ilvl w:val="0"/>
          <w:numId w:val="0"/>
        </w:numPr>
        <w:spacing w:before="240" w:after="0" w:line="220" w:lineRule="atLeast"/>
        <w:ind w:left="360"/>
      </w:pPr>
      <w:bookmarkStart w:id="9" w:name="_Toc100620701"/>
      <w:r>
        <w:t xml:space="preserve">2.2   </w:t>
      </w:r>
      <w:r w:rsidRPr="004E10A3">
        <w:t>Diroximel fumarate</w:t>
      </w:r>
      <w:bookmarkEnd w:id="9"/>
    </w:p>
    <w:tbl>
      <w:tblPr>
        <w:tblStyle w:val="TableGrid"/>
        <w:tblW w:w="0" w:type="auto"/>
        <w:tblInd w:w="988" w:type="dxa"/>
        <w:tblLook w:val="04A0" w:firstRow="1" w:lastRow="0" w:firstColumn="1" w:lastColumn="0" w:noHBand="0" w:noVBand="1"/>
      </w:tblPr>
      <w:tblGrid>
        <w:gridCol w:w="8072"/>
      </w:tblGrid>
      <w:tr w:rsidR="00976248" w14:paraId="4C08318F" w14:textId="77777777" w:rsidTr="005A03FF">
        <w:tc>
          <w:tcPr>
            <w:tcW w:w="8072" w:type="dxa"/>
          </w:tcPr>
          <w:p w14:paraId="7E34781B" w14:textId="71621F93" w:rsidR="00976248" w:rsidRPr="00105867" w:rsidRDefault="00976248" w:rsidP="005A03FF">
            <w:pPr>
              <w:rPr>
                <w:rFonts w:asciiTheme="minorHAnsi" w:hAnsiTheme="minorHAnsi"/>
              </w:rPr>
            </w:pPr>
            <w:r w:rsidRPr="00105867">
              <w:rPr>
                <w:rStyle w:val="Strong"/>
                <w:rFonts w:asciiTheme="minorHAnsi" w:hAnsiTheme="minorHAnsi"/>
                <w:color w:val="000000"/>
                <w:szCs w:val="22"/>
              </w:rPr>
              <w:t>Schedule 4</w:t>
            </w:r>
            <w:r>
              <w:rPr>
                <w:rStyle w:val="Strong"/>
                <w:rFonts w:asciiTheme="minorHAnsi" w:hAnsiTheme="minorHAnsi"/>
                <w:color w:val="000000"/>
                <w:szCs w:val="22"/>
              </w:rPr>
              <w:t xml:space="preserve"> </w:t>
            </w:r>
            <w:r w:rsidRPr="00105867">
              <w:rPr>
                <w:rStyle w:val="Strong"/>
                <w:rFonts w:asciiTheme="minorHAnsi" w:hAnsiTheme="minorHAnsi"/>
                <w:color w:val="000000"/>
                <w:szCs w:val="22"/>
              </w:rPr>
              <w:t>- New Entry</w:t>
            </w:r>
          </w:p>
          <w:p w14:paraId="3DF0A9C8" w14:textId="77777777" w:rsidR="00976248" w:rsidRDefault="00976248" w:rsidP="005A03FF">
            <w:pPr>
              <w:rPr>
                <w:rStyle w:val="Strong"/>
                <w:rFonts w:asciiTheme="minorHAnsi" w:hAnsiTheme="minorHAnsi"/>
                <w:color w:val="000000"/>
                <w:szCs w:val="22"/>
              </w:rPr>
            </w:pPr>
            <w:r w:rsidRPr="004E10A3">
              <w:rPr>
                <w:rFonts w:asciiTheme="minorHAnsi" w:hAnsiTheme="minorHAnsi"/>
                <w:color w:val="00B050"/>
              </w:rPr>
              <w:t>DIROXIMEL FUMARATE</w:t>
            </w:r>
          </w:p>
          <w:p w14:paraId="54AE2ECD" w14:textId="77777777" w:rsidR="00976248" w:rsidRPr="004E10A3" w:rsidRDefault="00976248" w:rsidP="005A03FF">
            <w:pPr>
              <w:rPr>
                <w:rFonts w:asciiTheme="minorHAnsi" w:hAnsiTheme="minorHAnsi"/>
              </w:rPr>
            </w:pPr>
            <w:r w:rsidRPr="004E10A3">
              <w:rPr>
                <w:rStyle w:val="Strong"/>
                <w:rFonts w:asciiTheme="minorHAnsi" w:hAnsiTheme="minorHAnsi"/>
                <w:szCs w:val="22"/>
              </w:rPr>
              <w:t>Index - New Entry</w:t>
            </w:r>
          </w:p>
          <w:p w14:paraId="394663D0" w14:textId="77777777" w:rsidR="00976248" w:rsidRPr="004E10A3" w:rsidRDefault="00976248" w:rsidP="005A03FF">
            <w:pPr>
              <w:rPr>
                <w:rStyle w:val="Strong"/>
                <w:rFonts w:asciiTheme="minorHAnsi" w:hAnsiTheme="minorHAnsi"/>
                <w:b w:val="0"/>
                <w:bCs w:val="0"/>
                <w:color w:val="000000"/>
                <w:szCs w:val="22"/>
              </w:rPr>
            </w:pPr>
            <w:r w:rsidRPr="004E10A3">
              <w:rPr>
                <w:rFonts w:asciiTheme="minorHAnsi" w:hAnsiTheme="minorHAnsi"/>
                <w:b/>
                <w:bCs/>
                <w:color w:val="00B050"/>
              </w:rPr>
              <w:t>DIROXIMEL FUMARATE</w:t>
            </w:r>
          </w:p>
          <w:p w14:paraId="5C6FE745" w14:textId="77777777" w:rsidR="00976248" w:rsidRPr="00013BFF" w:rsidRDefault="00976248" w:rsidP="005A03FF">
            <w:pPr>
              <w:rPr>
                <w:color w:val="00B050"/>
                <w:lang w:eastAsia="en-AU"/>
              </w:rPr>
            </w:pPr>
            <w:r>
              <w:rPr>
                <w:rFonts w:asciiTheme="minorHAnsi" w:hAnsiTheme="minorHAnsi"/>
                <w:color w:val="00B050"/>
              </w:rPr>
              <w:t>Schedule 4</w:t>
            </w:r>
          </w:p>
        </w:tc>
      </w:tr>
    </w:tbl>
    <w:p w14:paraId="3481BB97" w14:textId="33AA279B" w:rsidR="00F27DE1" w:rsidRPr="002F1391" w:rsidRDefault="00F27DE1" w:rsidP="00F27DE1">
      <w:pPr>
        <w:pStyle w:val="Heading3"/>
        <w:numPr>
          <w:ilvl w:val="0"/>
          <w:numId w:val="0"/>
        </w:numPr>
        <w:spacing w:before="240" w:after="0" w:line="220" w:lineRule="atLeast"/>
        <w:ind w:left="360"/>
      </w:pPr>
      <w:bookmarkStart w:id="10" w:name="_Toc100620702"/>
      <w:r>
        <w:t xml:space="preserve">2.3   </w:t>
      </w:r>
      <w:proofErr w:type="spellStart"/>
      <w:r>
        <w:t>Enfortumab</w:t>
      </w:r>
      <w:proofErr w:type="spellEnd"/>
      <w:r>
        <w:t xml:space="preserve"> </w:t>
      </w:r>
      <w:proofErr w:type="spellStart"/>
      <w:r>
        <w:t>vedotin</w:t>
      </w:r>
      <w:bookmarkEnd w:id="10"/>
      <w:proofErr w:type="spellEnd"/>
    </w:p>
    <w:tbl>
      <w:tblPr>
        <w:tblStyle w:val="TableGrid"/>
        <w:tblW w:w="0" w:type="auto"/>
        <w:tblInd w:w="988" w:type="dxa"/>
        <w:tblLook w:val="04A0" w:firstRow="1" w:lastRow="0" w:firstColumn="1" w:lastColumn="0" w:noHBand="0" w:noVBand="1"/>
      </w:tblPr>
      <w:tblGrid>
        <w:gridCol w:w="8072"/>
      </w:tblGrid>
      <w:tr w:rsidR="00F27DE1" w14:paraId="3FA23BCF" w14:textId="77777777" w:rsidTr="006063DC">
        <w:tc>
          <w:tcPr>
            <w:tcW w:w="8072" w:type="dxa"/>
          </w:tcPr>
          <w:p w14:paraId="70065742" w14:textId="77777777" w:rsidR="00F27DE1" w:rsidRPr="00105867" w:rsidRDefault="00F27DE1" w:rsidP="006063DC">
            <w:pPr>
              <w:rPr>
                <w:rFonts w:asciiTheme="minorHAnsi" w:hAnsiTheme="minorHAnsi"/>
              </w:rPr>
            </w:pPr>
            <w:r w:rsidRPr="00105867">
              <w:rPr>
                <w:rStyle w:val="Strong"/>
                <w:rFonts w:asciiTheme="minorHAnsi" w:hAnsiTheme="minorHAnsi"/>
                <w:color w:val="000000"/>
                <w:szCs w:val="22"/>
              </w:rPr>
              <w:t>Schedule 4</w:t>
            </w:r>
            <w:r>
              <w:rPr>
                <w:rStyle w:val="Strong"/>
                <w:rFonts w:asciiTheme="minorHAnsi" w:hAnsiTheme="minorHAnsi"/>
                <w:color w:val="000000"/>
                <w:szCs w:val="22"/>
              </w:rPr>
              <w:t xml:space="preserve"> </w:t>
            </w:r>
            <w:r w:rsidRPr="00105867">
              <w:rPr>
                <w:rStyle w:val="Strong"/>
                <w:rFonts w:asciiTheme="minorHAnsi" w:hAnsiTheme="minorHAnsi"/>
                <w:color w:val="000000"/>
                <w:szCs w:val="22"/>
              </w:rPr>
              <w:t>- New Entry</w:t>
            </w:r>
          </w:p>
          <w:p w14:paraId="3E4E8327" w14:textId="67DB2955" w:rsidR="00F27DE1" w:rsidRDefault="00F27DE1" w:rsidP="006063DC">
            <w:pPr>
              <w:rPr>
                <w:rStyle w:val="Strong"/>
                <w:rFonts w:asciiTheme="minorHAnsi" w:hAnsiTheme="minorHAnsi"/>
                <w:color w:val="000000"/>
                <w:szCs w:val="22"/>
              </w:rPr>
            </w:pPr>
            <w:r>
              <w:rPr>
                <w:color w:val="00B050"/>
              </w:rPr>
              <w:t>ENFORTUMAB VEDOTIN</w:t>
            </w:r>
          </w:p>
          <w:p w14:paraId="650A3287" w14:textId="77777777" w:rsidR="00F27DE1" w:rsidRPr="004E10A3" w:rsidRDefault="00F27DE1" w:rsidP="006063DC">
            <w:pPr>
              <w:rPr>
                <w:rFonts w:asciiTheme="minorHAnsi" w:hAnsiTheme="minorHAnsi"/>
              </w:rPr>
            </w:pPr>
            <w:r w:rsidRPr="004E10A3">
              <w:rPr>
                <w:rStyle w:val="Strong"/>
                <w:rFonts w:asciiTheme="minorHAnsi" w:hAnsiTheme="minorHAnsi"/>
                <w:szCs w:val="22"/>
              </w:rPr>
              <w:t>Index - New Entry</w:t>
            </w:r>
          </w:p>
          <w:p w14:paraId="53414A32" w14:textId="4D82F635" w:rsidR="00F27DE1" w:rsidRPr="004E10A3" w:rsidRDefault="00F27DE1" w:rsidP="006063DC">
            <w:pPr>
              <w:rPr>
                <w:rStyle w:val="Strong"/>
                <w:rFonts w:asciiTheme="minorHAnsi" w:hAnsiTheme="minorHAnsi"/>
                <w:b w:val="0"/>
                <w:bCs w:val="0"/>
                <w:color w:val="000000"/>
                <w:szCs w:val="22"/>
              </w:rPr>
            </w:pPr>
            <w:r>
              <w:rPr>
                <w:b/>
                <w:bCs/>
                <w:color w:val="00B050"/>
              </w:rPr>
              <w:t>ENFORTUMAB VEDOTIN</w:t>
            </w:r>
          </w:p>
          <w:p w14:paraId="0AC84240" w14:textId="77777777" w:rsidR="00F27DE1" w:rsidRPr="00013BFF" w:rsidRDefault="00F27DE1" w:rsidP="006063DC">
            <w:pPr>
              <w:rPr>
                <w:color w:val="00B050"/>
                <w:lang w:eastAsia="en-AU"/>
              </w:rPr>
            </w:pPr>
            <w:r>
              <w:rPr>
                <w:rFonts w:asciiTheme="minorHAnsi" w:hAnsiTheme="minorHAnsi"/>
                <w:color w:val="00B050"/>
              </w:rPr>
              <w:t>Schedule 4</w:t>
            </w:r>
          </w:p>
        </w:tc>
      </w:tr>
    </w:tbl>
    <w:p w14:paraId="10711BC1" w14:textId="1EA13ED7" w:rsidR="002F1391" w:rsidRPr="002F1391" w:rsidRDefault="005069D2" w:rsidP="005069D2">
      <w:pPr>
        <w:pStyle w:val="Heading3"/>
        <w:numPr>
          <w:ilvl w:val="0"/>
          <w:numId w:val="0"/>
        </w:numPr>
        <w:spacing w:before="240" w:after="0" w:line="220" w:lineRule="atLeast"/>
        <w:ind w:left="360"/>
      </w:pPr>
      <w:bookmarkStart w:id="11" w:name="_Toc100620703"/>
      <w:r>
        <w:lastRenderedPageBreak/>
        <w:t>2.</w:t>
      </w:r>
      <w:r w:rsidR="00F27DE1">
        <w:t>4</w:t>
      </w:r>
      <w:r>
        <w:t xml:space="preserve">   </w:t>
      </w:r>
      <w:r w:rsidR="00327070">
        <w:t>Lur</w:t>
      </w:r>
      <w:r w:rsidR="00DA0045">
        <w:t>binectedin</w:t>
      </w:r>
      <w:bookmarkEnd w:id="11"/>
    </w:p>
    <w:tbl>
      <w:tblPr>
        <w:tblStyle w:val="TableGrid"/>
        <w:tblW w:w="0" w:type="auto"/>
        <w:tblInd w:w="988" w:type="dxa"/>
        <w:tblLook w:val="04A0" w:firstRow="1" w:lastRow="0" w:firstColumn="1" w:lastColumn="0" w:noHBand="0" w:noVBand="1"/>
      </w:tblPr>
      <w:tblGrid>
        <w:gridCol w:w="8072"/>
      </w:tblGrid>
      <w:tr w:rsidR="005607E0" w14:paraId="208AA729" w14:textId="77777777" w:rsidTr="005069D2">
        <w:tc>
          <w:tcPr>
            <w:tcW w:w="8072" w:type="dxa"/>
          </w:tcPr>
          <w:p w14:paraId="5C0B6F89" w14:textId="1F00B051" w:rsidR="005607E0" w:rsidRPr="00105867" w:rsidRDefault="005607E0" w:rsidP="005607E0">
            <w:pPr>
              <w:rPr>
                <w:rFonts w:asciiTheme="minorHAnsi" w:hAnsiTheme="minorHAnsi"/>
              </w:rPr>
            </w:pPr>
            <w:r w:rsidRPr="00105867">
              <w:rPr>
                <w:rStyle w:val="Strong"/>
                <w:rFonts w:asciiTheme="minorHAnsi" w:hAnsiTheme="minorHAnsi"/>
                <w:color w:val="000000"/>
                <w:szCs w:val="22"/>
              </w:rPr>
              <w:t xml:space="preserve">Schedule </w:t>
            </w:r>
            <w:r w:rsidR="00327070" w:rsidRPr="00105867">
              <w:rPr>
                <w:rStyle w:val="Strong"/>
                <w:rFonts w:asciiTheme="minorHAnsi" w:hAnsiTheme="minorHAnsi"/>
                <w:color w:val="000000"/>
                <w:szCs w:val="22"/>
              </w:rPr>
              <w:t>4</w:t>
            </w:r>
            <w:r w:rsidR="00976248">
              <w:rPr>
                <w:rStyle w:val="Strong"/>
                <w:rFonts w:asciiTheme="minorHAnsi" w:hAnsiTheme="minorHAnsi"/>
                <w:color w:val="000000"/>
                <w:szCs w:val="22"/>
              </w:rPr>
              <w:t xml:space="preserve"> </w:t>
            </w:r>
            <w:r w:rsidRPr="00105867">
              <w:rPr>
                <w:rStyle w:val="Strong"/>
                <w:rFonts w:asciiTheme="minorHAnsi" w:hAnsiTheme="minorHAnsi"/>
                <w:color w:val="000000"/>
                <w:szCs w:val="22"/>
              </w:rPr>
              <w:t>- New Entry</w:t>
            </w:r>
          </w:p>
          <w:p w14:paraId="3516BD85" w14:textId="6C9F66F1" w:rsidR="00327070" w:rsidRPr="00105867" w:rsidRDefault="00105867" w:rsidP="00327070">
            <w:pPr>
              <w:rPr>
                <w:rFonts w:asciiTheme="minorHAnsi" w:hAnsiTheme="minorHAnsi"/>
                <w:color w:val="00B050"/>
                <w:lang w:eastAsia="en-AU"/>
              </w:rPr>
            </w:pPr>
            <w:r w:rsidRPr="00105867">
              <w:rPr>
                <w:rFonts w:asciiTheme="minorHAnsi" w:hAnsiTheme="minorHAnsi"/>
                <w:color w:val="00B050"/>
              </w:rPr>
              <w:t>LURBINECTEDIN</w:t>
            </w:r>
          </w:p>
          <w:p w14:paraId="754C2BAA" w14:textId="57039E25" w:rsidR="005607E0" w:rsidRPr="00105867" w:rsidRDefault="005607E0" w:rsidP="005607E0">
            <w:pPr>
              <w:rPr>
                <w:rFonts w:asciiTheme="minorHAnsi" w:hAnsiTheme="minorHAnsi"/>
              </w:rPr>
            </w:pPr>
            <w:r w:rsidRPr="00105867">
              <w:rPr>
                <w:rStyle w:val="Strong"/>
                <w:rFonts w:asciiTheme="minorHAnsi" w:hAnsiTheme="minorHAnsi"/>
                <w:color w:val="000000"/>
                <w:szCs w:val="22"/>
              </w:rPr>
              <w:t>Index - New Entry</w:t>
            </w:r>
          </w:p>
          <w:p w14:paraId="659D0B5E" w14:textId="77777777" w:rsidR="005607E0" w:rsidRDefault="00105867" w:rsidP="005607E0">
            <w:pPr>
              <w:rPr>
                <w:rFonts w:asciiTheme="minorHAnsi" w:hAnsiTheme="minorHAnsi"/>
                <w:b/>
                <w:bCs/>
                <w:color w:val="00B050"/>
              </w:rPr>
            </w:pPr>
            <w:r w:rsidRPr="00013BFF">
              <w:rPr>
                <w:rFonts w:asciiTheme="minorHAnsi" w:hAnsiTheme="minorHAnsi"/>
                <w:b/>
                <w:bCs/>
                <w:color w:val="00B050"/>
              </w:rPr>
              <w:t>LURBINECTEDIN</w:t>
            </w:r>
          </w:p>
          <w:p w14:paraId="611C94F0" w14:textId="4F92ACF7" w:rsidR="00013BFF" w:rsidRPr="00013BFF" w:rsidRDefault="00013BFF" w:rsidP="005607E0">
            <w:pPr>
              <w:rPr>
                <w:color w:val="00B050"/>
                <w:lang w:eastAsia="en-AU"/>
              </w:rPr>
            </w:pPr>
            <w:r>
              <w:rPr>
                <w:rFonts w:asciiTheme="minorHAnsi" w:hAnsiTheme="minorHAnsi"/>
                <w:color w:val="00B050"/>
              </w:rPr>
              <w:t>Schedule 4</w:t>
            </w:r>
          </w:p>
        </w:tc>
      </w:tr>
    </w:tbl>
    <w:p w14:paraId="1B7B8C69" w14:textId="0014E307" w:rsidR="003F168D" w:rsidRPr="002F1391" w:rsidRDefault="005069D2" w:rsidP="003F168D">
      <w:pPr>
        <w:pStyle w:val="Heading3"/>
        <w:numPr>
          <w:ilvl w:val="0"/>
          <w:numId w:val="0"/>
        </w:numPr>
        <w:spacing w:before="240" w:after="0" w:line="220" w:lineRule="atLeast"/>
        <w:ind w:left="360"/>
      </w:pPr>
      <w:bookmarkStart w:id="12" w:name="_Toc89268430"/>
      <w:bookmarkStart w:id="13" w:name="_Toc89268431"/>
      <w:bookmarkStart w:id="14" w:name="_Toc89268432"/>
      <w:bookmarkStart w:id="15" w:name="_Toc100620704"/>
      <w:bookmarkEnd w:id="12"/>
      <w:bookmarkEnd w:id="13"/>
      <w:bookmarkEnd w:id="14"/>
      <w:r>
        <w:t>2</w:t>
      </w:r>
      <w:r w:rsidR="00DA453B">
        <w:t>.</w:t>
      </w:r>
      <w:r w:rsidR="00F27DE1">
        <w:t>5</w:t>
      </w:r>
      <w:r w:rsidR="00627C06">
        <w:t xml:space="preserve">   </w:t>
      </w:r>
      <w:proofErr w:type="spellStart"/>
      <w:r w:rsidR="003F168D">
        <w:t>Mavacamten</w:t>
      </w:r>
      <w:bookmarkEnd w:id="15"/>
      <w:proofErr w:type="spellEnd"/>
    </w:p>
    <w:tbl>
      <w:tblPr>
        <w:tblStyle w:val="TableGrid"/>
        <w:tblW w:w="0" w:type="auto"/>
        <w:tblInd w:w="988" w:type="dxa"/>
        <w:tblLook w:val="04A0" w:firstRow="1" w:lastRow="0" w:firstColumn="1" w:lastColumn="0" w:noHBand="0" w:noVBand="1"/>
      </w:tblPr>
      <w:tblGrid>
        <w:gridCol w:w="8072"/>
      </w:tblGrid>
      <w:tr w:rsidR="003F168D" w14:paraId="57DEABA0" w14:textId="77777777" w:rsidTr="00A95306">
        <w:tc>
          <w:tcPr>
            <w:tcW w:w="8072" w:type="dxa"/>
          </w:tcPr>
          <w:p w14:paraId="6DC6477F" w14:textId="77777777" w:rsidR="003F168D" w:rsidRPr="00105867" w:rsidRDefault="003F168D" w:rsidP="00A95306">
            <w:pPr>
              <w:rPr>
                <w:rFonts w:asciiTheme="minorHAnsi" w:hAnsiTheme="minorHAnsi"/>
              </w:rPr>
            </w:pPr>
            <w:r w:rsidRPr="00105867">
              <w:rPr>
                <w:rStyle w:val="Strong"/>
                <w:rFonts w:asciiTheme="minorHAnsi" w:hAnsiTheme="minorHAnsi"/>
                <w:color w:val="000000"/>
                <w:szCs w:val="22"/>
              </w:rPr>
              <w:t>Schedule 4</w:t>
            </w:r>
            <w:r>
              <w:rPr>
                <w:rStyle w:val="Strong"/>
                <w:rFonts w:asciiTheme="minorHAnsi" w:hAnsiTheme="minorHAnsi"/>
                <w:color w:val="000000"/>
                <w:szCs w:val="22"/>
              </w:rPr>
              <w:t xml:space="preserve"> </w:t>
            </w:r>
            <w:r w:rsidRPr="00105867">
              <w:rPr>
                <w:rStyle w:val="Strong"/>
                <w:rFonts w:asciiTheme="minorHAnsi" w:hAnsiTheme="minorHAnsi"/>
                <w:color w:val="000000"/>
                <w:szCs w:val="22"/>
              </w:rPr>
              <w:t>- New Entry</w:t>
            </w:r>
          </w:p>
          <w:p w14:paraId="6AB1CB8B" w14:textId="36A9BF15" w:rsidR="003F168D" w:rsidRPr="00105867" w:rsidRDefault="003F168D" w:rsidP="00A95306">
            <w:pPr>
              <w:rPr>
                <w:rFonts w:asciiTheme="minorHAnsi" w:hAnsiTheme="minorHAnsi"/>
                <w:color w:val="00B050"/>
                <w:lang w:eastAsia="en-AU"/>
              </w:rPr>
            </w:pPr>
            <w:r>
              <w:rPr>
                <w:rFonts w:asciiTheme="minorHAnsi" w:hAnsiTheme="minorHAnsi"/>
                <w:color w:val="00B050"/>
              </w:rPr>
              <w:t>MAVACAMTEN</w:t>
            </w:r>
          </w:p>
          <w:p w14:paraId="41DA8FCD" w14:textId="77777777" w:rsidR="003F168D" w:rsidRPr="00105867" w:rsidRDefault="003F168D" w:rsidP="00A95306">
            <w:pPr>
              <w:rPr>
                <w:rFonts w:asciiTheme="minorHAnsi" w:hAnsiTheme="minorHAnsi"/>
              </w:rPr>
            </w:pPr>
            <w:r w:rsidRPr="00105867">
              <w:rPr>
                <w:rStyle w:val="Strong"/>
                <w:rFonts w:asciiTheme="minorHAnsi" w:hAnsiTheme="minorHAnsi"/>
                <w:color w:val="000000"/>
                <w:szCs w:val="22"/>
              </w:rPr>
              <w:t>Index - New Entry</w:t>
            </w:r>
          </w:p>
          <w:p w14:paraId="78CB926C" w14:textId="748A4C5E" w:rsidR="003F168D" w:rsidRDefault="003F168D" w:rsidP="00A95306">
            <w:pPr>
              <w:rPr>
                <w:rFonts w:asciiTheme="minorHAnsi" w:hAnsiTheme="minorHAnsi"/>
                <w:b/>
                <w:bCs/>
                <w:color w:val="00B050"/>
              </w:rPr>
            </w:pPr>
            <w:r>
              <w:rPr>
                <w:rFonts w:asciiTheme="minorHAnsi" w:hAnsiTheme="minorHAnsi"/>
                <w:b/>
                <w:bCs/>
                <w:color w:val="00B050"/>
              </w:rPr>
              <w:t>MAVACAMTEN</w:t>
            </w:r>
          </w:p>
          <w:p w14:paraId="34BD291A" w14:textId="77777777" w:rsidR="003F168D" w:rsidRPr="00013BFF" w:rsidRDefault="003F168D" w:rsidP="00A95306">
            <w:pPr>
              <w:rPr>
                <w:color w:val="00B050"/>
                <w:lang w:eastAsia="en-AU"/>
              </w:rPr>
            </w:pPr>
            <w:r>
              <w:rPr>
                <w:rFonts w:asciiTheme="minorHAnsi" w:hAnsiTheme="minorHAnsi"/>
                <w:color w:val="00B050"/>
              </w:rPr>
              <w:t>Schedule 4</w:t>
            </w:r>
          </w:p>
        </w:tc>
      </w:tr>
    </w:tbl>
    <w:p w14:paraId="61C62580" w14:textId="51DD1440" w:rsidR="00006DF4" w:rsidRDefault="003F168D" w:rsidP="00C9355B">
      <w:pPr>
        <w:pStyle w:val="Heading3"/>
        <w:numPr>
          <w:ilvl w:val="0"/>
          <w:numId w:val="0"/>
        </w:numPr>
        <w:spacing w:before="240" w:after="0" w:line="220" w:lineRule="atLeast"/>
        <w:ind w:left="360"/>
      </w:pPr>
      <w:bookmarkStart w:id="16" w:name="_Toc100620705"/>
      <w:r>
        <w:t>2.</w:t>
      </w:r>
      <w:r w:rsidR="00F27DE1">
        <w:t>6</w:t>
      </w:r>
      <w:r>
        <w:t xml:space="preserve">   </w:t>
      </w:r>
      <w:r w:rsidR="00B41842">
        <w:t>Ponatinib</w:t>
      </w:r>
      <w:bookmarkEnd w:id="16"/>
    </w:p>
    <w:tbl>
      <w:tblPr>
        <w:tblStyle w:val="TableGrid"/>
        <w:tblW w:w="0" w:type="auto"/>
        <w:tblInd w:w="988" w:type="dxa"/>
        <w:tblLook w:val="04A0" w:firstRow="1" w:lastRow="0" w:firstColumn="1" w:lastColumn="0" w:noHBand="0" w:noVBand="1"/>
      </w:tblPr>
      <w:tblGrid>
        <w:gridCol w:w="8072"/>
      </w:tblGrid>
      <w:tr w:rsidR="00006DF4" w14:paraId="64B8A480" w14:textId="77777777" w:rsidTr="005069D2">
        <w:tc>
          <w:tcPr>
            <w:tcW w:w="8072" w:type="dxa"/>
          </w:tcPr>
          <w:p w14:paraId="60048DF3" w14:textId="77777777" w:rsidR="00006DF4" w:rsidRPr="00105867" w:rsidRDefault="00006DF4" w:rsidP="00006DF4">
            <w:pPr>
              <w:rPr>
                <w:rFonts w:asciiTheme="minorHAnsi" w:hAnsiTheme="minorHAnsi"/>
              </w:rPr>
            </w:pPr>
            <w:r w:rsidRPr="00105867">
              <w:rPr>
                <w:rStyle w:val="Strong"/>
                <w:rFonts w:asciiTheme="minorHAnsi" w:hAnsiTheme="minorHAnsi"/>
                <w:color w:val="000000"/>
                <w:szCs w:val="22"/>
              </w:rPr>
              <w:t xml:space="preserve">Schedule 4 </w:t>
            </w:r>
            <w:r>
              <w:rPr>
                <w:rStyle w:val="Strong"/>
                <w:rFonts w:asciiTheme="minorHAnsi" w:hAnsiTheme="minorHAnsi"/>
                <w:color w:val="000000"/>
                <w:szCs w:val="22"/>
              </w:rPr>
              <w:t>–</w:t>
            </w:r>
            <w:r w:rsidRPr="00105867">
              <w:rPr>
                <w:rStyle w:val="Strong"/>
                <w:rFonts w:asciiTheme="minorHAnsi" w:hAnsiTheme="minorHAnsi"/>
                <w:color w:val="000000"/>
                <w:szCs w:val="22"/>
              </w:rPr>
              <w:t xml:space="preserve"> New Entry</w:t>
            </w:r>
          </w:p>
          <w:p w14:paraId="29C67F37" w14:textId="14AE40A1" w:rsidR="00006DF4" w:rsidRDefault="00B41842" w:rsidP="00006DF4">
            <w:pPr>
              <w:rPr>
                <w:rFonts w:asciiTheme="minorHAnsi" w:hAnsiTheme="minorHAnsi"/>
                <w:color w:val="00B050"/>
              </w:rPr>
            </w:pPr>
            <w:r>
              <w:rPr>
                <w:rFonts w:asciiTheme="minorHAnsi" w:hAnsiTheme="minorHAnsi"/>
                <w:color w:val="00B050"/>
              </w:rPr>
              <w:t>PONATINIB</w:t>
            </w:r>
          </w:p>
          <w:p w14:paraId="2C21845E" w14:textId="614D0C56" w:rsidR="00006DF4" w:rsidRDefault="00006DF4" w:rsidP="00006DF4">
            <w:pPr>
              <w:rPr>
                <w:rStyle w:val="Strong"/>
                <w:rFonts w:asciiTheme="minorHAnsi" w:hAnsiTheme="minorHAnsi"/>
                <w:color w:val="000000"/>
                <w:szCs w:val="22"/>
              </w:rPr>
            </w:pPr>
            <w:r w:rsidRPr="00105867">
              <w:rPr>
                <w:rStyle w:val="Strong"/>
                <w:rFonts w:asciiTheme="minorHAnsi" w:hAnsiTheme="minorHAnsi"/>
                <w:color w:val="000000"/>
                <w:szCs w:val="22"/>
              </w:rPr>
              <w:t xml:space="preserve">Index </w:t>
            </w:r>
            <w:r>
              <w:rPr>
                <w:rStyle w:val="Strong"/>
                <w:rFonts w:asciiTheme="minorHAnsi" w:hAnsiTheme="minorHAnsi"/>
                <w:color w:val="000000"/>
                <w:szCs w:val="22"/>
              </w:rPr>
              <w:t>–</w:t>
            </w:r>
            <w:r w:rsidRPr="00105867">
              <w:rPr>
                <w:rStyle w:val="Strong"/>
                <w:rFonts w:asciiTheme="minorHAnsi" w:hAnsiTheme="minorHAnsi"/>
                <w:color w:val="000000"/>
                <w:szCs w:val="22"/>
              </w:rPr>
              <w:t xml:space="preserve"> New Entry</w:t>
            </w:r>
          </w:p>
          <w:p w14:paraId="4A60A4F4" w14:textId="77777777" w:rsidR="00B41842" w:rsidRPr="00B41842" w:rsidRDefault="00B41842" w:rsidP="00B41842">
            <w:pPr>
              <w:rPr>
                <w:rFonts w:asciiTheme="minorHAnsi" w:hAnsiTheme="minorHAnsi"/>
                <w:b/>
                <w:bCs/>
                <w:color w:val="00B050"/>
              </w:rPr>
            </w:pPr>
            <w:r w:rsidRPr="00B41842">
              <w:rPr>
                <w:rFonts w:asciiTheme="minorHAnsi" w:hAnsiTheme="minorHAnsi"/>
                <w:b/>
                <w:bCs/>
                <w:color w:val="00B050"/>
              </w:rPr>
              <w:t>PONATINIB</w:t>
            </w:r>
          </w:p>
          <w:p w14:paraId="61932328" w14:textId="587D4B63" w:rsidR="00006DF4" w:rsidRPr="00B41842" w:rsidRDefault="00B41842" w:rsidP="00006DF4">
            <w:pPr>
              <w:rPr>
                <w:rFonts w:asciiTheme="minorHAnsi" w:hAnsiTheme="minorHAnsi"/>
              </w:rPr>
            </w:pPr>
            <w:r w:rsidRPr="00B41842">
              <w:rPr>
                <w:rFonts w:asciiTheme="minorHAnsi" w:hAnsiTheme="minorHAnsi"/>
                <w:color w:val="00B050"/>
              </w:rPr>
              <w:t>Schedule 4</w:t>
            </w:r>
          </w:p>
        </w:tc>
      </w:tr>
    </w:tbl>
    <w:p w14:paraId="525B29F9" w14:textId="301F92FF" w:rsidR="00B41628" w:rsidRPr="002F1391" w:rsidRDefault="00B41628" w:rsidP="00B41628">
      <w:pPr>
        <w:pStyle w:val="Heading3"/>
        <w:numPr>
          <w:ilvl w:val="0"/>
          <w:numId w:val="0"/>
        </w:numPr>
        <w:spacing w:before="240" w:after="0" w:line="220" w:lineRule="atLeast"/>
        <w:ind w:left="360"/>
      </w:pPr>
      <w:bookmarkStart w:id="17" w:name="_Toc100620706"/>
      <w:r>
        <w:t>2.</w:t>
      </w:r>
      <w:r w:rsidR="00F27DE1">
        <w:t>7</w:t>
      </w:r>
      <w:r w:rsidR="00113E24">
        <w:t xml:space="preserve">  </w:t>
      </w:r>
      <w:r>
        <w:t xml:space="preserve"> </w:t>
      </w:r>
      <w:proofErr w:type="spellStart"/>
      <w:r w:rsidRPr="000B5A74">
        <w:t>Somapacitan</w:t>
      </w:r>
      <w:bookmarkEnd w:id="17"/>
      <w:proofErr w:type="spellEnd"/>
    </w:p>
    <w:tbl>
      <w:tblPr>
        <w:tblStyle w:val="TableGrid"/>
        <w:tblW w:w="0" w:type="auto"/>
        <w:tblInd w:w="988" w:type="dxa"/>
        <w:tblLook w:val="04A0" w:firstRow="1" w:lastRow="0" w:firstColumn="1" w:lastColumn="0" w:noHBand="0" w:noVBand="1"/>
      </w:tblPr>
      <w:tblGrid>
        <w:gridCol w:w="8072"/>
      </w:tblGrid>
      <w:tr w:rsidR="00B41628" w14:paraId="3EA1099F" w14:textId="77777777" w:rsidTr="005A03FF">
        <w:tc>
          <w:tcPr>
            <w:tcW w:w="8072" w:type="dxa"/>
          </w:tcPr>
          <w:p w14:paraId="0E660E1A" w14:textId="549C6964" w:rsidR="00B41628" w:rsidRPr="00105867" w:rsidRDefault="00B41628" w:rsidP="005A03FF">
            <w:pPr>
              <w:rPr>
                <w:rFonts w:asciiTheme="minorHAnsi" w:hAnsiTheme="minorHAnsi"/>
              </w:rPr>
            </w:pPr>
            <w:r w:rsidRPr="00105867">
              <w:rPr>
                <w:rStyle w:val="Strong"/>
                <w:rFonts w:asciiTheme="minorHAnsi" w:hAnsiTheme="minorHAnsi"/>
                <w:color w:val="000000"/>
                <w:szCs w:val="22"/>
              </w:rPr>
              <w:t>Schedule 4</w:t>
            </w:r>
            <w:r w:rsidR="00976248">
              <w:rPr>
                <w:rStyle w:val="Strong"/>
                <w:rFonts w:asciiTheme="minorHAnsi" w:hAnsiTheme="minorHAnsi"/>
                <w:color w:val="000000"/>
                <w:szCs w:val="22"/>
              </w:rPr>
              <w:t xml:space="preserve"> </w:t>
            </w:r>
            <w:r w:rsidRPr="00105867">
              <w:rPr>
                <w:rStyle w:val="Strong"/>
                <w:rFonts w:asciiTheme="minorHAnsi" w:hAnsiTheme="minorHAnsi"/>
                <w:color w:val="000000"/>
                <w:szCs w:val="22"/>
              </w:rPr>
              <w:t>- New Entry</w:t>
            </w:r>
          </w:p>
          <w:p w14:paraId="7C37AA59" w14:textId="2BC4F55D" w:rsidR="00B41628" w:rsidRDefault="00B41628" w:rsidP="005A03FF">
            <w:pPr>
              <w:rPr>
                <w:rStyle w:val="Strong"/>
                <w:rFonts w:asciiTheme="minorHAnsi" w:hAnsiTheme="minorHAnsi"/>
                <w:color w:val="000000"/>
                <w:szCs w:val="22"/>
              </w:rPr>
            </w:pPr>
            <w:r>
              <w:rPr>
                <w:color w:val="00B050"/>
              </w:rPr>
              <w:t>SOMAPACITAN</w:t>
            </w:r>
          </w:p>
          <w:p w14:paraId="7E8F0D4B" w14:textId="77777777" w:rsidR="00B41628" w:rsidRPr="004E10A3" w:rsidRDefault="00B41628" w:rsidP="005A03FF">
            <w:pPr>
              <w:rPr>
                <w:rFonts w:asciiTheme="minorHAnsi" w:hAnsiTheme="minorHAnsi"/>
              </w:rPr>
            </w:pPr>
            <w:r w:rsidRPr="004E10A3">
              <w:rPr>
                <w:rStyle w:val="Strong"/>
                <w:rFonts w:asciiTheme="minorHAnsi" w:hAnsiTheme="minorHAnsi"/>
                <w:szCs w:val="22"/>
              </w:rPr>
              <w:t>Index - New Entry</w:t>
            </w:r>
          </w:p>
          <w:p w14:paraId="7F15CF79" w14:textId="77777777" w:rsidR="00B41628" w:rsidRPr="00B41628" w:rsidRDefault="00B41628" w:rsidP="00B41628">
            <w:pPr>
              <w:rPr>
                <w:rStyle w:val="Strong"/>
                <w:rFonts w:asciiTheme="minorHAnsi" w:hAnsiTheme="minorHAnsi"/>
                <w:b w:val="0"/>
                <w:bCs w:val="0"/>
                <w:color w:val="000000"/>
                <w:szCs w:val="22"/>
              </w:rPr>
            </w:pPr>
            <w:r w:rsidRPr="00B41628">
              <w:rPr>
                <w:b/>
                <w:bCs/>
                <w:color w:val="00B050"/>
              </w:rPr>
              <w:t>SOMAPACITAN</w:t>
            </w:r>
          </w:p>
          <w:p w14:paraId="3743C9CA" w14:textId="77777777" w:rsidR="00B41628" w:rsidRPr="00013BFF" w:rsidRDefault="00B41628" w:rsidP="005A03FF">
            <w:pPr>
              <w:rPr>
                <w:color w:val="00B050"/>
                <w:lang w:eastAsia="en-AU"/>
              </w:rPr>
            </w:pPr>
            <w:r>
              <w:rPr>
                <w:rFonts w:asciiTheme="minorHAnsi" w:hAnsiTheme="minorHAnsi"/>
                <w:color w:val="00B050"/>
              </w:rPr>
              <w:t>Schedule 4</w:t>
            </w:r>
          </w:p>
        </w:tc>
      </w:tr>
    </w:tbl>
    <w:p w14:paraId="4B2EBC09" w14:textId="73A6FFA7" w:rsidR="00BD05E9" w:rsidRDefault="005069D2" w:rsidP="009E6D22">
      <w:pPr>
        <w:pStyle w:val="Heading2"/>
        <w:numPr>
          <w:ilvl w:val="0"/>
          <w:numId w:val="0"/>
        </w:numPr>
        <w:ind w:left="432" w:hanging="432"/>
      </w:pPr>
      <w:bookmarkStart w:id="18" w:name="_Toc100620707"/>
      <w:r>
        <w:lastRenderedPageBreak/>
        <w:t>3</w:t>
      </w:r>
      <w:r>
        <w:tab/>
      </w:r>
      <w:r w:rsidR="0027115A">
        <w:t>A</w:t>
      </w:r>
      <w:r w:rsidR="00BD05E9">
        <w:t xml:space="preserve">mendments to the Poisons Standard </w:t>
      </w:r>
      <w:r w:rsidR="006A70C4">
        <w:t>made as</w:t>
      </w:r>
      <w:r>
        <w:t xml:space="preserve"> </w:t>
      </w:r>
      <w:r w:rsidR="0075678F">
        <w:t xml:space="preserve">delegate-only </w:t>
      </w:r>
      <w:r w:rsidR="006A70C4">
        <w:t>decisions</w:t>
      </w:r>
      <w:bookmarkEnd w:id="18"/>
    </w:p>
    <w:p w14:paraId="78DD88E9" w14:textId="5C6EC861" w:rsidR="006A70C4" w:rsidRDefault="005069D2" w:rsidP="005069D2">
      <w:pPr>
        <w:pStyle w:val="Heading3"/>
        <w:numPr>
          <w:ilvl w:val="0"/>
          <w:numId w:val="0"/>
        </w:numPr>
      </w:pPr>
      <w:bookmarkStart w:id="19" w:name="_Toc81841022"/>
      <w:bookmarkStart w:id="20" w:name="_Toc88836060"/>
      <w:bookmarkStart w:id="21" w:name="_Toc100620708"/>
      <w:bookmarkStart w:id="22" w:name="_Toc81841017"/>
      <w:r>
        <w:t xml:space="preserve">3.1 </w:t>
      </w:r>
      <w:r w:rsidR="006A70C4">
        <w:t>Final decision in relation to</w:t>
      </w:r>
      <w:r w:rsidR="00D14B89" w:rsidRPr="00D14B89">
        <w:rPr>
          <w:color w:val="000000"/>
        </w:rPr>
        <w:t xml:space="preserve"> </w:t>
      </w:r>
      <w:proofErr w:type="spellStart"/>
      <w:r w:rsidR="00D14B89" w:rsidRPr="000A6C2F">
        <w:rPr>
          <w:color w:val="000000"/>
        </w:rPr>
        <w:t>inpyrfluxam</w:t>
      </w:r>
      <w:bookmarkEnd w:id="19"/>
      <w:bookmarkEnd w:id="20"/>
      <w:bookmarkEnd w:id="21"/>
      <w:proofErr w:type="spellEnd"/>
      <w:r w:rsidR="00E44F1E">
        <w:rPr>
          <w:color w:val="000000"/>
        </w:rPr>
        <w:t xml:space="preserve"> </w:t>
      </w:r>
    </w:p>
    <w:p w14:paraId="65DA50F9" w14:textId="77777777" w:rsidR="006A70C4" w:rsidRPr="00C333BC" w:rsidRDefault="006A70C4" w:rsidP="00C333BC">
      <w:pPr>
        <w:pStyle w:val="Heading4"/>
      </w:pPr>
      <w:r w:rsidRPr="00C333BC">
        <w:t xml:space="preserve">Final decision </w:t>
      </w:r>
    </w:p>
    <w:p w14:paraId="03615AD2" w14:textId="01C140C4" w:rsidR="006A70C4" w:rsidRDefault="006A70C4" w:rsidP="005D4DEE">
      <w:r>
        <w:t xml:space="preserve">Pursuant to </w:t>
      </w:r>
      <w:r w:rsidRPr="005607E0">
        <w:t xml:space="preserve">regulation </w:t>
      </w:r>
      <w:r w:rsidRPr="00E67E22">
        <w:t>42ZCZU</w:t>
      </w:r>
      <w:r w:rsidRPr="005607E0">
        <w:t xml:space="preserve"> of</w:t>
      </w:r>
      <w:r>
        <w:t xml:space="preserve"> the </w:t>
      </w:r>
      <w:r w:rsidR="001F3B31">
        <w:t>Therapeutic Goods Regulations 1990 (</w:t>
      </w:r>
      <w:proofErr w:type="spellStart"/>
      <w:r w:rsidR="001F3B31">
        <w:t>Cth</w:t>
      </w:r>
      <w:proofErr w:type="spellEnd"/>
      <w:r w:rsidR="001F3B31">
        <w:t xml:space="preserve">) (the </w:t>
      </w:r>
      <w:r w:rsidR="001F3B31" w:rsidRPr="001F3B31">
        <w:rPr>
          <w:b/>
          <w:bCs/>
        </w:rPr>
        <w:t>Regulations</w:t>
      </w:r>
      <w:r w:rsidR="001F3B31">
        <w:t>)</w:t>
      </w:r>
      <w:r>
        <w:t xml:space="preserve"> a Delegate of the Secretary has made a final decision to amend the current Poisons Standard in relation to </w:t>
      </w:r>
      <w:proofErr w:type="spellStart"/>
      <w:r w:rsidR="00BF0AD7">
        <w:t>inpyrfluxam</w:t>
      </w:r>
      <w:proofErr w:type="spellEnd"/>
      <w:r w:rsidR="00BF0AD7">
        <w:t xml:space="preserve"> </w:t>
      </w:r>
      <w:r>
        <w:t>as follows:</w:t>
      </w:r>
    </w:p>
    <w:p w14:paraId="48E5CF27" w14:textId="162EDF98" w:rsidR="006A70C4" w:rsidRDefault="006A70C4" w:rsidP="00E67E22">
      <w:pPr>
        <w:ind w:left="426"/>
        <w:rPr>
          <w:b/>
        </w:rPr>
      </w:pPr>
      <w:r>
        <w:rPr>
          <w:b/>
        </w:rPr>
        <w:t xml:space="preserve">Schedule </w:t>
      </w:r>
      <w:r w:rsidR="00BF0AD7">
        <w:rPr>
          <w:b/>
        </w:rPr>
        <w:t>6</w:t>
      </w:r>
      <w:r>
        <w:rPr>
          <w:b/>
        </w:rPr>
        <w:t xml:space="preserve"> – New entry</w:t>
      </w:r>
    </w:p>
    <w:p w14:paraId="3348F318" w14:textId="0C2EA974" w:rsidR="006A70C4" w:rsidRPr="002F4D45" w:rsidRDefault="00BF0AD7">
      <w:pPr>
        <w:ind w:left="720"/>
        <w:rPr>
          <w:bCs/>
          <w:color w:val="00B050"/>
        </w:rPr>
      </w:pPr>
      <w:r w:rsidRPr="00BF0AD7">
        <w:rPr>
          <w:bCs/>
          <w:color w:val="00B050"/>
        </w:rPr>
        <w:t>INPYRFLUXAM</w:t>
      </w:r>
    </w:p>
    <w:p w14:paraId="10A2B717" w14:textId="77777777" w:rsidR="006A70C4" w:rsidRPr="00DE54D9" w:rsidRDefault="006A70C4" w:rsidP="00E67E22">
      <w:pPr>
        <w:ind w:left="426"/>
        <w:rPr>
          <w:b/>
        </w:rPr>
      </w:pPr>
      <w:r w:rsidRPr="00DE54D9">
        <w:rPr>
          <w:b/>
        </w:rPr>
        <w:t>Index – New entry</w:t>
      </w:r>
    </w:p>
    <w:p w14:paraId="4D5698E3" w14:textId="77DFE986" w:rsidR="006A70C4" w:rsidRDefault="00BF0AD7">
      <w:pPr>
        <w:ind w:left="720"/>
        <w:rPr>
          <w:b/>
          <w:color w:val="00B050"/>
        </w:rPr>
      </w:pPr>
      <w:r w:rsidRPr="00BF0AD7">
        <w:rPr>
          <w:b/>
          <w:color w:val="00B050"/>
        </w:rPr>
        <w:t xml:space="preserve">INPYRFLUXAM </w:t>
      </w:r>
    </w:p>
    <w:p w14:paraId="0E342AC3" w14:textId="24FDB944" w:rsidR="006A70C4" w:rsidRPr="002F4D45" w:rsidRDefault="006A70C4">
      <w:pPr>
        <w:ind w:left="720"/>
        <w:rPr>
          <w:bCs/>
          <w:color w:val="00B050"/>
        </w:rPr>
      </w:pPr>
      <w:r w:rsidRPr="002F4D45">
        <w:rPr>
          <w:bCs/>
          <w:color w:val="00B050"/>
        </w:rPr>
        <w:t xml:space="preserve">Schedule </w:t>
      </w:r>
      <w:r w:rsidR="00BF0AD7">
        <w:rPr>
          <w:bCs/>
          <w:color w:val="00B050"/>
        </w:rPr>
        <w:t>6</w:t>
      </w:r>
    </w:p>
    <w:p w14:paraId="02593CB5" w14:textId="77777777" w:rsidR="006A70C4" w:rsidRPr="00362C69" w:rsidRDefault="006A70C4">
      <w:pPr>
        <w:pStyle w:val="Heading4"/>
      </w:pPr>
      <w:r w:rsidRPr="00362C69">
        <w:t xml:space="preserve">Materials </w:t>
      </w:r>
      <w:r w:rsidRPr="00372277">
        <w:t>considered</w:t>
      </w:r>
    </w:p>
    <w:p w14:paraId="795DEA8E" w14:textId="77777777" w:rsidR="008A541B" w:rsidRDefault="008A541B" w:rsidP="008A541B">
      <w:pPr>
        <w:pStyle w:val="ListBullet"/>
        <w:numPr>
          <w:ilvl w:val="0"/>
          <w:numId w:val="0"/>
        </w:numPr>
        <w:ind w:left="360" w:hanging="360"/>
        <w:rPr>
          <w:lang w:eastAsia="en-AU"/>
        </w:rPr>
      </w:pPr>
      <w:bookmarkStart w:id="23" w:name="_Hlk86224365"/>
      <w:r>
        <w:rPr>
          <w:lang w:eastAsia="en-AU"/>
        </w:rPr>
        <w:t>In making this final decision, the Delegate considered the following material:</w:t>
      </w:r>
    </w:p>
    <w:p w14:paraId="71E5D85F" w14:textId="77BD0378" w:rsidR="00BD7B86" w:rsidRDefault="00BD7B86" w:rsidP="00BD7B86">
      <w:pPr>
        <w:pStyle w:val="ListBullet"/>
        <w:numPr>
          <w:ilvl w:val="0"/>
          <w:numId w:val="1"/>
        </w:numPr>
        <w:rPr>
          <w:lang w:eastAsia="en-AU"/>
        </w:rPr>
      </w:pPr>
      <w:r>
        <w:rPr>
          <w:lang w:eastAsia="en-AU"/>
        </w:rPr>
        <w:t xml:space="preserve">The application to amend the current Poisons Standard with respect to </w:t>
      </w:r>
      <w:proofErr w:type="spellStart"/>
      <w:proofErr w:type="gramStart"/>
      <w:r>
        <w:rPr>
          <w:lang w:eastAsia="en-AU"/>
        </w:rPr>
        <w:t>inpyrfluxam</w:t>
      </w:r>
      <w:proofErr w:type="spellEnd"/>
      <w:r>
        <w:rPr>
          <w:lang w:eastAsia="en-AU"/>
        </w:rPr>
        <w:t>;</w:t>
      </w:r>
      <w:proofErr w:type="gramEnd"/>
    </w:p>
    <w:p w14:paraId="22FC3D6D" w14:textId="3AF1D310" w:rsidR="008A541B" w:rsidRDefault="008A541B" w:rsidP="008A541B">
      <w:pPr>
        <w:pStyle w:val="ListBullet"/>
        <w:numPr>
          <w:ilvl w:val="0"/>
          <w:numId w:val="1"/>
        </w:numPr>
        <w:rPr>
          <w:lang w:eastAsia="en-AU"/>
        </w:rPr>
      </w:pPr>
      <w:r>
        <w:t>Subsection 52</w:t>
      </w:r>
      <w:proofErr w:type="gramStart"/>
      <w:r>
        <w:t>E(</w:t>
      </w:r>
      <w:proofErr w:type="gramEnd"/>
      <w:r>
        <w:t xml:space="preserve">1) of the </w:t>
      </w:r>
      <w:r w:rsidRPr="00694998">
        <w:rPr>
          <w:i/>
          <w:iCs/>
        </w:rPr>
        <w:t>Therapeutic Goods Act 1989</w:t>
      </w:r>
      <w:r>
        <w:t xml:space="preserve"> (</w:t>
      </w:r>
      <w:proofErr w:type="spellStart"/>
      <w:r>
        <w:t>Cth</w:t>
      </w:r>
      <w:proofErr w:type="spellEnd"/>
      <w:r>
        <w:t xml:space="preserve">) (the </w:t>
      </w:r>
      <w:r w:rsidRPr="00694998">
        <w:rPr>
          <w:b/>
          <w:bCs/>
        </w:rPr>
        <w:t>Act</w:t>
      </w:r>
      <w:r>
        <w:t xml:space="preserve">), in particular (a) the risks and benefits of the use of a substance; (b) the purposes for which a substance is to be used and the extent of use of a substance; (c) the toxicity of a substance; (d) the dosage, formulation, labelling, packaging and presentation of a substance; and (e) the potential for abuse of a substance; </w:t>
      </w:r>
    </w:p>
    <w:p w14:paraId="41CD518B" w14:textId="77777777" w:rsidR="008A541B" w:rsidRDefault="008A541B" w:rsidP="008A541B">
      <w:pPr>
        <w:pStyle w:val="ListBullet"/>
        <w:numPr>
          <w:ilvl w:val="0"/>
          <w:numId w:val="1"/>
        </w:numPr>
        <w:rPr>
          <w:lang w:eastAsia="en-AU"/>
        </w:rPr>
      </w:pPr>
      <w:r>
        <w:t xml:space="preserve">Pursuant to paragraph 52E(2)(a) of the Act, the </w:t>
      </w:r>
      <w:hyperlink r:id="rId15" w:history="1">
        <w:r w:rsidRPr="0024283F">
          <w:rPr>
            <w:rStyle w:val="Hyperlink"/>
          </w:rPr>
          <w:t>Scheduling Policy Framework</w:t>
        </w:r>
      </w:hyperlink>
      <w:r>
        <w:t xml:space="preserve"> 2018 (</w:t>
      </w:r>
      <w:r w:rsidRPr="00694998">
        <w:rPr>
          <w:b/>
          <w:bCs/>
        </w:rPr>
        <w:t>SPF</w:t>
      </w:r>
      <w:r>
        <w:t xml:space="preserve">); and </w:t>
      </w:r>
    </w:p>
    <w:p w14:paraId="7CBE1E41" w14:textId="77777777" w:rsidR="008A541B" w:rsidRDefault="008A541B" w:rsidP="008A541B">
      <w:pPr>
        <w:pStyle w:val="ListBullet"/>
        <w:numPr>
          <w:ilvl w:val="0"/>
          <w:numId w:val="1"/>
        </w:numPr>
        <w:rPr>
          <w:lang w:eastAsia="en-AU"/>
        </w:rPr>
      </w:pPr>
      <w:r>
        <w:t xml:space="preserve">The </w:t>
      </w:r>
      <w:hyperlink r:id="rId16" w:history="1">
        <w:r w:rsidRPr="0024283F">
          <w:rPr>
            <w:rStyle w:val="Hyperlink"/>
          </w:rPr>
          <w:t>Scheduling handbook: Guidance for amending the Poisons Standard</w:t>
        </w:r>
      </w:hyperlink>
      <w:r>
        <w:t xml:space="preserve"> (the </w:t>
      </w:r>
      <w:r w:rsidRPr="00694998">
        <w:rPr>
          <w:b/>
          <w:bCs/>
        </w:rPr>
        <w:t>Handbook</w:t>
      </w:r>
      <w:r>
        <w:t xml:space="preserve">). </w:t>
      </w:r>
    </w:p>
    <w:p w14:paraId="1F207C78" w14:textId="77777777" w:rsidR="006A70C4" w:rsidRPr="00F46A4E" w:rsidRDefault="006A70C4">
      <w:pPr>
        <w:pStyle w:val="Heading4"/>
      </w:pPr>
      <w:r w:rsidRPr="00F46A4E">
        <w:t xml:space="preserve">Reasons for the final </w:t>
      </w:r>
      <w:r w:rsidRPr="00372277">
        <w:t>decision</w:t>
      </w:r>
      <w:r w:rsidRPr="00F46A4E">
        <w:t xml:space="preserve"> (including findings on material questions of fact) </w:t>
      </w:r>
    </w:p>
    <w:p w14:paraId="08942FBF" w14:textId="6F27D7B0" w:rsidR="005115A6" w:rsidRPr="005115A6" w:rsidRDefault="005115A6" w:rsidP="005115A6">
      <w:r w:rsidRPr="005115A6">
        <w:t xml:space="preserve">In determining that this matter will be a delegate-only decision I have </w:t>
      </w:r>
      <w:proofErr w:type="gramStart"/>
      <w:r w:rsidRPr="005115A6">
        <w:t>taken into account</w:t>
      </w:r>
      <w:proofErr w:type="gramEnd"/>
      <w:r w:rsidRPr="005115A6">
        <w:t xml:space="preserve"> the information provided in the application from the applicant (Australian Pesticides and Veterinary Medicine Authority (APVMA)), and the matters outlined under Section 52E of the Act and the SPF. </w:t>
      </w:r>
      <w:proofErr w:type="gramStart"/>
      <w:r w:rsidRPr="005115A6">
        <w:t>In particular I</w:t>
      </w:r>
      <w:proofErr w:type="gramEnd"/>
      <w:r w:rsidRPr="005115A6">
        <w:t xml:space="preserve"> note that:</w:t>
      </w:r>
    </w:p>
    <w:p w14:paraId="47735E10" w14:textId="2144F0FD" w:rsidR="003B39E2" w:rsidRDefault="00BD7B86" w:rsidP="003B39E2">
      <w:pPr>
        <w:pStyle w:val="ListBullet"/>
      </w:pPr>
      <w:r>
        <w:t>In relation to paragraph 52E(1)(a) of the Act, t</w:t>
      </w:r>
      <w:r w:rsidR="00F26C80">
        <w:rPr>
          <w:lang w:eastAsia="en-AU"/>
        </w:rPr>
        <w:t xml:space="preserve">he proposed amendment to the Poisons Standard is to include a new entry for </w:t>
      </w:r>
      <w:proofErr w:type="spellStart"/>
      <w:r w:rsidR="00F26C80">
        <w:rPr>
          <w:lang w:eastAsia="en-AU"/>
        </w:rPr>
        <w:t>inpyrfluxam</w:t>
      </w:r>
      <w:proofErr w:type="spellEnd"/>
      <w:r w:rsidR="00F26C80">
        <w:rPr>
          <w:lang w:eastAsia="en-AU"/>
        </w:rPr>
        <w:t xml:space="preserve"> in Schedule 6, based upon benefits to the agricultural industry from the introduction of a novel fungicide. In its application</w:t>
      </w:r>
      <w:r w:rsidR="001F7DB1">
        <w:rPr>
          <w:lang w:eastAsia="en-AU"/>
        </w:rPr>
        <w:t>,</w:t>
      </w:r>
      <w:r w:rsidR="00F26C80">
        <w:rPr>
          <w:lang w:eastAsia="en-AU"/>
        </w:rPr>
        <w:t xml:space="preserve"> the regulator (APVMA) provided a Human Health Risk Assessment (HHRA) which concluded that the risks to human health and safety posed by this substance are acceptable according to the criteria stipulated in </w:t>
      </w:r>
      <w:r w:rsidR="00F26C80">
        <w:t xml:space="preserve">Section 5A of the </w:t>
      </w:r>
      <w:r w:rsidR="00F26C80" w:rsidRPr="00882C73">
        <w:rPr>
          <w:i/>
          <w:iCs/>
        </w:rPr>
        <w:t>Agricultural and Veterinary Chemicals Code Act (1994)</w:t>
      </w:r>
      <w:r w:rsidR="00F26C80">
        <w:t>.</w:t>
      </w:r>
      <w:r w:rsidR="00F26C80">
        <w:rPr>
          <w:lang w:eastAsia="en-AU"/>
        </w:rPr>
        <w:t xml:space="preserve"> </w:t>
      </w:r>
    </w:p>
    <w:p w14:paraId="605D2E2A" w14:textId="1A82988F" w:rsidR="00C73ACA" w:rsidRDefault="003B39E2" w:rsidP="00C73ACA">
      <w:pPr>
        <w:pStyle w:val="ListBullet"/>
      </w:pPr>
      <w:r w:rsidRPr="003B39E2">
        <w:t xml:space="preserve">In relation to paragraph 52E(1)(b) of the Act, </w:t>
      </w:r>
      <w:proofErr w:type="spellStart"/>
      <w:r w:rsidRPr="003B39E2">
        <w:t>i</w:t>
      </w:r>
      <w:r w:rsidR="00574B36" w:rsidRPr="003B39E2">
        <w:t>npyrfluxam</w:t>
      </w:r>
      <w:proofErr w:type="spellEnd"/>
      <w:r w:rsidR="00574B36" w:rsidRPr="003B39E2">
        <w:t xml:space="preserve"> </w:t>
      </w:r>
      <w:r w:rsidR="009B6ACF">
        <w:t xml:space="preserve">is a fungicide of the </w:t>
      </w:r>
      <w:r w:rsidR="009B6ACF" w:rsidRPr="003B39E2">
        <w:t>pyrazole carboxamide</w:t>
      </w:r>
      <w:r w:rsidR="009B6ACF">
        <w:t xml:space="preserve"> class. </w:t>
      </w:r>
      <w:proofErr w:type="spellStart"/>
      <w:r w:rsidR="009B6ACF">
        <w:t>Inpyrfluxam</w:t>
      </w:r>
      <w:proofErr w:type="spellEnd"/>
      <w:r w:rsidR="009B6ACF">
        <w:t xml:space="preserve"> </w:t>
      </w:r>
      <w:r w:rsidR="00574B36" w:rsidRPr="003B39E2">
        <w:t xml:space="preserve">is a new agricultural technical grade active constituent </w:t>
      </w:r>
      <w:r w:rsidR="00574B36" w:rsidRPr="003B39E2">
        <w:lastRenderedPageBreak/>
        <w:t xml:space="preserve">(TGAC) in Australia </w:t>
      </w:r>
      <w:r w:rsidR="00CC3468" w:rsidRPr="003B39E2">
        <w:t xml:space="preserve">for use </w:t>
      </w:r>
      <w:r w:rsidR="009B6ACF">
        <w:t>on potato and</w:t>
      </w:r>
      <w:r w:rsidR="00CC3468" w:rsidRPr="003B39E2">
        <w:t xml:space="preserve"> banana</w:t>
      </w:r>
      <w:r w:rsidR="009B6ACF">
        <w:t xml:space="preserve"> crops</w:t>
      </w:r>
      <w:r w:rsidR="00574B36" w:rsidRPr="003B39E2">
        <w:t xml:space="preserve">. </w:t>
      </w:r>
      <w:r w:rsidR="006C4621" w:rsidRPr="003B39E2">
        <w:t xml:space="preserve">Products containing </w:t>
      </w:r>
      <w:proofErr w:type="spellStart"/>
      <w:r w:rsidR="006C4621" w:rsidRPr="003B39E2">
        <w:t>i</w:t>
      </w:r>
      <w:r w:rsidR="00574B36" w:rsidRPr="003B39E2">
        <w:t>npyrfluxam</w:t>
      </w:r>
      <w:proofErr w:type="spellEnd"/>
      <w:r w:rsidR="00574B36" w:rsidRPr="003B39E2">
        <w:t xml:space="preserve"> have been approved in Japan, USA and Canada</w:t>
      </w:r>
      <w:r>
        <w:t xml:space="preserve"> and it is</w:t>
      </w:r>
      <w:r w:rsidR="00574B36" w:rsidRPr="003B39E2">
        <w:t xml:space="preserve"> currently under consideration for approval in the EU, </w:t>
      </w:r>
      <w:proofErr w:type="gramStart"/>
      <w:r w:rsidR="00574B36" w:rsidRPr="003B39E2">
        <w:t>Brazil</w:t>
      </w:r>
      <w:proofErr w:type="gramEnd"/>
      <w:r w:rsidR="00574B36" w:rsidRPr="003B39E2">
        <w:t xml:space="preserve"> and Argentina</w:t>
      </w:r>
      <w:r w:rsidR="009B6ACF">
        <w:t>.</w:t>
      </w:r>
      <w:r w:rsidR="00F26C80" w:rsidRPr="003B39E2">
        <w:t xml:space="preserve"> </w:t>
      </w:r>
    </w:p>
    <w:p w14:paraId="26338F4F" w14:textId="79EFCB80" w:rsidR="00502914" w:rsidRDefault="00C73ACA" w:rsidP="00DC4B7C">
      <w:pPr>
        <w:pStyle w:val="ListBullet"/>
      </w:pPr>
      <w:r w:rsidRPr="00DC4B7C">
        <w:t>In relation to paragraph 52E(1)(c) of the Act, t</w:t>
      </w:r>
      <w:r w:rsidR="006C4621" w:rsidRPr="00DC4B7C">
        <w:t xml:space="preserve">he application provided </w:t>
      </w:r>
      <w:r w:rsidR="00502914">
        <w:t>toxicity data about the TGAC and an</w:t>
      </w:r>
      <w:r w:rsidR="003A3B59" w:rsidRPr="00DC4B7C">
        <w:t xml:space="preserve"> agricultural product formulation </w:t>
      </w:r>
      <w:r w:rsidR="000F180D" w:rsidRPr="00DC4B7C">
        <w:t xml:space="preserve">containing </w:t>
      </w:r>
      <w:proofErr w:type="spellStart"/>
      <w:r w:rsidR="000F180D" w:rsidRPr="00DC4B7C">
        <w:t>inp</w:t>
      </w:r>
      <w:r w:rsidR="00F26C80" w:rsidRPr="00DC4B7C">
        <w:t>yrfluxam</w:t>
      </w:r>
      <w:proofErr w:type="spellEnd"/>
      <w:r w:rsidR="003A3B59" w:rsidRPr="00DC4B7C">
        <w:t xml:space="preserve"> </w:t>
      </w:r>
      <w:r w:rsidR="00502914">
        <w:t xml:space="preserve">at </w:t>
      </w:r>
      <w:r w:rsidR="003A3B59" w:rsidRPr="00DC4B7C">
        <w:t>400 g/L</w:t>
      </w:r>
      <w:r w:rsidR="00502914">
        <w:t>.</w:t>
      </w:r>
    </w:p>
    <w:p w14:paraId="5E8B7E6D" w14:textId="65BA3BB2" w:rsidR="00502914" w:rsidRDefault="00502914">
      <w:pPr>
        <w:pStyle w:val="ListBullet"/>
      </w:pPr>
      <w:r>
        <w:t xml:space="preserve">The toxicity data for the TGAC indicated that </w:t>
      </w:r>
      <w:proofErr w:type="spellStart"/>
      <w:r w:rsidRPr="00DC4B7C">
        <w:t>inpyrfluxam</w:t>
      </w:r>
      <w:proofErr w:type="spellEnd"/>
      <w:r w:rsidRPr="00DC4B7C">
        <w:t xml:space="preserve"> is of moderate</w:t>
      </w:r>
      <w:r w:rsidR="005F2FA2">
        <w:t xml:space="preserve"> to high</w:t>
      </w:r>
      <w:r w:rsidRPr="00DC4B7C">
        <w:t xml:space="preserve"> acute toxicity by the oral route (LD</w:t>
      </w:r>
      <w:r w:rsidRPr="00DC4B7C">
        <w:rPr>
          <w:vertAlign w:val="subscript"/>
        </w:rPr>
        <w:t>50</w:t>
      </w:r>
      <w:r w:rsidRPr="00DC4B7C">
        <w:t xml:space="preserve"> between </w:t>
      </w:r>
      <w:r>
        <w:t>50</w:t>
      </w:r>
      <w:r w:rsidRPr="00DC4B7C">
        <w:t xml:space="preserve"> - </w:t>
      </w:r>
      <w:r>
        <w:t>180</w:t>
      </w:r>
      <w:r w:rsidRPr="00DC4B7C">
        <w:t xml:space="preserve"> mg/kg </w:t>
      </w:r>
      <w:proofErr w:type="spellStart"/>
      <w:r w:rsidRPr="00DC4B7C">
        <w:t>bw</w:t>
      </w:r>
      <w:proofErr w:type="spellEnd"/>
      <w:r w:rsidRPr="00DC4B7C">
        <w:t xml:space="preserve"> in rats),</w:t>
      </w:r>
      <w:r w:rsidR="00AC77F7">
        <w:t xml:space="preserve"> and of low acute toxicity by</w:t>
      </w:r>
      <w:r w:rsidRPr="00DC4B7C">
        <w:t xml:space="preserve"> dermal (LD</w:t>
      </w:r>
      <w:r w:rsidRPr="00DC4B7C">
        <w:rPr>
          <w:vertAlign w:val="subscript"/>
        </w:rPr>
        <w:t>50</w:t>
      </w:r>
      <w:r>
        <w:rPr>
          <w:vertAlign w:val="subscript"/>
        </w:rPr>
        <w:t xml:space="preserve"> </w:t>
      </w:r>
      <w:r w:rsidRPr="00DC4B7C">
        <w:t xml:space="preserve">&gt;2000 mg/kg </w:t>
      </w:r>
      <w:proofErr w:type="spellStart"/>
      <w:r w:rsidRPr="00DC4B7C">
        <w:t>bw</w:t>
      </w:r>
      <w:proofErr w:type="spellEnd"/>
      <w:r w:rsidRPr="00DC4B7C">
        <w:t xml:space="preserve"> in rats) and inhalational route</w:t>
      </w:r>
      <w:r w:rsidR="00AC77F7">
        <w:t>s</w:t>
      </w:r>
      <w:r w:rsidRPr="00DC4B7C">
        <w:t xml:space="preserve"> (LD</w:t>
      </w:r>
      <w:r w:rsidRPr="00DC4B7C">
        <w:rPr>
          <w:vertAlign w:val="subscript"/>
        </w:rPr>
        <w:t>50</w:t>
      </w:r>
      <w:r>
        <w:rPr>
          <w:vertAlign w:val="subscript"/>
        </w:rPr>
        <w:t xml:space="preserve"> </w:t>
      </w:r>
      <w:r w:rsidRPr="00DC4B7C">
        <w:t>&gt;2</w:t>
      </w:r>
      <w:r>
        <w:t>6</w:t>
      </w:r>
      <w:r w:rsidRPr="00DC4B7C">
        <w:t>10 mg/m</w:t>
      </w:r>
      <w:r w:rsidRPr="00882C73">
        <w:rPr>
          <w:vertAlign w:val="superscript"/>
        </w:rPr>
        <w:t>3</w:t>
      </w:r>
      <w:r w:rsidRPr="00DC4B7C">
        <w:t xml:space="preserve">/4h in rats). It is a slight eye irritant but not a skin irritant or sensitiser. </w:t>
      </w:r>
      <w:r>
        <w:t>Repeat</w:t>
      </w:r>
      <w:r w:rsidR="00582DB5">
        <w:t>-</w:t>
      </w:r>
      <w:r>
        <w:t>dose</w:t>
      </w:r>
      <w:r w:rsidR="00582DB5">
        <w:t>, chronic</w:t>
      </w:r>
      <w:r>
        <w:t xml:space="preserve"> toxicity studies in mice, rats and dogs identified </w:t>
      </w:r>
      <w:r w:rsidR="00FC7D16">
        <w:t>key adverse effects upon the adrenal gland (zona fasciculat</w:t>
      </w:r>
      <w:r w:rsidR="005F2FA2">
        <w:t>a</w:t>
      </w:r>
      <w:r w:rsidR="00FC7D16">
        <w:t xml:space="preserve"> cell vacuolation) and optic nerve (degeneration). </w:t>
      </w:r>
      <w:proofErr w:type="spellStart"/>
      <w:r w:rsidR="00FC7D16">
        <w:t>Inpryfluxam</w:t>
      </w:r>
      <w:proofErr w:type="spellEnd"/>
      <w:r w:rsidR="00FC7D16">
        <w:t xml:space="preserve"> was not genotoxic in a battery of </w:t>
      </w:r>
      <w:r w:rsidR="00FC7D16" w:rsidRPr="00882C73">
        <w:rPr>
          <w:i/>
          <w:iCs/>
        </w:rPr>
        <w:t>in vitro</w:t>
      </w:r>
      <w:r w:rsidR="00FC7D16">
        <w:t xml:space="preserve"> and </w:t>
      </w:r>
      <w:r w:rsidR="00FC7D16" w:rsidRPr="00882C73">
        <w:rPr>
          <w:i/>
          <w:iCs/>
        </w:rPr>
        <w:t>in vivo</w:t>
      </w:r>
      <w:r w:rsidR="00FC7D16">
        <w:t xml:space="preserve"> </w:t>
      </w:r>
      <w:proofErr w:type="gramStart"/>
      <w:r w:rsidR="00FC7D16">
        <w:t>assays, and</w:t>
      </w:r>
      <w:proofErr w:type="gramEnd"/>
      <w:r w:rsidR="00FC7D16">
        <w:t xml:space="preserve"> was not carcinogenic in chronic toxicity/carcinogenicity studies in mice and rats</w:t>
      </w:r>
      <w:r w:rsidR="00F45568">
        <w:t>, respectively</w:t>
      </w:r>
      <w:r w:rsidR="00FC7D16">
        <w:t xml:space="preserve">. </w:t>
      </w:r>
      <w:proofErr w:type="spellStart"/>
      <w:r w:rsidR="00FC7D16">
        <w:t>Inpyrfluxam</w:t>
      </w:r>
      <w:proofErr w:type="spellEnd"/>
      <w:r w:rsidR="00FC7D16">
        <w:t xml:space="preserve"> was not considered a reproductive or developmental toxicant. Neurotoxicity in rats (reduced motor activity and body temperature) occurred at high acute concentrations (100 mg/kg </w:t>
      </w:r>
      <w:proofErr w:type="spellStart"/>
      <w:r w:rsidR="00FC7D16">
        <w:t>bw</w:t>
      </w:r>
      <w:proofErr w:type="spellEnd"/>
      <w:r w:rsidR="00FC7D16">
        <w:t>)</w:t>
      </w:r>
      <w:r w:rsidR="00F45568">
        <w:t xml:space="preserve"> whereas in dogs, optic nerve damage was observed in </w:t>
      </w:r>
      <w:proofErr w:type="spellStart"/>
      <w:r w:rsidR="00F45568">
        <w:t>subchronic</w:t>
      </w:r>
      <w:proofErr w:type="spellEnd"/>
      <w:r w:rsidR="00F45568">
        <w:t xml:space="preserve"> studies (90 day and 1 year) at doses ≥160 mg/kg </w:t>
      </w:r>
      <w:proofErr w:type="spellStart"/>
      <w:r w:rsidR="00F45568">
        <w:t>bw</w:t>
      </w:r>
      <w:proofErr w:type="spellEnd"/>
      <w:r w:rsidR="00F45568">
        <w:t>/day.</w:t>
      </w:r>
    </w:p>
    <w:p w14:paraId="5B7AD630" w14:textId="268B94CC" w:rsidR="00502914" w:rsidRDefault="00502914" w:rsidP="00DC4B7C">
      <w:pPr>
        <w:pStyle w:val="ListBullet"/>
      </w:pPr>
      <w:r w:rsidRPr="00DC4B7C">
        <w:t xml:space="preserve">An Acceptable Daily Intake (ADI) of 0.06 mg/kg </w:t>
      </w:r>
      <w:proofErr w:type="spellStart"/>
      <w:r w:rsidRPr="00DC4B7C">
        <w:t>bw</w:t>
      </w:r>
      <w:proofErr w:type="spellEnd"/>
      <w:r w:rsidRPr="00DC4B7C">
        <w:t>/d has been established by the APVMA</w:t>
      </w:r>
      <w:r w:rsidR="00F45568">
        <w:t xml:space="preserve"> based on adrenal effects in a 1-year dog study and an </w:t>
      </w:r>
      <w:proofErr w:type="spellStart"/>
      <w:r w:rsidR="00F45568">
        <w:t>ARfD</w:t>
      </w:r>
      <w:proofErr w:type="spellEnd"/>
      <w:r w:rsidR="00F45568">
        <w:t xml:space="preserve"> of 0.3 mg/kg </w:t>
      </w:r>
      <w:proofErr w:type="spellStart"/>
      <w:r w:rsidR="00F45568">
        <w:t>bw</w:t>
      </w:r>
      <w:proofErr w:type="spellEnd"/>
      <w:r w:rsidR="00F45568">
        <w:t xml:space="preserve"> based on transiently reduced motor activity in an acute neurotoxicity study in rats</w:t>
      </w:r>
      <w:r w:rsidR="00F45568" w:rsidRPr="00DC4B7C">
        <w:t>.</w:t>
      </w:r>
      <w:r w:rsidR="00F45568">
        <w:t xml:space="preserve"> Overall, the toxicity profile for </w:t>
      </w:r>
      <w:proofErr w:type="spellStart"/>
      <w:r w:rsidR="00F45568">
        <w:t>inpyrfluxam</w:t>
      </w:r>
      <w:proofErr w:type="spellEnd"/>
      <w:r w:rsidR="00F45568">
        <w:t xml:space="preserve"> (TGAC)</w:t>
      </w:r>
      <w:r w:rsidR="00A45020">
        <w:t xml:space="preserve"> </w:t>
      </w:r>
      <w:r w:rsidR="00F45568">
        <w:t>is consistent with a Schedule 6 entry.</w:t>
      </w:r>
    </w:p>
    <w:p w14:paraId="1B823729" w14:textId="0AC2D511" w:rsidR="00502914" w:rsidRDefault="00F45568" w:rsidP="00DC4B7C">
      <w:pPr>
        <w:pStyle w:val="ListBullet"/>
      </w:pPr>
      <w:r>
        <w:t xml:space="preserve">Toxicity data for a product containing 400 g/L </w:t>
      </w:r>
      <w:proofErr w:type="spellStart"/>
      <w:r w:rsidR="00502914" w:rsidRPr="00DC4B7C">
        <w:t>inpyrfluxam</w:t>
      </w:r>
      <w:proofErr w:type="spellEnd"/>
      <w:r>
        <w:t>, indicated that at this concentration, it</w:t>
      </w:r>
      <w:r w:rsidR="00502914" w:rsidRPr="00DC4B7C">
        <w:t xml:space="preserve"> is of</w:t>
      </w:r>
      <w:r w:rsidR="00163E27">
        <w:t xml:space="preserve"> </w:t>
      </w:r>
      <w:r w:rsidR="00502914" w:rsidRPr="00DC4B7C">
        <w:t>moderate acute toxicity by the oral route (LD</w:t>
      </w:r>
      <w:r w:rsidR="00502914" w:rsidRPr="00DC4B7C">
        <w:rPr>
          <w:vertAlign w:val="subscript"/>
        </w:rPr>
        <w:t>50</w:t>
      </w:r>
      <w:r w:rsidR="00502914" w:rsidRPr="00DC4B7C">
        <w:t xml:space="preserve"> between 300 - 2000 mg/kg </w:t>
      </w:r>
      <w:proofErr w:type="spellStart"/>
      <w:r w:rsidR="00502914" w:rsidRPr="00DC4B7C">
        <w:t>bw</w:t>
      </w:r>
      <w:proofErr w:type="spellEnd"/>
      <w:r w:rsidR="00502914" w:rsidRPr="00DC4B7C">
        <w:t xml:space="preserve"> in rats</w:t>
      </w:r>
      <w:r>
        <w:t>) and of low acute toxicity by the</w:t>
      </w:r>
      <w:r w:rsidR="00502914" w:rsidRPr="00DC4B7C">
        <w:t xml:space="preserve"> dermal (LD</w:t>
      </w:r>
      <w:r w:rsidR="00502914" w:rsidRPr="00DC4B7C">
        <w:rPr>
          <w:vertAlign w:val="subscript"/>
        </w:rPr>
        <w:t>50</w:t>
      </w:r>
      <w:r w:rsidR="00502914">
        <w:rPr>
          <w:vertAlign w:val="subscript"/>
        </w:rPr>
        <w:t xml:space="preserve"> </w:t>
      </w:r>
      <w:r w:rsidR="00502914" w:rsidRPr="00DC4B7C">
        <w:t xml:space="preserve">&gt;2000 mg/kg </w:t>
      </w:r>
      <w:proofErr w:type="spellStart"/>
      <w:r w:rsidR="00502914" w:rsidRPr="00DC4B7C">
        <w:t>bw</w:t>
      </w:r>
      <w:proofErr w:type="spellEnd"/>
      <w:r w:rsidR="00502914" w:rsidRPr="00DC4B7C">
        <w:t xml:space="preserve"> in rats) and inhalational route</w:t>
      </w:r>
      <w:r w:rsidR="00AC77F7">
        <w:t>s</w:t>
      </w:r>
      <w:r w:rsidR="00502914" w:rsidRPr="00DC4B7C">
        <w:t xml:space="preserve"> (LD</w:t>
      </w:r>
      <w:r w:rsidR="00502914" w:rsidRPr="00DC4B7C">
        <w:rPr>
          <w:vertAlign w:val="subscript"/>
        </w:rPr>
        <w:t>50</w:t>
      </w:r>
      <w:r w:rsidR="00502914">
        <w:rPr>
          <w:vertAlign w:val="subscript"/>
        </w:rPr>
        <w:t xml:space="preserve"> </w:t>
      </w:r>
      <w:r w:rsidR="00502914" w:rsidRPr="00DC4B7C">
        <w:t xml:space="preserve">&gt;2210 mg/m3/4h in rats). It is a slight eye irritant but not a skin irritant or sensitiser. </w:t>
      </w:r>
      <w:r w:rsidR="00A45020">
        <w:t xml:space="preserve">Overall, the toxicity profile of </w:t>
      </w:r>
      <w:proofErr w:type="spellStart"/>
      <w:r w:rsidR="00A45020">
        <w:t>inpyrfluxam</w:t>
      </w:r>
      <w:proofErr w:type="spellEnd"/>
      <w:r w:rsidR="00A45020">
        <w:t xml:space="preserve"> in this product is also consistent with a Schedule 6 entry, and no concentration cut-off </w:t>
      </w:r>
      <w:r w:rsidR="00AC77F7">
        <w:t xml:space="preserve">or exemptions </w:t>
      </w:r>
      <w:r w:rsidR="00A45020">
        <w:t>to a lower Schedule could be identifie</w:t>
      </w:r>
      <w:r w:rsidR="00AC77F7">
        <w:t>d</w:t>
      </w:r>
      <w:r w:rsidR="00163E27">
        <w:t xml:space="preserve"> at this time</w:t>
      </w:r>
      <w:r w:rsidR="00A45020">
        <w:t>.</w:t>
      </w:r>
    </w:p>
    <w:p w14:paraId="5F621BCB" w14:textId="34BC04AE" w:rsidR="002C773E" w:rsidRDefault="002C773E" w:rsidP="002C773E">
      <w:pPr>
        <w:pStyle w:val="ListBullet"/>
        <w:numPr>
          <w:ilvl w:val="0"/>
          <w:numId w:val="1"/>
        </w:numPr>
        <w:rPr>
          <w:lang w:eastAsia="en-AU"/>
        </w:rPr>
      </w:pPr>
      <w:r>
        <w:rPr>
          <w:lang w:eastAsia="en-AU"/>
        </w:rPr>
        <w:t>I am satisfied that, for the purposes of paragraph 52E(1)(d) of the Act, the regulator (APVMA) will consider the dosage</w:t>
      </w:r>
      <w:r w:rsidR="001F7DB1">
        <w:rPr>
          <w:lang w:eastAsia="en-AU"/>
        </w:rPr>
        <w:t xml:space="preserve"> (application rate)</w:t>
      </w:r>
      <w:r>
        <w:rPr>
          <w:lang w:eastAsia="en-AU"/>
        </w:rPr>
        <w:t xml:space="preserve">, formulation, labelling, </w:t>
      </w:r>
      <w:proofErr w:type="gramStart"/>
      <w:r>
        <w:rPr>
          <w:lang w:eastAsia="en-AU"/>
        </w:rPr>
        <w:t>packaging</w:t>
      </w:r>
      <w:proofErr w:type="gramEnd"/>
      <w:r>
        <w:rPr>
          <w:lang w:eastAsia="en-AU"/>
        </w:rPr>
        <w:t xml:space="preserve"> and presentation of any commercial products.</w:t>
      </w:r>
    </w:p>
    <w:p w14:paraId="4549F39F" w14:textId="64588270" w:rsidR="00CD3A7F" w:rsidRPr="00963C0B" w:rsidRDefault="00CD3A7F" w:rsidP="00CD3A7F">
      <w:pPr>
        <w:pStyle w:val="ListBullet"/>
      </w:pPr>
      <w:r w:rsidRPr="00963C0B">
        <w:t>In relation to paragraph 52E(1)(e) of the Act, the substance has no human therapeutic value</w:t>
      </w:r>
      <w:r w:rsidR="00DB6D49">
        <w:t xml:space="preserve"> or significant pharmacological effect</w:t>
      </w:r>
      <w:r w:rsidRPr="00963C0B">
        <w:t xml:space="preserve"> that would indicate a risk for diversion, </w:t>
      </w:r>
      <w:proofErr w:type="gramStart"/>
      <w:r w:rsidRPr="00963C0B">
        <w:t>misuse</w:t>
      </w:r>
      <w:proofErr w:type="gramEnd"/>
      <w:r w:rsidRPr="00963C0B">
        <w:t xml:space="preserve"> or abuse.</w:t>
      </w:r>
    </w:p>
    <w:p w14:paraId="0892221B" w14:textId="3A69A816" w:rsidR="006A70C4" w:rsidRPr="00DB4BE8" w:rsidRDefault="00770B2C" w:rsidP="005607E0">
      <w:pPr>
        <w:pStyle w:val="ListBullet"/>
        <w:numPr>
          <w:ilvl w:val="0"/>
          <w:numId w:val="0"/>
        </w:numPr>
        <w:rPr>
          <w:rFonts w:asciiTheme="minorHAnsi" w:hAnsiTheme="minorHAnsi"/>
          <w:szCs w:val="22"/>
        </w:rPr>
      </w:pPr>
      <w:proofErr w:type="gramStart"/>
      <w:r>
        <w:t>On the basis of</w:t>
      </w:r>
      <w:proofErr w:type="gramEnd"/>
      <w:r>
        <w:t xml:space="preserve"> the above considerations and the information provided in the application, I have decided to amend the current Poisons Standard in the manner set out </w:t>
      </w:r>
      <w:r w:rsidR="009E2AC4">
        <w:t>above</w:t>
      </w:r>
      <w:r>
        <w:t>. The proposed amendment was not referred to an expert advisory committee.</w:t>
      </w:r>
    </w:p>
    <w:bookmarkEnd w:id="23"/>
    <w:p w14:paraId="6933268B" w14:textId="6D9FF8F2" w:rsidR="006A70C4" w:rsidRPr="00B76897" w:rsidRDefault="006A70C4" w:rsidP="005D4DEE">
      <w:pPr>
        <w:pStyle w:val="Heading4"/>
      </w:pPr>
      <w:r w:rsidRPr="00B76897">
        <w:t>Date of effect</w:t>
      </w:r>
    </w:p>
    <w:p w14:paraId="17BB11D4" w14:textId="3D97BE8F" w:rsidR="00E73314" w:rsidRPr="00AE35CD" w:rsidRDefault="006A70C4">
      <w:r w:rsidRPr="00E67E22">
        <w:t xml:space="preserve">1 </w:t>
      </w:r>
      <w:r w:rsidR="005607E0" w:rsidRPr="00E67E22">
        <w:t>June 2022</w:t>
      </w:r>
    </w:p>
    <w:p w14:paraId="31C482D7" w14:textId="504CDD6C" w:rsidR="006A70C4" w:rsidRPr="00B3785E" w:rsidRDefault="005069D2" w:rsidP="005069D2">
      <w:pPr>
        <w:pStyle w:val="Heading3"/>
        <w:numPr>
          <w:ilvl w:val="0"/>
          <w:numId w:val="0"/>
        </w:numPr>
      </w:pPr>
      <w:bookmarkStart w:id="24" w:name="_Toc88836061"/>
      <w:bookmarkStart w:id="25" w:name="_Toc100620709"/>
      <w:r>
        <w:lastRenderedPageBreak/>
        <w:t xml:space="preserve">3.2 </w:t>
      </w:r>
      <w:r w:rsidR="006A70C4" w:rsidRPr="00B3785E">
        <w:t xml:space="preserve">Final decision in relation to </w:t>
      </w:r>
      <w:bookmarkStart w:id="26" w:name="_Hlk90470739"/>
      <w:proofErr w:type="spellStart"/>
      <w:r w:rsidR="00D14B89" w:rsidRPr="00B3785E">
        <w:t>d</w:t>
      </w:r>
      <w:r w:rsidR="00D14B89" w:rsidRPr="00B3785E">
        <w:rPr>
          <w:color w:val="000000"/>
        </w:rPr>
        <w:t>impropyridaz</w:t>
      </w:r>
      <w:bookmarkEnd w:id="22"/>
      <w:bookmarkEnd w:id="24"/>
      <w:bookmarkEnd w:id="25"/>
      <w:bookmarkEnd w:id="26"/>
      <w:proofErr w:type="spellEnd"/>
      <w:r w:rsidR="00E44F1E">
        <w:rPr>
          <w:color w:val="000000"/>
        </w:rPr>
        <w:t xml:space="preserve"> </w:t>
      </w:r>
    </w:p>
    <w:p w14:paraId="5ADC35EA" w14:textId="77777777" w:rsidR="006A70C4" w:rsidRPr="00F7689E" w:rsidRDefault="006A70C4">
      <w:pPr>
        <w:pStyle w:val="Heading4"/>
      </w:pPr>
      <w:r w:rsidRPr="00F7689E">
        <w:t xml:space="preserve">Final </w:t>
      </w:r>
      <w:r w:rsidRPr="00372277">
        <w:t>decision</w:t>
      </w:r>
    </w:p>
    <w:p w14:paraId="4D0D3A9B" w14:textId="2EFEB564" w:rsidR="006A70C4" w:rsidRDefault="006A70C4">
      <w:r>
        <w:t xml:space="preserve">Pursuant to </w:t>
      </w:r>
      <w:r w:rsidRPr="005607E0">
        <w:t xml:space="preserve">regulation </w:t>
      </w:r>
      <w:r w:rsidRPr="00021E92">
        <w:t>42ZCZU</w:t>
      </w:r>
      <w:r w:rsidRPr="005607E0">
        <w:t xml:space="preserve"> of the</w:t>
      </w:r>
      <w:r>
        <w:t xml:space="preserve"> Regulations a Delegate of the Secretary has made a final decision to amend the current Poisons Standard in relation to </w:t>
      </w:r>
      <w:proofErr w:type="spellStart"/>
      <w:r w:rsidR="00090E66" w:rsidRPr="00090E66">
        <w:t>dimpropyridaz</w:t>
      </w:r>
      <w:proofErr w:type="spellEnd"/>
      <w:r w:rsidR="00090E66">
        <w:t xml:space="preserve"> </w:t>
      </w:r>
      <w:r>
        <w:t>as follows:</w:t>
      </w:r>
    </w:p>
    <w:p w14:paraId="0F8E3C08" w14:textId="77777777" w:rsidR="006A70C4" w:rsidRDefault="006A70C4" w:rsidP="00021E92">
      <w:pPr>
        <w:ind w:firstLine="426"/>
        <w:rPr>
          <w:b/>
        </w:rPr>
      </w:pPr>
      <w:r>
        <w:rPr>
          <w:b/>
        </w:rPr>
        <w:t>Schedule 6 – New Entry</w:t>
      </w:r>
    </w:p>
    <w:p w14:paraId="5EA1ABB6" w14:textId="37801892" w:rsidR="006A70C4" w:rsidRDefault="00090E66">
      <w:pPr>
        <w:ind w:firstLine="720"/>
        <w:rPr>
          <w:bCs/>
          <w:color w:val="00B050"/>
        </w:rPr>
      </w:pPr>
      <w:r w:rsidRPr="00090E66">
        <w:rPr>
          <w:bCs/>
          <w:color w:val="00B050"/>
        </w:rPr>
        <w:t xml:space="preserve">DIMPROPYRIDAZ </w:t>
      </w:r>
      <w:r w:rsidRPr="00CB6AD1">
        <w:rPr>
          <w:b/>
          <w:color w:val="00B050"/>
        </w:rPr>
        <w:t>except</w:t>
      </w:r>
      <w:r w:rsidRPr="00090E66">
        <w:rPr>
          <w:bCs/>
          <w:color w:val="00B050"/>
        </w:rPr>
        <w:t xml:space="preserve"> when included in Schedule 5.</w:t>
      </w:r>
    </w:p>
    <w:p w14:paraId="31171D2B" w14:textId="77777777" w:rsidR="00090E66" w:rsidRDefault="00090E66" w:rsidP="00021E92">
      <w:pPr>
        <w:ind w:firstLine="426"/>
        <w:rPr>
          <w:b/>
        </w:rPr>
      </w:pPr>
      <w:r>
        <w:rPr>
          <w:b/>
        </w:rPr>
        <w:t>Schedule 5 – New Entry</w:t>
      </w:r>
    </w:p>
    <w:p w14:paraId="367EC4B3" w14:textId="43766BEC" w:rsidR="00090E66" w:rsidRPr="00090E66" w:rsidRDefault="00090E66">
      <w:pPr>
        <w:ind w:firstLine="720"/>
        <w:rPr>
          <w:b/>
          <w:color w:val="00B050"/>
        </w:rPr>
      </w:pPr>
      <w:r w:rsidRPr="00090E66">
        <w:rPr>
          <w:color w:val="00B050"/>
        </w:rPr>
        <w:t xml:space="preserve">DIMPROPYRIDAZ in preparations containing 13 per cent or less of </w:t>
      </w:r>
      <w:proofErr w:type="spellStart"/>
      <w:r w:rsidRPr="00090E66">
        <w:rPr>
          <w:color w:val="00B050"/>
        </w:rPr>
        <w:t>dimpropyridaz</w:t>
      </w:r>
      <w:proofErr w:type="spellEnd"/>
      <w:r w:rsidRPr="00090E66">
        <w:rPr>
          <w:color w:val="00B050"/>
        </w:rPr>
        <w:t>.</w:t>
      </w:r>
    </w:p>
    <w:p w14:paraId="7B4556C8" w14:textId="77777777" w:rsidR="006A70C4" w:rsidRPr="00B05FAF" w:rsidRDefault="006A70C4" w:rsidP="00021E92">
      <w:pPr>
        <w:ind w:firstLine="426"/>
        <w:rPr>
          <w:b/>
        </w:rPr>
      </w:pPr>
      <w:r w:rsidRPr="00B05FAF">
        <w:rPr>
          <w:b/>
        </w:rPr>
        <w:t>Index – New Entry</w:t>
      </w:r>
    </w:p>
    <w:p w14:paraId="2E1F258D" w14:textId="62430C5B" w:rsidR="006A70C4" w:rsidRDefault="00090E66">
      <w:pPr>
        <w:ind w:firstLine="720"/>
        <w:rPr>
          <w:b/>
          <w:color w:val="00B050"/>
        </w:rPr>
      </w:pPr>
      <w:r w:rsidRPr="00090E66">
        <w:rPr>
          <w:b/>
          <w:color w:val="00B050"/>
        </w:rPr>
        <w:t xml:space="preserve">DIMPROPYRIDAZ </w:t>
      </w:r>
    </w:p>
    <w:p w14:paraId="62BB1588" w14:textId="23E3A42F" w:rsidR="005254B4" w:rsidRPr="002F4D45" w:rsidRDefault="005254B4" w:rsidP="005254B4">
      <w:pPr>
        <w:ind w:left="720"/>
        <w:rPr>
          <w:bCs/>
          <w:color w:val="00B050"/>
        </w:rPr>
      </w:pPr>
      <w:r w:rsidRPr="002F4D45">
        <w:rPr>
          <w:bCs/>
          <w:color w:val="00B050"/>
        </w:rPr>
        <w:t xml:space="preserve">Schedule </w:t>
      </w:r>
      <w:r>
        <w:rPr>
          <w:bCs/>
          <w:color w:val="00B050"/>
        </w:rPr>
        <w:t>6</w:t>
      </w:r>
      <w:r>
        <w:rPr>
          <w:bCs/>
          <w:color w:val="00B050"/>
        </w:rPr>
        <w:br/>
      </w:r>
      <w:r w:rsidRPr="002F4D45">
        <w:rPr>
          <w:bCs/>
          <w:color w:val="00B050"/>
        </w:rPr>
        <w:t xml:space="preserve">Schedule </w:t>
      </w:r>
      <w:r>
        <w:rPr>
          <w:bCs/>
          <w:color w:val="00B050"/>
        </w:rPr>
        <w:t>5</w:t>
      </w:r>
    </w:p>
    <w:p w14:paraId="50717EDD" w14:textId="7CD3FA01" w:rsidR="006A70C4" w:rsidRPr="00F7689E" w:rsidRDefault="006A70C4">
      <w:pPr>
        <w:pStyle w:val="Heading4"/>
      </w:pPr>
      <w:r w:rsidRPr="00F7689E">
        <w:t xml:space="preserve">Materials </w:t>
      </w:r>
      <w:r w:rsidRPr="00372277">
        <w:t>considered</w:t>
      </w:r>
    </w:p>
    <w:p w14:paraId="2D1CCF36" w14:textId="77777777" w:rsidR="006A70C4" w:rsidRDefault="006A70C4" w:rsidP="00021E92">
      <w:pPr>
        <w:pStyle w:val="ListBullet"/>
        <w:numPr>
          <w:ilvl w:val="0"/>
          <w:numId w:val="0"/>
        </w:numPr>
        <w:ind w:left="360" w:hanging="360"/>
        <w:rPr>
          <w:lang w:eastAsia="en-AU"/>
        </w:rPr>
      </w:pPr>
      <w:r>
        <w:rPr>
          <w:lang w:eastAsia="en-AU"/>
        </w:rPr>
        <w:t>In making this final decision, the Delegate considered the following material:</w:t>
      </w:r>
    </w:p>
    <w:p w14:paraId="454605CF" w14:textId="6C93456B" w:rsidR="006A70C4" w:rsidRDefault="006A70C4">
      <w:pPr>
        <w:pStyle w:val="ListBullet"/>
        <w:numPr>
          <w:ilvl w:val="0"/>
          <w:numId w:val="1"/>
        </w:numPr>
        <w:rPr>
          <w:lang w:eastAsia="en-AU"/>
        </w:rPr>
      </w:pPr>
      <w:r>
        <w:rPr>
          <w:lang w:eastAsia="en-AU"/>
        </w:rPr>
        <w:t xml:space="preserve">The application to amend the current Poisons Standard with respect to </w:t>
      </w:r>
      <w:proofErr w:type="spellStart"/>
      <w:proofErr w:type="gramStart"/>
      <w:r w:rsidR="00876005" w:rsidRPr="00876005">
        <w:rPr>
          <w:lang w:eastAsia="en-AU"/>
        </w:rPr>
        <w:t>dimpropyridaz</w:t>
      </w:r>
      <w:proofErr w:type="spellEnd"/>
      <w:r>
        <w:rPr>
          <w:lang w:eastAsia="en-AU"/>
        </w:rPr>
        <w:t>;</w:t>
      </w:r>
      <w:proofErr w:type="gramEnd"/>
    </w:p>
    <w:p w14:paraId="3A4C2553" w14:textId="77777777" w:rsidR="002745B4" w:rsidRDefault="002745B4" w:rsidP="002745B4">
      <w:pPr>
        <w:pStyle w:val="ListBullet"/>
        <w:numPr>
          <w:ilvl w:val="0"/>
          <w:numId w:val="1"/>
        </w:numPr>
        <w:rPr>
          <w:lang w:eastAsia="en-AU"/>
        </w:rPr>
      </w:pPr>
      <w:bookmarkStart w:id="27" w:name="_Hlk88572216"/>
      <w:r>
        <w:t>Subsection 52</w:t>
      </w:r>
      <w:proofErr w:type="gramStart"/>
      <w:r>
        <w:t>E(</w:t>
      </w:r>
      <w:proofErr w:type="gramEnd"/>
      <w:r>
        <w:t xml:space="preserve">1) of the Act, in particular (a) the risks and benefits of the use of a substance; (b) the purposes for which a substance is to be used and the extent of use of a substance; (c) the toxicity of a substance; (d) the dosage, formulation, labelling, packaging and presentation of a substance; and (e) the potential for abuse of a substance; </w:t>
      </w:r>
    </w:p>
    <w:p w14:paraId="1640C0C4" w14:textId="77777777" w:rsidR="002745B4" w:rsidRDefault="002745B4" w:rsidP="002745B4">
      <w:pPr>
        <w:pStyle w:val="ListBullet"/>
        <w:numPr>
          <w:ilvl w:val="0"/>
          <w:numId w:val="1"/>
        </w:numPr>
        <w:rPr>
          <w:lang w:eastAsia="en-AU"/>
        </w:rPr>
      </w:pPr>
      <w:r>
        <w:t xml:space="preserve">The SPF, pursuant to paragraph 52E(2)(a) of the Act; and </w:t>
      </w:r>
    </w:p>
    <w:p w14:paraId="4D2FC9FD" w14:textId="77777777" w:rsidR="002745B4" w:rsidRDefault="002745B4" w:rsidP="002745B4">
      <w:pPr>
        <w:pStyle w:val="ListBullet"/>
        <w:numPr>
          <w:ilvl w:val="0"/>
          <w:numId w:val="1"/>
        </w:numPr>
        <w:rPr>
          <w:lang w:eastAsia="en-AU"/>
        </w:rPr>
      </w:pPr>
      <w:r>
        <w:t xml:space="preserve">The Handbook. </w:t>
      </w:r>
    </w:p>
    <w:p w14:paraId="116B0F4D" w14:textId="77777777" w:rsidR="006A70C4" w:rsidRPr="00F7689E" w:rsidRDefault="006A70C4">
      <w:pPr>
        <w:pStyle w:val="Heading4"/>
      </w:pPr>
      <w:r w:rsidRPr="00F7689E">
        <w:t xml:space="preserve">Reasons for the final </w:t>
      </w:r>
      <w:r w:rsidRPr="00372277">
        <w:t>decision</w:t>
      </w:r>
      <w:r w:rsidRPr="00F7689E">
        <w:t xml:space="preserve"> (including findings on material questions of fact) </w:t>
      </w:r>
    </w:p>
    <w:p w14:paraId="33D5CBBF" w14:textId="77777777" w:rsidR="0022019E" w:rsidRPr="0022019E" w:rsidRDefault="0022019E" w:rsidP="0022019E">
      <w:r w:rsidRPr="0022019E">
        <w:t xml:space="preserve">In determining that this matter will be a delegate-only decision I have </w:t>
      </w:r>
      <w:proofErr w:type="gramStart"/>
      <w:r w:rsidRPr="0022019E">
        <w:t>taken into account</w:t>
      </w:r>
      <w:proofErr w:type="gramEnd"/>
      <w:r w:rsidRPr="0022019E">
        <w:t xml:space="preserve"> the information provided in the application from the applicant (Australian Pesticides and Veterinary Medicine Authority (APVMA)), and the matters outlined under Section 52E of the Act and the SPF. </w:t>
      </w:r>
      <w:proofErr w:type="gramStart"/>
      <w:r w:rsidRPr="0022019E">
        <w:t>In particular I</w:t>
      </w:r>
      <w:proofErr w:type="gramEnd"/>
      <w:r w:rsidRPr="0022019E">
        <w:t xml:space="preserve"> note that:</w:t>
      </w:r>
    </w:p>
    <w:p w14:paraId="75EDA87F" w14:textId="1574148C" w:rsidR="006A70C4" w:rsidRDefault="000B240F" w:rsidP="003B1089">
      <w:pPr>
        <w:pStyle w:val="ListBullet"/>
        <w:numPr>
          <w:ilvl w:val="0"/>
          <w:numId w:val="1"/>
        </w:numPr>
        <w:rPr>
          <w:lang w:eastAsia="en-AU"/>
        </w:rPr>
      </w:pPr>
      <w:r>
        <w:t>In relation to paragraph 52E(1)(a) of the Act, t</w:t>
      </w:r>
      <w:r w:rsidR="006A70C4">
        <w:rPr>
          <w:lang w:eastAsia="en-AU"/>
        </w:rPr>
        <w:t xml:space="preserve">he proposed amendment to the Poisons </w:t>
      </w:r>
      <w:r w:rsidR="006A70C4" w:rsidRPr="003C7A68">
        <w:rPr>
          <w:lang w:eastAsia="en-AU"/>
        </w:rPr>
        <w:t>Standard is to include new entr</w:t>
      </w:r>
      <w:r w:rsidR="00CB6AD1">
        <w:rPr>
          <w:lang w:eastAsia="en-AU"/>
        </w:rPr>
        <w:t>ies</w:t>
      </w:r>
      <w:r w:rsidR="006A70C4">
        <w:rPr>
          <w:lang w:eastAsia="en-AU"/>
        </w:rPr>
        <w:t xml:space="preserve"> for</w:t>
      </w:r>
      <w:r w:rsidR="000A6C2F">
        <w:rPr>
          <w:lang w:eastAsia="en-AU"/>
        </w:rPr>
        <w:t xml:space="preserve"> </w:t>
      </w:r>
      <w:proofErr w:type="spellStart"/>
      <w:r w:rsidR="000A6C2F" w:rsidRPr="000A6C2F">
        <w:rPr>
          <w:lang w:eastAsia="en-AU"/>
        </w:rPr>
        <w:t>dimpropyridaz</w:t>
      </w:r>
      <w:proofErr w:type="spellEnd"/>
      <w:r w:rsidR="000A6C2F">
        <w:rPr>
          <w:lang w:eastAsia="en-AU"/>
        </w:rPr>
        <w:t xml:space="preserve"> </w:t>
      </w:r>
      <w:r w:rsidR="006A70C4">
        <w:rPr>
          <w:lang w:eastAsia="en-AU"/>
        </w:rPr>
        <w:t xml:space="preserve">in Schedule </w:t>
      </w:r>
      <w:r w:rsidR="000A6C2F">
        <w:rPr>
          <w:lang w:eastAsia="en-AU"/>
        </w:rPr>
        <w:t xml:space="preserve">5 and </w:t>
      </w:r>
      <w:r w:rsidR="00CB6AD1">
        <w:rPr>
          <w:lang w:eastAsia="en-AU"/>
        </w:rPr>
        <w:t xml:space="preserve">Schedule </w:t>
      </w:r>
      <w:r w:rsidR="006A70C4">
        <w:rPr>
          <w:lang w:eastAsia="en-AU"/>
        </w:rPr>
        <w:t xml:space="preserve">6, based upon benefits to the agricultural industry from the introduction of a novel </w:t>
      </w:r>
      <w:r w:rsidR="009C74CD">
        <w:rPr>
          <w:lang w:eastAsia="en-AU"/>
        </w:rPr>
        <w:t>insecticide</w:t>
      </w:r>
      <w:r w:rsidR="006A70C4">
        <w:rPr>
          <w:lang w:eastAsia="en-AU"/>
        </w:rPr>
        <w:t>. In its application</w:t>
      </w:r>
      <w:r w:rsidR="001F7DB1">
        <w:rPr>
          <w:lang w:eastAsia="en-AU"/>
        </w:rPr>
        <w:t>,</w:t>
      </w:r>
      <w:r w:rsidR="006A70C4">
        <w:rPr>
          <w:lang w:eastAsia="en-AU"/>
        </w:rPr>
        <w:t xml:space="preserve"> the regulator (APVMA) provided a Human Health Risk Assessment (HHRA) which concluded that the risks to human health and safety posed by this substance are acceptable according to the criteria stipulated in </w:t>
      </w:r>
      <w:r w:rsidR="006A70C4">
        <w:t xml:space="preserve">Section 5A of the </w:t>
      </w:r>
      <w:r w:rsidR="006A70C4" w:rsidRPr="00882C73">
        <w:rPr>
          <w:i/>
          <w:iCs/>
        </w:rPr>
        <w:t>Agricultural and Veterinary Chemicals Code Act (1994)</w:t>
      </w:r>
      <w:r w:rsidR="003C7A68">
        <w:t>.</w:t>
      </w:r>
      <w:r w:rsidR="006A70C4">
        <w:t xml:space="preserve"> </w:t>
      </w:r>
    </w:p>
    <w:p w14:paraId="359D1CCE" w14:textId="359C0984" w:rsidR="00AB51A6" w:rsidRDefault="000B240F" w:rsidP="003B1089">
      <w:pPr>
        <w:pStyle w:val="ListBullet"/>
        <w:numPr>
          <w:ilvl w:val="0"/>
          <w:numId w:val="1"/>
        </w:numPr>
        <w:rPr>
          <w:lang w:eastAsia="en-AU"/>
        </w:rPr>
      </w:pPr>
      <w:r w:rsidRPr="003B39E2">
        <w:t xml:space="preserve">In relation to paragraph 52E(1)(b) of the Act, </w:t>
      </w:r>
      <w:proofErr w:type="spellStart"/>
      <w:r>
        <w:t>d</w:t>
      </w:r>
      <w:r w:rsidR="00B869CF" w:rsidRPr="00E73314">
        <w:rPr>
          <w:lang w:eastAsia="en-AU"/>
        </w:rPr>
        <w:t>impropyridaz</w:t>
      </w:r>
      <w:proofErr w:type="spellEnd"/>
      <w:r w:rsidR="009C74CD">
        <w:rPr>
          <w:lang w:eastAsia="en-AU"/>
        </w:rPr>
        <w:t xml:space="preserve"> is a</w:t>
      </w:r>
      <w:r w:rsidR="00C67E19">
        <w:rPr>
          <w:lang w:eastAsia="en-AU"/>
        </w:rPr>
        <w:t xml:space="preserve">n insecticide of the </w:t>
      </w:r>
      <w:r w:rsidR="00C67E19" w:rsidRPr="00766967">
        <w:t xml:space="preserve">pyrazole carboxamide </w:t>
      </w:r>
      <w:r w:rsidR="00C67E19">
        <w:t>class. Other members of this class are included in Schedule 5 (f</w:t>
      </w:r>
      <w:r w:rsidR="00C67E19" w:rsidRPr="00E73314">
        <w:rPr>
          <w:lang w:eastAsia="en-AU"/>
        </w:rPr>
        <w:t>luxapyroxad</w:t>
      </w:r>
      <w:r w:rsidR="00C67E19">
        <w:rPr>
          <w:lang w:eastAsia="en-AU"/>
        </w:rPr>
        <w:t>) and Schedule 6 (</w:t>
      </w:r>
      <w:r w:rsidR="00C67E19" w:rsidRPr="00E73314">
        <w:rPr>
          <w:lang w:eastAsia="en-AU"/>
        </w:rPr>
        <w:t>tebufenpyrad</w:t>
      </w:r>
      <w:r w:rsidR="00C67E19">
        <w:rPr>
          <w:lang w:eastAsia="en-AU"/>
        </w:rPr>
        <w:t xml:space="preserve">). </w:t>
      </w:r>
      <w:proofErr w:type="spellStart"/>
      <w:r w:rsidR="00C67E19">
        <w:t>Dimpropyridaz</w:t>
      </w:r>
      <w:proofErr w:type="spellEnd"/>
      <w:r w:rsidR="00C67E19">
        <w:t xml:space="preserve"> is a</w:t>
      </w:r>
      <w:r w:rsidR="00C67E19">
        <w:rPr>
          <w:lang w:eastAsia="en-AU"/>
        </w:rPr>
        <w:t xml:space="preserve"> </w:t>
      </w:r>
      <w:r w:rsidR="009C74CD">
        <w:rPr>
          <w:lang w:eastAsia="en-AU"/>
        </w:rPr>
        <w:t>new agricultural technical grade active constituent (TGAC) in Australia</w:t>
      </w:r>
      <w:r w:rsidR="00AE0520">
        <w:rPr>
          <w:lang w:eastAsia="en-AU"/>
        </w:rPr>
        <w:t xml:space="preserve"> and </w:t>
      </w:r>
      <w:r w:rsidR="00B77A19" w:rsidRPr="00E73314">
        <w:rPr>
          <w:lang w:eastAsia="en-AU"/>
        </w:rPr>
        <w:t>has not previously been approved overseas</w:t>
      </w:r>
      <w:r w:rsidR="00C67E19">
        <w:rPr>
          <w:lang w:eastAsia="en-AU"/>
        </w:rPr>
        <w:t>.</w:t>
      </w:r>
    </w:p>
    <w:p w14:paraId="51CFF857" w14:textId="345B3F6E" w:rsidR="00770CB9" w:rsidRPr="00882C73" w:rsidRDefault="00864FCD" w:rsidP="002F1391">
      <w:pPr>
        <w:pStyle w:val="ListBullet"/>
        <w:numPr>
          <w:ilvl w:val="0"/>
          <w:numId w:val="1"/>
        </w:numPr>
        <w:rPr>
          <w:rFonts w:asciiTheme="minorHAnsi" w:hAnsiTheme="minorHAnsi"/>
          <w:szCs w:val="22"/>
          <w:lang w:eastAsia="en-AU"/>
        </w:rPr>
      </w:pPr>
      <w:r w:rsidRPr="00963C0B">
        <w:lastRenderedPageBreak/>
        <w:t>In relation to paragraph 52E(1)(c) of the Act,</w:t>
      </w:r>
      <w:r w:rsidR="00770CB9">
        <w:t xml:space="preserve"> </w:t>
      </w:r>
      <w:r w:rsidR="00770CB9" w:rsidRPr="00DC4B7C">
        <w:t xml:space="preserve">the application provided </w:t>
      </w:r>
      <w:r w:rsidR="00770CB9">
        <w:t>toxicity data about the TGAC and an</w:t>
      </w:r>
      <w:r w:rsidR="00770CB9" w:rsidRPr="00DC4B7C">
        <w:t xml:space="preserve"> agricultural product formulation containing </w:t>
      </w:r>
      <w:proofErr w:type="spellStart"/>
      <w:r w:rsidR="00770CB9">
        <w:t>dimpropyridaz</w:t>
      </w:r>
      <w:proofErr w:type="spellEnd"/>
      <w:r w:rsidR="00770CB9" w:rsidRPr="00DC4B7C">
        <w:t xml:space="preserve"> </w:t>
      </w:r>
      <w:r w:rsidR="00770CB9">
        <w:t>at 120</w:t>
      </w:r>
      <w:r w:rsidR="00770CB9" w:rsidRPr="00DC4B7C">
        <w:t xml:space="preserve"> g/L</w:t>
      </w:r>
      <w:r w:rsidR="00770CB9">
        <w:t xml:space="preserve"> (equivalent to 13%).</w:t>
      </w:r>
    </w:p>
    <w:p w14:paraId="213EABA2" w14:textId="513B15B6" w:rsidR="00676E68" w:rsidRPr="00882C73" w:rsidRDefault="00770CB9" w:rsidP="002F1391">
      <w:pPr>
        <w:pStyle w:val="ListBullet"/>
        <w:numPr>
          <w:ilvl w:val="0"/>
          <w:numId w:val="1"/>
        </w:numPr>
        <w:rPr>
          <w:rFonts w:asciiTheme="minorHAnsi" w:hAnsiTheme="minorHAnsi"/>
          <w:szCs w:val="22"/>
          <w:lang w:eastAsia="en-AU"/>
        </w:rPr>
      </w:pPr>
      <w:r>
        <w:t xml:space="preserve">The toxicity data for the TGAC indicated that </w:t>
      </w:r>
      <w:proofErr w:type="spellStart"/>
      <w:r>
        <w:t>dimpropyridaz</w:t>
      </w:r>
      <w:proofErr w:type="spellEnd"/>
      <w:r>
        <w:t xml:space="preserve"> is of moderate </w:t>
      </w:r>
      <w:r w:rsidRPr="00E73314">
        <w:rPr>
          <w:lang w:eastAsia="en-AU"/>
        </w:rPr>
        <w:t xml:space="preserve">acute toxicity by </w:t>
      </w:r>
      <w:r>
        <w:rPr>
          <w:lang w:eastAsia="en-AU"/>
        </w:rPr>
        <w:t xml:space="preserve">the </w:t>
      </w:r>
      <w:r w:rsidRPr="00E73314">
        <w:rPr>
          <w:lang w:eastAsia="en-AU"/>
        </w:rPr>
        <w:t>oral</w:t>
      </w:r>
      <w:r w:rsidR="004B1A4C">
        <w:rPr>
          <w:lang w:eastAsia="en-AU"/>
        </w:rPr>
        <w:t xml:space="preserve"> route</w:t>
      </w:r>
      <w:r>
        <w:rPr>
          <w:lang w:eastAsia="en-AU"/>
        </w:rPr>
        <w:t xml:space="preserve"> (LD</w:t>
      </w:r>
      <w:r w:rsidRPr="00AE0520">
        <w:rPr>
          <w:vertAlign w:val="subscript"/>
          <w:lang w:eastAsia="en-AU"/>
        </w:rPr>
        <w:t>50</w:t>
      </w:r>
      <w:r>
        <w:rPr>
          <w:lang w:eastAsia="en-AU"/>
        </w:rPr>
        <w:t xml:space="preserve"> </w:t>
      </w:r>
      <w:r w:rsidR="00072BAE">
        <w:rPr>
          <w:rFonts w:ascii="Times New Roman" w:hAnsi="Times New Roman"/>
          <w:szCs w:val="22"/>
        </w:rPr>
        <w:t>300 to 500</w:t>
      </w:r>
      <w:r w:rsidRPr="00781751">
        <w:rPr>
          <w:rFonts w:ascii="Times New Roman" w:hAnsi="Times New Roman"/>
          <w:szCs w:val="22"/>
        </w:rPr>
        <w:t xml:space="preserve"> mg/kg </w:t>
      </w:r>
      <w:proofErr w:type="spellStart"/>
      <w:r w:rsidRPr="00781751">
        <w:rPr>
          <w:rFonts w:ascii="Times New Roman" w:hAnsi="Times New Roman"/>
          <w:szCs w:val="22"/>
        </w:rPr>
        <w:t>bw</w:t>
      </w:r>
      <w:proofErr w:type="spellEnd"/>
      <w:r w:rsidRPr="00781751">
        <w:rPr>
          <w:rFonts w:ascii="Times New Roman" w:hAnsi="Times New Roman"/>
          <w:szCs w:val="22"/>
        </w:rPr>
        <w:t xml:space="preserve"> in rats)</w:t>
      </w:r>
      <w:r w:rsidRPr="00E73314">
        <w:rPr>
          <w:lang w:eastAsia="en-AU"/>
        </w:rPr>
        <w:t>,</w:t>
      </w:r>
      <w:r w:rsidR="004B1A4C">
        <w:rPr>
          <w:lang w:eastAsia="en-AU"/>
        </w:rPr>
        <w:t xml:space="preserve"> and low acute toxicity by the</w:t>
      </w:r>
      <w:r w:rsidRPr="00E73314">
        <w:rPr>
          <w:lang w:eastAsia="en-AU"/>
        </w:rPr>
        <w:t xml:space="preserve"> dermal</w:t>
      </w:r>
      <w:r>
        <w:rPr>
          <w:lang w:eastAsia="en-AU"/>
        </w:rPr>
        <w:t xml:space="preserve"> (LD</w:t>
      </w:r>
      <w:r w:rsidRPr="00AE0520">
        <w:rPr>
          <w:vertAlign w:val="subscript"/>
          <w:lang w:eastAsia="en-AU"/>
        </w:rPr>
        <w:t>50</w:t>
      </w:r>
      <w:r>
        <w:rPr>
          <w:vertAlign w:val="subscript"/>
          <w:lang w:eastAsia="en-AU"/>
        </w:rPr>
        <w:t xml:space="preserve"> </w:t>
      </w:r>
      <w:r w:rsidRPr="00781751">
        <w:rPr>
          <w:rFonts w:ascii="Times New Roman" w:hAnsi="Times New Roman"/>
          <w:szCs w:val="22"/>
        </w:rPr>
        <w:t xml:space="preserve">&gt;2000 mg/kg </w:t>
      </w:r>
      <w:proofErr w:type="spellStart"/>
      <w:r w:rsidRPr="00781751">
        <w:rPr>
          <w:rFonts w:ascii="Times New Roman" w:hAnsi="Times New Roman"/>
          <w:szCs w:val="22"/>
        </w:rPr>
        <w:t>bw</w:t>
      </w:r>
      <w:proofErr w:type="spellEnd"/>
      <w:r w:rsidRPr="00781751">
        <w:rPr>
          <w:rFonts w:ascii="Times New Roman" w:hAnsi="Times New Roman"/>
          <w:szCs w:val="22"/>
        </w:rPr>
        <w:t xml:space="preserve"> in rats)</w:t>
      </w:r>
      <w:r w:rsidRPr="00E73314">
        <w:rPr>
          <w:lang w:eastAsia="en-AU"/>
        </w:rPr>
        <w:t xml:space="preserve"> and inhalation routes</w:t>
      </w:r>
      <w:r>
        <w:rPr>
          <w:lang w:eastAsia="en-AU"/>
        </w:rPr>
        <w:t xml:space="preserve"> (LD</w:t>
      </w:r>
      <w:r w:rsidRPr="00AE0520">
        <w:rPr>
          <w:vertAlign w:val="subscript"/>
          <w:lang w:eastAsia="en-AU"/>
        </w:rPr>
        <w:t>50</w:t>
      </w:r>
      <w:r>
        <w:rPr>
          <w:vertAlign w:val="subscript"/>
          <w:lang w:eastAsia="en-AU"/>
        </w:rPr>
        <w:t xml:space="preserve"> </w:t>
      </w:r>
      <w:r w:rsidRPr="00781751">
        <w:rPr>
          <w:rFonts w:ascii="Times New Roman" w:eastAsia="Times New Roman" w:hAnsi="Times New Roman"/>
          <w:szCs w:val="22"/>
        </w:rPr>
        <w:t>&gt;5</w:t>
      </w:r>
      <w:r w:rsidR="00072BAE">
        <w:rPr>
          <w:rFonts w:ascii="Times New Roman" w:eastAsia="Times New Roman" w:hAnsi="Times New Roman"/>
          <w:szCs w:val="22"/>
        </w:rPr>
        <w:t>590</w:t>
      </w:r>
      <w:r w:rsidRPr="00781751">
        <w:rPr>
          <w:rFonts w:ascii="Times New Roman" w:eastAsia="Times New Roman" w:hAnsi="Times New Roman"/>
          <w:szCs w:val="22"/>
        </w:rPr>
        <w:t xml:space="preserve"> </w:t>
      </w:r>
      <w:r w:rsidRPr="00781751">
        <w:rPr>
          <w:rFonts w:ascii="Times New Roman" w:hAnsi="Times New Roman"/>
          <w:szCs w:val="22"/>
        </w:rPr>
        <w:t>mg/m</w:t>
      </w:r>
      <w:r w:rsidRPr="00781751">
        <w:rPr>
          <w:rFonts w:ascii="Times New Roman" w:hAnsi="Times New Roman"/>
          <w:szCs w:val="22"/>
          <w:vertAlign w:val="superscript"/>
        </w:rPr>
        <w:t xml:space="preserve">3 </w:t>
      </w:r>
      <w:r w:rsidRPr="00781751">
        <w:rPr>
          <w:rFonts w:ascii="Times New Roman" w:hAnsi="Times New Roman"/>
          <w:szCs w:val="22"/>
        </w:rPr>
        <w:t>in rats)</w:t>
      </w:r>
      <w:r w:rsidRPr="00E73314">
        <w:rPr>
          <w:lang w:eastAsia="en-AU"/>
        </w:rPr>
        <w:t>.</w:t>
      </w:r>
      <w:r w:rsidR="00072BAE">
        <w:rPr>
          <w:lang w:eastAsia="en-AU"/>
        </w:rPr>
        <w:t xml:space="preserve"> It is a slight skin and eye irritant in rabbits but is not a skin sensitiser in the mouse (</w:t>
      </w:r>
      <w:r w:rsidR="00F67A84">
        <w:rPr>
          <w:lang w:eastAsia="en-AU"/>
        </w:rPr>
        <w:t xml:space="preserve">local lymph node assay, </w:t>
      </w:r>
      <w:r w:rsidR="00072BAE">
        <w:rPr>
          <w:lang w:eastAsia="en-AU"/>
        </w:rPr>
        <w:t>LLNA). Repeat</w:t>
      </w:r>
      <w:r w:rsidR="00582DB5">
        <w:rPr>
          <w:lang w:eastAsia="en-AU"/>
        </w:rPr>
        <w:t>-</w:t>
      </w:r>
      <w:r w:rsidR="00072BAE">
        <w:rPr>
          <w:lang w:eastAsia="en-AU"/>
        </w:rPr>
        <w:t>dose</w:t>
      </w:r>
      <w:r w:rsidR="00582DB5">
        <w:rPr>
          <w:lang w:eastAsia="en-AU"/>
        </w:rPr>
        <w:t>,</w:t>
      </w:r>
      <w:r w:rsidR="00072BAE">
        <w:rPr>
          <w:lang w:eastAsia="en-AU"/>
        </w:rPr>
        <w:t xml:space="preserve"> chronic toxicity studies </w:t>
      </w:r>
      <w:r w:rsidR="004B1A4C">
        <w:rPr>
          <w:lang w:eastAsia="en-AU"/>
        </w:rPr>
        <w:t xml:space="preserve">in mice, rats and dogs </w:t>
      </w:r>
      <w:r w:rsidR="00072BAE">
        <w:rPr>
          <w:lang w:eastAsia="en-AU"/>
        </w:rPr>
        <w:t>in</w:t>
      </w:r>
      <w:r w:rsidR="004B1A4C">
        <w:rPr>
          <w:lang w:eastAsia="en-AU"/>
        </w:rPr>
        <w:t xml:space="preserve">dicated that </w:t>
      </w:r>
      <w:proofErr w:type="spellStart"/>
      <w:r w:rsidR="004B1A4C">
        <w:rPr>
          <w:lang w:eastAsia="en-AU"/>
        </w:rPr>
        <w:t>dimpropyridaz</w:t>
      </w:r>
      <w:proofErr w:type="spellEnd"/>
      <w:r w:rsidR="004B1A4C">
        <w:rPr>
          <w:lang w:eastAsia="en-AU"/>
        </w:rPr>
        <w:t xml:space="preserve"> intake was generally associated with reductions in body weight and some mild</w:t>
      </w:r>
      <w:r w:rsidR="00676E68">
        <w:rPr>
          <w:lang w:eastAsia="en-AU"/>
        </w:rPr>
        <w:t>, reversible</w:t>
      </w:r>
      <w:r w:rsidR="004B1A4C">
        <w:rPr>
          <w:lang w:eastAsia="en-AU"/>
        </w:rPr>
        <w:t xml:space="preserve"> hepatotoxicity.</w:t>
      </w:r>
      <w:r w:rsidR="00676E68">
        <w:rPr>
          <w:lang w:eastAsia="en-AU"/>
        </w:rPr>
        <w:t xml:space="preserve"> While </w:t>
      </w:r>
      <w:proofErr w:type="spellStart"/>
      <w:r w:rsidR="00676E68">
        <w:rPr>
          <w:lang w:eastAsia="en-AU"/>
        </w:rPr>
        <w:t>dimpropyridaz</w:t>
      </w:r>
      <w:proofErr w:type="spellEnd"/>
      <w:r w:rsidR="00676E68">
        <w:rPr>
          <w:lang w:eastAsia="en-AU"/>
        </w:rPr>
        <w:t xml:space="preserve"> was </w:t>
      </w:r>
      <w:proofErr w:type="spellStart"/>
      <w:r w:rsidR="00676E68">
        <w:rPr>
          <w:lang w:eastAsia="en-AU"/>
        </w:rPr>
        <w:t>maternotoxic</w:t>
      </w:r>
      <w:proofErr w:type="spellEnd"/>
      <w:r w:rsidR="00676E68">
        <w:rPr>
          <w:lang w:eastAsia="en-AU"/>
        </w:rPr>
        <w:t>, it was not a developmental toxic</w:t>
      </w:r>
      <w:r w:rsidR="00D16B61">
        <w:rPr>
          <w:lang w:eastAsia="en-AU"/>
        </w:rPr>
        <w:t>ant</w:t>
      </w:r>
      <w:r w:rsidR="00676E68">
        <w:rPr>
          <w:lang w:eastAsia="en-AU"/>
        </w:rPr>
        <w:t xml:space="preserve"> in either rats or rabbits. It was not acutely neurotoxic in rats, and it was not genotoxic in a battery of </w:t>
      </w:r>
      <w:r w:rsidR="00676E68" w:rsidRPr="00882C73">
        <w:rPr>
          <w:i/>
          <w:iCs/>
          <w:lang w:eastAsia="en-AU"/>
        </w:rPr>
        <w:t xml:space="preserve">in vitro </w:t>
      </w:r>
      <w:r w:rsidR="00676E68">
        <w:rPr>
          <w:lang w:eastAsia="en-AU"/>
        </w:rPr>
        <w:t xml:space="preserve">and </w:t>
      </w:r>
      <w:r w:rsidR="00676E68" w:rsidRPr="00882C73">
        <w:rPr>
          <w:i/>
          <w:iCs/>
          <w:lang w:eastAsia="en-AU"/>
        </w:rPr>
        <w:t>in vivo</w:t>
      </w:r>
      <w:r w:rsidR="00676E68">
        <w:rPr>
          <w:lang w:eastAsia="en-AU"/>
        </w:rPr>
        <w:t xml:space="preserve"> assays. I</w:t>
      </w:r>
      <w:r w:rsidR="00676E68">
        <w:t xml:space="preserve">t was not a human-relevant </w:t>
      </w:r>
      <w:r w:rsidR="00676E68" w:rsidRPr="00882C73">
        <w:t>carcinogen</w:t>
      </w:r>
      <w:r w:rsidR="00676E68">
        <w:t xml:space="preserve"> in </w:t>
      </w:r>
      <w:proofErr w:type="gramStart"/>
      <w:r w:rsidR="00676E68">
        <w:t>rats</w:t>
      </w:r>
      <w:proofErr w:type="gramEnd"/>
      <w:r w:rsidR="00676E68">
        <w:t xml:space="preserve"> and it was </w:t>
      </w:r>
      <w:r w:rsidR="00835BD8">
        <w:t xml:space="preserve">not </w:t>
      </w:r>
      <w:r w:rsidR="00676E68">
        <w:t xml:space="preserve">carcinogenic in mice. </w:t>
      </w:r>
      <w:r w:rsidR="00676E68" w:rsidRPr="00882C73">
        <w:t xml:space="preserve"> </w:t>
      </w:r>
    </w:p>
    <w:p w14:paraId="3A554012" w14:textId="7BD5DC96" w:rsidR="00676E68" w:rsidRDefault="00676E68" w:rsidP="00676E68">
      <w:pPr>
        <w:pStyle w:val="ListBullet"/>
      </w:pPr>
      <w:r w:rsidRPr="00DC4B7C">
        <w:t>An Acceptable Daily Intake (ADI) of 0.</w:t>
      </w:r>
      <w:r>
        <w:t>2</w:t>
      </w:r>
      <w:r w:rsidRPr="00DC4B7C">
        <w:t xml:space="preserve"> mg/kg </w:t>
      </w:r>
      <w:proofErr w:type="spellStart"/>
      <w:r w:rsidRPr="00DC4B7C">
        <w:t>bw</w:t>
      </w:r>
      <w:proofErr w:type="spellEnd"/>
      <w:r w:rsidRPr="00DC4B7C">
        <w:t>/d has been established by the APVMA</w:t>
      </w:r>
      <w:r>
        <w:t xml:space="preserve"> based on a 10% reduction in body weight, reduced body weight gain and hepatic lip</w:t>
      </w:r>
      <w:r w:rsidR="00D16B61">
        <w:t>o</w:t>
      </w:r>
      <w:r>
        <w:t xml:space="preserve">fuscinosis in near lifetime dietary studies in rats. An </w:t>
      </w:r>
      <w:proofErr w:type="spellStart"/>
      <w:r>
        <w:t>ARfD</w:t>
      </w:r>
      <w:proofErr w:type="spellEnd"/>
      <w:r>
        <w:t xml:space="preserve"> </w:t>
      </w:r>
      <w:proofErr w:type="gramStart"/>
      <w:r>
        <w:t>was considered to be</w:t>
      </w:r>
      <w:proofErr w:type="gramEnd"/>
      <w:r>
        <w:t xml:space="preserve"> unnecessary due a lack of acute neurotoxicity</w:t>
      </w:r>
      <w:r w:rsidR="006B562B">
        <w:t>,</w:t>
      </w:r>
      <w:r>
        <w:t xml:space="preserve"> and </w:t>
      </w:r>
      <w:r w:rsidR="006B562B">
        <w:t xml:space="preserve">reproductive and developmental effects following a single exposure event. </w:t>
      </w:r>
      <w:r>
        <w:t xml:space="preserve">Overall, the toxicity profile for </w:t>
      </w:r>
      <w:proofErr w:type="spellStart"/>
      <w:r w:rsidR="006B562B">
        <w:t>dimpropyridaz</w:t>
      </w:r>
      <w:proofErr w:type="spellEnd"/>
      <w:r>
        <w:t xml:space="preserve"> (TGAC) is consistent with a Schedule 6 entry.</w:t>
      </w:r>
    </w:p>
    <w:p w14:paraId="567C5B3B" w14:textId="1E824773" w:rsidR="00D16B61" w:rsidRDefault="00D16B61" w:rsidP="00676E68">
      <w:pPr>
        <w:pStyle w:val="ListBullet"/>
      </w:pPr>
      <w:r>
        <w:t xml:space="preserve">Toxicity data for a product containing 120 g/L </w:t>
      </w:r>
      <w:proofErr w:type="spellStart"/>
      <w:r>
        <w:t>dimpropyridaz</w:t>
      </w:r>
      <w:proofErr w:type="spellEnd"/>
      <w:r>
        <w:t xml:space="preserve"> (equivalent to a 13 percent solution), indicated that at this concentration it is of </w:t>
      </w:r>
      <w:r w:rsidRPr="00E73314">
        <w:rPr>
          <w:lang w:eastAsia="en-AU"/>
        </w:rPr>
        <w:t xml:space="preserve">low acute toxicity by </w:t>
      </w:r>
      <w:r>
        <w:rPr>
          <w:lang w:eastAsia="en-AU"/>
        </w:rPr>
        <w:t xml:space="preserve">the </w:t>
      </w:r>
      <w:r w:rsidRPr="00E73314">
        <w:rPr>
          <w:lang w:eastAsia="en-AU"/>
        </w:rPr>
        <w:t>oral</w:t>
      </w:r>
      <w:r>
        <w:rPr>
          <w:lang w:eastAsia="en-AU"/>
        </w:rPr>
        <w:t xml:space="preserve"> (LD</w:t>
      </w:r>
      <w:r w:rsidRPr="00AE0520">
        <w:rPr>
          <w:vertAlign w:val="subscript"/>
          <w:lang w:eastAsia="en-AU"/>
        </w:rPr>
        <w:t>50</w:t>
      </w:r>
      <w:r>
        <w:rPr>
          <w:lang w:eastAsia="en-AU"/>
        </w:rPr>
        <w:t xml:space="preserve"> </w:t>
      </w:r>
      <w:r w:rsidRPr="00781751">
        <w:rPr>
          <w:rFonts w:ascii="Times New Roman" w:hAnsi="Times New Roman"/>
          <w:szCs w:val="22"/>
        </w:rPr>
        <w:t xml:space="preserve">&gt;2000 mg/kg </w:t>
      </w:r>
      <w:proofErr w:type="spellStart"/>
      <w:r w:rsidRPr="00781751">
        <w:rPr>
          <w:rFonts w:ascii="Times New Roman" w:hAnsi="Times New Roman"/>
          <w:szCs w:val="22"/>
        </w:rPr>
        <w:t>bw</w:t>
      </w:r>
      <w:proofErr w:type="spellEnd"/>
      <w:r w:rsidRPr="00781751">
        <w:rPr>
          <w:rFonts w:ascii="Times New Roman" w:hAnsi="Times New Roman"/>
          <w:szCs w:val="22"/>
        </w:rPr>
        <w:t xml:space="preserve"> in rats)</w:t>
      </w:r>
      <w:r w:rsidRPr="00E73314">
        <w:rPr>
          <w:lang w:eastAsia="en-AU"/>
        </w:rPr>
        <w:t>, dermal</w:t>
      </w:r>
      <w:r>
        <w:rPr>
          <w:lang w:eastAsia="en-AU"/>
        </w:rPr>
        <w:t xml:space="preserve"> (LD</w:t>
      </w:r>
      <w:r w:rsidRPr="00AE0520">
        <w:rPr>
          <w:vertAlign w:val="subscript"/>
          <w:lang w:eastAsia="en-AU"/>
        </w:rPr>
        <w:t>50</w:t>
      </w:r>
      <w:r>
        <w:rPr>
          <w:vertAlign w:val="subscript"/>
          <w:lang w:eastAsia="en-AU"/>
        </w:rPr>
        <w:t xml:space="preserve"> </w:t>
      </w:r>
      <w:r w:rsidRPr="00781751">
        <w:rPr>
          <w:rFonts w:ascii="Times New Roman" w:hAnsi="Times New Roman"/>
          <w:szCs w:val="22"/>
        </w:rPr>
        <w:t xml:space="preserve">&gt;2000 mg/kg </w:t>
      </w:r>
      <w:proofErr w:type="spellStart"/>
      <w:r w:rsidRPr="00781751">
        <w:rPr>
          <w:rFonts w:ascii="Times New Roman" w:hAnsi="Times New Roman"/>
          <w:szCs w:val="22"/>
        </w:rPr>
        <w:t>bw</w:t>
      </w:r>
      <w:proofErr w:type="spellEnd"/>
      <w:r w:rsidRPr="00781751">
        <w:rPr>
          <w:rFonts w:ascii="Times New Roman" w:hAnsi="Times New Roman"/>
          <w:szCs w:val="22"/>
        </w:rPr>
        <w:t xml:space="preserve"> in rats)</w:t>
      </w:r>
      <w:r w:rsidRPr="00E73314">
        <w:rPr>
          <w:lang w:eastAsia="en-AU"/>
        </w:rPr>
        <w:t xml:space="preserve"> and inhalation routes</w:t>
      </w:r>
      <w:r>
        <w:rPr>
          <w:lang w:eastAsia="en-AU"/>
        </w:rPr>
        <w:t xml:space="preserve"> (LD</w:t>
      </w:r>
      <w:r w:rsidRPr="00AE0520">
        <w:rPr>
          <w:vertAlign w:val="subscript"/>
          <w:lang w:eastAsia="en-AU"/>
        </w:rPr>
        <w:t>50</w:t>
      </w:r>
      <w:r>
        <w:rPr>
          <w:vertAlign w:val="subscript"/>
          <w:lang w:eastAsia="en-AU"/>
        </w:rPr>
        <w:t xml:space="preserve"> </w:t>
      </w:r>
      <w:r w:rsidRPr="00781751">
        <w:rPr>
          <w:rFonts w:ascii="Times New Roman" w:eastAsia="Times New Roman" w:hAnsi="Times New Roman"/>
          <w:szCs w:val="22"/>
        </w:rPr>
        <w:t xml:space="preserve">&gt;5180 </w:t>
      </w:r>
      <w:r w:rsidRPr="00781751">
        <w:rPr>
          <w:rFonts w:ascii="Times New Roman" w:hAnsi="Times New Roman"/>
          <w:szCs w:val="22"/>
        </w:rPr>
        <w:t>mg/m</w:t>
      </w:r>
      <w:r w:rsidRPr="00781751">
        <w:rPr>
          <w:rFonts w:ascii="Times New Roman" w:hAnsi="Times New Roman"/>
          <w:szCs w:val="22"/>
          <w:vertAlign w:val="superscript"/>
        </w:rPr>
        <w:t xml:space="preserve">3 </w:t>
      </w:r>
      <w:r w:rsidRPr="00781751">
        <w:rPr>
          <w:rFonts w:ascii="Times New Roman" w:hAnsi="Times New Roman"/>
          <w:szCs w:val="22"/>
        </w:rPr>
        <w:t>in rats)</w:t>
      </w:r>
      <w:r w:rsidRPr="00E73314">
        <w:rPr>
          <w:lang w:eastAsia="en-AU"/>
        </w:rPr>
        <w:t>.</w:t>
      </w:r>
      <w:r>
        <w:rPr>
          <w:lang w:eastAsia="en-AU"/>
        </w:rPr>
        <w:t xml:space="preserve"> </w:t>
      </w:r>
      <w:r w:rsidRPr="00E73314">
        <w:rPr>
          <w:lang w:eastAsia="en-AU"/>
        </w:rPr>
        <w:t>The product is a slight eye and skin irritant</w:t>
      </w:r>
      <w:r>
        <w:rPr>
          <w:lang w:eastAsia="en-AU"/>
        </w:rPr>
        <w:t xml:space="preserve"> in rabbits </w:t>
      </w:r>
      <w:r w:rsidRPr="00E73314">
        <w:rPr>
          <w:lang w:eastAsia="en-AU"/>
        </w:rPr>
        <w:t>but</w:t>
      </w:r>
      <w:r>
        <w:rPr>
          <w:lang w:eastAsia="en-AU"/>
        </w:rPr>
        <w:t xml:space="preserve"> showed </w:t>
      </w:r>
      <w:r w:rsidRPr="00E73314">
        <w:rPr>
          <w:lang w:eastAsia="en-AU"/>
        </w:rPr>
        <w:t xml:space="preserve">no skin sensitisation in </w:t>
      </w:r>
      <w:r>
        <w:rPr>
          <w:lang w:eastAsia="en-AU"/>
        </w:rPr>
        <w:t xml:space="preserve">mice. Overall, the toxicity profile of </w:t>
      </w:r>
      <w:proofErr w:type="spellStart"/>
      <w:r>
        <w:rPr>
          <w:lang w:eastAsia="en-AU"/>
        </w:rPr>
        <w:t>dimpropyridaz</w:t>
      </w:r>
      <w:proofErr w:type="spellEnd"/>
      <w:r>
        <w:rPr>
          <w:lang w:eastAsia="en-AU"/>
        </w:rPr>
        <w:t xml:space="preserve"> in this product is consistent with a Schedule 5 entry for preparations containing 15 percent or less of the active substance.</w:t>
      </w:r>
    </w:p>
    <w:p w14:paraId="6D855CEE" w14:textId="3FA89793" w:rsidR="00781751" w:rsidRDefault="00781751" w:rsidP="00781751">
      <w:pPr>
        <w:pStyle w:val="ListBullet"/>
        <w:numPr>
          <w:ilvl w:val="0"/>
          <w:numId w:val="1"/>
        </w:numPr>
        <w:rPr>
          <w:lang w:eastAsia="en-AU"/>
        </w:rPr>
      </w:pPr>
      <w:bookmarkStart w:id="28" w:name="_Hlk88572387"/>
      <w:bookmarkEnd w:id="27"/>
      <w:r>
        <w:rPr>
          <w:lang w:eastAsia="en-AU"/>
        </w:rPr>
        <w:t>I am satisfied that, for the purposes of paragraph 52E(1)(d) of the Act, the regulator (APVMA) will consider the dosage</w:t>
      </w:r>
      <w:r w:rsidR="001F7DB1">
        <w:rPr>
          <w:lang w:eastAsia="en-AU"/>
        </w:rPr>
        <w:t xml:space="preserve"> (application rate)</w:t>
      </w:r>
      <w:r>
        <w:rPr>
          <w:lang w:eastAsia="en-AU"/>
        </w:rPr>
        <w:t xml:space="preserve">, formulation, labelling, </w:t>
      </w:r>
      <w:proofErr w:type="gramStart"/>
      <w:r>
        <w:rPr>
          <w:lang w:eastAsia="en-AU"/>
        </w:rPr>
        <w:t>packaging</w:t>
      </w:r>
      <w:proofErr w:type="gramEnd"/>
      <w:r>
        <w:rPr>
          <w:lang w:eastAsia="en-AU"/>
        </w:rPr>
        <w:t xml:space="preserve"> and presentation of any commercial products.</w:t>
      </w:r>
    </w:p>
    <w:p w14:paraId="304B1145" w14:textId="651D7819" w:rsidR="00781751" w:rsidRPr="00963C0B" w:rsidRDefault="00781751" w:rsidP="00781751">
      <w:pPr>
        <w:pStyle w:val="ListBullet"/>
      </w:pPr>
      <w:r w:rsidRPr="00963C0B">
        <w:t xml:space="preserve">In relation to paragraph 52E(1)(e) of the Act, the substance has no human therapeutic value </w:t>
      </w:r>
      <w:r w:rsidR="001F7DB1">
        <w:t>or significant pharmacological effect</w:t>
      </w:r>
      <w:r w:rsidR="001F7DB1" w:rsidRPr="00963C0B">
        <w:t xml:space="preserve"> </w:t>
      </w:r>
      <w:r w:rsidRPr="00963C0B">
        <w:t xml:space="preserve">that would indicate a risk for diversion, </w:t>
      </w:r>
      <w:proofErr w:type="gramStart"/>
      <w:r w:rsidRPr="00963C0B">
        <w:t>misuse</w:t>
      </w:r>
      <w:proofErr w:type="gramEnd"/>
      <w:r w:rsidRPr="00963C0B">
        <w:t xml:space="preserve"> or abuse.</w:t>
      </w:r>
    </w:p>
    <w:bookmarkEnd w:id="28"/>
    <w:p w14:paraId="231A3128" w14:textId="77777777" w:rsidR="00523152" w:rsidRPr="00DB4BE8" w:rsidRDefault="00523152" w:rsidP="00523152">
      <w:pPr>
        <w:pStyle w:val="ListBullet"/>
        <w:numPr>
          <w:ilvl w:val="0"/>
          <w:numId w:val="0"/>
        </w:numPr>
        <w:rPr>
          <w:rFonts w:asciiTheme="minorHAnsi" w:hAnsiTheme="minorHAnsi"/>
          <w:szCs w:val="22"/>
        </w:rPr>
      </w:pPr>
      <w:proofErr w:type="gramStart"/>
      <w:r>
        <w:t>On the basis of</w:t>
      </w:r>
      <w:proofErr w:type="gramEnd"/>
      <w:r>
        <w:t xml:space="preserve"> the above considerations and the information provided in the application, I have decided to amend the current Poisons Standard in the manner set out above. The proposed amendment was not referred to an expert advisory committee.</w:t>
      </w:r>
    </w:p>
    <w:p w14:paraId="607B72FA" w14:textId="77777777" w:rsidR="006A70C4" w:rsidRPr="00B76897" w:rsidRDefault="006A70C4" w:rsidP="005D4DEE">
      <w:pPr>
        <w:pStyle w:val="Heading4"/>
      </w:pPr>
      <w:r w:rsidRPr="00B76897">
        <w:t xml:space="preserve">Date of effect </w:t>
      </w:r>
    </w:p>
    <w:p w14:paraId="3DAF34B6" w14:textId="3FFF84F7" w:rsidR="00B869CF" w:rsidRDefault="006A70C4">
      <w:r w:rsidRPr="004320CD">
        <w:t xml:space="preserve">1 </w:t>
      </w:r>
      <w:r w:rsidR="005607E0" w:rsidRPr="004320CD">
        <w:t>June</w:t>
      </w:r>
      <w:r w:rsidRPr="004320CD">
        <w:t xml:space="preserve"> 2022</w:t>
      </w:r>
    </w:p>
    <w:p w14:paraId="68AB3CD0" w14:textId="1F46FAFC" w:rsidR="006A70C4" w:rsidRDefault="005069D2" w:rsidP="005069D2">
      <w:pPr>
        <w:pStyle w:val="Heading3"/>
        <w:numPr>
          <w:ilvl w:val="0"/>
          <w:numId w:val="0"/>
        </w:numPr>
      </w:pPr>
      <w:bookmarkStart w:id="29" w:name="_Toc81841018"/>
      <w:bookmarkStart w:id="30" w:name="_Toc88836062"/>
      <w:bookmarkStart w:id="31" w:name="_Toc100620710"/>
      <w:r>
        <w:t xml:space="preserve">3.3 </w:t>
      </w:r>
      <w:r w:rsidR="006A70C4">
        <w:t xml:space="preserve">Final decision in relation </w:t>
      </w:r>
      <w:r w:rsidR="006A70C4" w:rsidRPr="00F2020D">
        <w:t xml:space="preserve">to </w:t>
      </w:r>
      <w:proofErr w:type="spellStart"/>
      <w:r w:rsidR="00D14B89" w:rsidRPr="00F2020D">
        <w:t>a</w:t>
      </w:r>
      <w:r w:rsidR="00D14B89" w:rsidRPr="00F2020D">
        <w:rPr>
          <w:color w:val="000000"/>
        </w:rPr>
        <w:t>minocyclopyrachlor</w:t>
      </w:r>
      <w:bookmarkEnd w:id="29"/>
      <w:bookmarkEnd w:id="30"/>
      <w:bookmarkEnd w:id="31"/>
      <w:proofErr w:type="spellEnd"/>
    </w:p>
    <w:p w14:paraId="0C48D873" w14:textId="77777777" w:rsidR="006A70C4" w:rsidRPr="00F7689E" w:rsidRDefault="006A70C4">
      <w:pPr>
        <w:pStyle w:val="Heading4"/>
      </w:pPr>
      <w:r w:rsidRPr="00F7689E">
        <w:t xml:space="preserve">Final </w:t>
      </w:r>
      <w:r w:rsidRPr="00372277">
        <w:t>decision</w:t>
      </w:r>
    </w:p>
    <w:p w14:paraId="61A461EE" w14:textId="3CF87B03" w:rsidR="006A70C4" w:rsidRDefault="006A70C4">
      <w:r>
        <w:t>Pursuant to regulatio</w:t>
      </w:r>
      <w:r w:rsidRPr="005607E0">
        <w:t xml:space="preserve">n </w:t>
      </w:r>
      <w:r w:rsidRPr="00021E92">
        <w:t>42ZCZU</w:t>
      </w:r>
      <w:r w:rsidRPr="005607E0">
        <w:t xml:space="preserve"> of</w:t>
      </w:r>
      <w:r>
        <w:t xml:space="preserve"> the Regulations a Delegate of the Secretary has made a final decision to amend the current Poisons Standard in relation to </w:t>
      </w:r>
      <w:proofErr w:type="spellStart"/>
      <w:r w:rsidR="00090E66" w:rsidRPr="00090E66">
        <w:t>aminocyclopyrachlor</w:t>
      </w:r>
      <w:proofErr w:type="spellEnd"/>
      <w:r w:rsidR="00090E66">
        <w:t xml:space="preserve"> </w:t>
      </w:r>
      <w:r>
        <w:t>as follows:</w:t>
      </w:r>
    </w:p>
    <w:p w14:paraId="7A4DE377" w14:textId="489CBFD0" w:rsidR="006A70C4" w:rsidRDefault="006A70C4" w:rsidP="00021E92">
      <w:pPr>
        <w:ind w:firstLine="426"/>
        <w:rPr>
          <w:b/>
        </w:rPr>
      </w:pPr>
      <w:r>
        <w:rPr>
          <w:b/>
        </w:rPr>
        <w:t xml:space="preserve">Schedule </w:t>
      </w:r>
      <w:r w:rsidR="00090E66">
        <w:rPr>
          <w:b/>
        </w:rPr>
        <w:t>5</w:t>
      </w:r>
      <w:r>
        <w:rPr>
          <w:b/>
        </w:rPr>
        <w:t xml:space="preserve"> – </w:t>
      </w:r>
      <w:r w:rsidR="00FC2589">
        <w:rPr>
          <w:b/>
        </w:rPr>
        <w:t>Amended Entry</w:t>
      </w:r>
    </w:p>
    <w:p w14:paraId="191C3DAD" w14:textId="40775E5D" w:rsidR="006A70C4" w:rsidRPr="009D0ED8" w:rsidRDefault="00090E66">
      <w:pPr>
        <w:ind w:left="720"/>
        <w:rPr>
          <w:bCs/>
          <w:color w:val="00B050"/>
        </w:rPr>
      </w:pPr>
      <w:r w:rsidRPr="00021E92">
        <w:rPr>
          <w:bCs/>
        </w:rPr>
        <w:lastRenderedPageBreak/>
        <w:t>AMINOCYCLOPYRACHLOR</w:t>
      </w:r>
      <w:r w:rsidRPr="00090E66">
        <w:rPr>
          <w:bCs/>
          <w:color w:val="00B050"/>
        </w:rPr>
        <w:t xml:space="preserve"> </w:t>
      </w:r>
      <w:r w:rsidRPr="00E30245">
        <w:rPr>
          <w:b/>
          <w:color w:val="00B050"/>
        </w:rPr>
        <w:t>except</w:t>
      </w:r>
      <w:r w:rsidRPr="00090E66">
        <w:rPr>
          <w:bCs/>
          <w:color w:val="00B050"/>
        </w:rPr>
        <w:t xml:space="preserve"> in preparations containing 25 per cent or less of </w:t>
      </w:r>
      <w:proofErr w:type="spellStart"/>
      <w:r w:rsidRPr="00090E66">
        <w:rPr>
          <w:bCs/>
          <w:color w:val="00B050"/>
        </w:rPr>
        <w:t>aminocyclopyrachlor</w:t>
      </w:r>
      <w:proofErr w:type="spellEnd"/>
      <w:r w:rsidRPr="00090E66">
        <w:rPr>
          <w:bCs/>
          <w:color w:val="00B050"/>
        </w:rPr>
        <w:t>.</w:t>
      </w:r>
    </w:p>
    <w:p w14:paraId="1D6802C7" w14:textId="77777777" w:rsidR="006A70C4" w:rsidRPr="00F7689E" w:rsidRDefault="006A70C4" w:rsidP="006A70C4">
      <w:pPr>
        <w:pStyle w:val="Heading4"/>
      </w:pPr>
      <w:r w:rsidRPr="00F7689E">
        <w:t xml:space="preserve">Materials </w:t>
      </w:r>
      <w:r w:rsidRPr="00372277">
        <w:t>considered</w:t>
      </w:r>
    </w:p>
    <w:p w14:paraId="3A3F41DE" w14:textId="77777777" w:rsidR="006A70C4" w:rsidRDefault="006A70C4" w:rsidP="005607E0">
      <w:pPr>
        <w:pStyle w:val="ListBullet"/>
        <w:numPr>
          <w:ilvl w:val="0"/>
          <w:numId w:val="0"/>
        </w:numPr>
        <w:ind w:left="360" w:hanging="360"/>
        <w:rPr>
          <w:lang w:eastAsia="en-AU"/>
        </w:rPr>
      </w:pPr>
      <w:r>
        <w:rPr>
          <w:lang w:eastAsia="en-AU"/>
        </w:rPr>
        <w:t>In making this final decision, the Delegate considered the following material:</w:t>
      </w:r>
    </w:p>
    <w:p w14:paraId="27CEB69E" w14:textId="0FC9F553" w:rsidR="006A70C4" w:rsidRDefault="006A70C4" w:rsidP="00021E92">
      <w:pPr>
        <w:pStyle w:val="ListBullet"/>
        <w:numPr>
          <w:ilvl w:val="0"/>
          <w:numId w:val="1"/>
        </w:numPr>
        <w:rPr>
          <w:lang w:eastAsia="en-AU"/>
        </w:rPr>
      </w:pPr>
      <w:r>
        <w:rPr>
          <w:lang w:eastAsia="en-AU"/>
        </w:rPr>
        <w:t>The application to amend the current Poisons Standard with respect to</w:t>
      </w:r>
      <w:r w:rsidR="00F2020D">
        <w:rPr>
          <w:lang w:eastAsia="en-AU"/>
        </w:rPr>
        <w:t xml:space="preserve"> </w:t>
      </w:r>
      <w:proofErr w:type="spellStart"/>
      <w:proofErr w:type="gramStart"/>
      <w:r w:rsidR="00B869CF" w:rsidRPr="00090E66">
        <w:t>aminocyclopyrachlor</w:t>
      </w:r>
      <w:proofErr w:type="spellEnd"/>
      <w:r>
        <w:rPr>
          <w:lang w:eastAsia="en-AU"/>
        </w:rPr>
        <w:t>;</w:t>
      </w:r>
      <w:proofErr w:type="gramEnd"/>
    </w:p>
    <w:p w14:paraId="4804EE4A" w14:textId="77777777" w:rsidR="00722059" w:rsidRDefault="00722059" w:rsidP="00722059">
      <w:pPr>
        <w:pStyle w:val="ListBullet"/>
        <w:numPr>
          <w:ilvl w:val="0"/>
          <w:numId w:val="1"/>
        </w:numPr>
        <w:rPr>
          <w:lang w:eastAsia="en-AU"/>
        </w:rPr>
      </w:pPr>
      <w:r>
        <w:t>Subsection 52</w:t>
      </w:r>
      <w:proofErr w:type="gramStart"/>
      <w:r>
        <w:t>E(</w:t>
      </w:r>
      <w:proofErr w:type="gramEnd"/>
      <w:r>
        <w:t xml:space="preserve">1) of the Act, in particular (a) the risks and benefits of the use of a substance; (b) the purposes for which a substance is to be used and the extent of use of a substance; (c) the toxicity of a substance; (d) the dosage, formulation, labelling, packaging and presentation of a substance; and (e) the potential for abuse of a substance; </w:t>
      </w:r>
    </w:p>
    <w:p w14:paraId="00366381" w14:textId="77777777" w:rsidR="00722059" w:rsidRDefault="00722059" w:rsidP="00722059">
      <w:pPr>
        <w:pStyle w:val="ListBullet"/>
        <w:numPr>
          <w:ilvl w:val="0"/>
          <w:numId w:val="1"/>
        </w:numPr>
        <w:rPr>
          <w:lang w:eastAsia="en-AU"/>
        </w:rPr>
      </w:pPr>
      <w:r>
        <w:t xml:space="preserve">The SPF, pursuant to paragraph 52E(2)(a) of the Act; and </w:t>
      </w:r>
    </w:p>
    <w:p w14:paraId="4193FE71" w14:textId="77777777" w:rsidR="00722059" w:rsidRDefault="00722059" w:rsidP="00722059">
      <w:pPr>
        <w:pStyle w:val="ListBullet"/>
        <w:numPr>
          <w:ilvl w:val="0"/>
          <w:numId w:val="1"/>
        </w:numPr>
        <w:rPr>
          <w:lang w:eastAsia="en-AU"/>
        </w:rPr>
      </w:pPr>
      <w:r>
        <w:t xml:space="preserve">The Handbook. </w:t>
      </w:r>
    </w:p>
    <w:p w14:paraId="04D3FBC5" w14:textId="77777777" w:rsidR="006A70C4" w:rsidRPr="00F7689E" w:rsidRDefault="006A70C4" w:rsidP="006A70C4">
      <w:pPr>
        <w:pStyle w:val="Heading4"/>
      </w:pPr>
      <w:r w:rsidRPr="00F7689E">
        <w:t xml:space="preserve">Reasons for the final decision (including findings on material questions of fact) </w:t>
      </w:r>
    </w:p>
    <w:p w14:paraId="3AD47798" w14:textId="77777777" w:rsidR="0059004F" w:rsidRPr="0022019E" w:rsidRDefault="0059004F" w:rsidP="0059004F">
      <w:r w:rsidRPr="0022019E">
        <w:t xml:space="preserve">In determining that this matter will be a delegate-only decision I have </w:t>
      </w:r>
      <w:proofErr w:type="gramStart"/>
      <w:r w:rsidRPr="0022019E">
        <w:t>taken into account</w:t>
      </w:r>
      <w:proofErr w:type="gramEnd"/>
      <w:r w:rsidRPr="0022019E">
        <w:t xml:space="preserve"> the information provided in the application from the applicant (Australian Pesticides and Veterinary Medicine Authority (APVMA)), and the matters outlined under Section 52E of the Act and the SPF. </w:t>
      </w:r>
      <w:proofErr w:type="gramStart"/>
      <w:r w:rsidRPr="0022019E">
        <w:t>In particular I</w:t>
      </w:r>
      <w:proofErr w:type="gramEnd"/>
      <w:r w:rsidRPr="0022019E">
        <w:t xml:space="preserve"> note that:</w:t>
      </w:r>
    </w:p>
    <w:p w14:paraId="16B227D8" w14:textId="0E969BBF" w:rsidR="00B5209B" w:rsidRPr="00F563ED" w:rsidRDefault="00B5209B" w:rsidP="002F1391">
      <w:pPr>
        <w:pStyle w:val="ListParagraph"/>
        <w:numPr>
          <w:ilvl w:val="0"/>
          <w:numId w:val="21"/>
        </w:numPr>
        <w:spacing w:before="0" w:after="120"/>
        <w:ind w:left="357" w:hanging="357"/>
        <w:rPr>
          <w:rFonts w:asciiTheme="minorHAnsi" w:hAnsiTheme="minorHAnsi"/>
          <w:szCs w:val="22"/>
        </w:rPr>
      </w:pPr>
      <w:r w:rsidRPr="00F563ED">
        <w:rPr>
          <w:rFonts w:asciiTheme="minorHAnsi" w:hAnsiTheme="minorHAnsi"/>
          <w:szCs w:val="22"/>
        </w:rPr>
        <w:t xml:space="preserve">In relation to paragraph 52E(1)(a) of the Act, </w:t>
      </w:r>
      <w:r w:rsidR="00F563ED" w:rsidRPr="006B4B4E">
        <w:rPr>
          <w:rFonts w:asciiTheme="minorHAnsi" w:hAnsiTheme="minorHAnsi"/>
          <w:szCs w:val="22"/>
          <w:lang w:eastAsia="en-AU"/>
        </w:rPr>
        <w:t xml:space="preserve">the regulator (APVMA) </w:t>
      </w:r>
      <w:r w:rsidR="00271FC7">
        <w:rPr>
          <w:rFonts w:asciiTheme="minorHAnsi" w:hAnsiTheme="minorHAnsi"/>
          <w:szCs w:val="22"/>
          <w:lang w:eastAsia="en-AU"/>
        </w:rPr>
        <w:t xml:space="preserve">has </w:t>
      </w:r>
      <w:r w:rsidR="00F563ED" w:rsidRPr="006B4B4E">
        <w:rPr>
          <w:rFonts w:asciiTheme="minorHAnsi" w:hAnsiTheme="minorHAnsi"/>
          <w:szCs w:val="22"/>
          <w:lang w:eastAsia="en-AU"/>
        </w:rPr>
        <w:t>provided a Human Health Risk Assessment (HHRA) which concluded that the risks to human health and safety posed by this substance (</w:t>
      </w:r>
      <w:r w:rsidR="00F563ED" w:rsidRPr="006B4B4E">
        <w:rPr>
          <w:rFonts w:asciiTheme="minorHAnsi" w:hAnsiTheme="minorHAnsi"/>
          <w:szCs w:val="22"/>
        </w:rPr>
        <w:t>at 240 g/L)</w:t>
      </w:r>
      <w:r w:rsidR="00F563ED" w:rsidRPr="006B4B4E">
        <w:rPr>
          <w:rFonts w:asciiTheme="minorHAnsi" w:hAnsiTheme="minorHAnsi"/>
          <w:szCs w:val="22"/>
          <w:lang w:eastAsia="en-AU"/>
        </w:rPr>
        <w:t xml:space="preserve"> are acceptable according to the criteria stipulated in </w:t>
      </w:r>
      <w:r w:rsidR="00F563ED" w:rsidRPr="006B4B4E">
        <w:rPr>
          <w:rFonts w:asciiTheme="minorHAnsi" w:hAnsiTheme="minorHAnsi"/>
          <w:szCs w:val="22"/>
        </w:rPr>
        <w:t xml:space="preserve">Section 5A of the </w:t>
      </w:r>
      <w:r w:rsidR="00F563ED" w:rsidRPr="00882C73">
        <w:rPr>
          <w:rFonts w:asciiTheme="minorHAnsi" w:hAnsiTheme="minorHAnsi"/>
          <w:i/>
          <w:iCs/>
          <w:szCs w:val="22"/>
        </w:rPr>
        <w:t>Agricultural and Veterinary Chemicals Code Act (1994)</w:t>
      </w:r>
      <w:r w:rsidR="00F563ED" w:rsidRPr="006B4B4E">
        <w:rPr>
          <w:rFonts w:asciiTheme="minorHAnsi" w:hAnsiTheme="minorHAnsi"/>
          <w:szCs w:val="22"/>
        </w:rPr>
        <w:t>.</w:t>
      </w:r>
      <w:r w:rsidR="00F563ED" w:rsidRPr="006B4B4E">
        <w:rPr>
          <w:rFonts w:asciiTheme="minorHAnsi" w:hAnsiTheme="minorHAnsi"/>
          <w:szCs w:val="22"/>
          <w:lang w:eastAsia="en-AU"/>
        </w:rPr>
        <w:t xml:space="preserve"> </w:t>
      </w:r>
    </w:p>
    <w:p w14:paraId="29678E0C" w14:textId="112F3C6D" w:rsidR="00716AF8" w:rsidRPr="006B4B4E" w:rsidRDefault="00B5209B" w:rsidP="00021E92">
      <w:pPr>
        <w:pStyle w:val="ListBullet"/>
        <w:rPr>
          <w:rFonts w:asciiTheme="minorHAnsi" w:hAnsiTheme="minorHAnsi"/>
          <w:szCs w:val="22"/>
        </w:rPr>
      </w:pPr>
      <w:r>
        <w:rPr>
          <w:rFonts w:asciiTheme="minorHAnsi" w:hAnsiTheme="minorHAnsi"/>
          <w:szCs w:val="22"/>
        </w:rPr>
        <w:t xml:space="preserve">In relation to paragraph 52E(1)(b) of the Act, </w:t>
      </w:r>
      <w:proofErr w:type="spellStart"/>
      <w:r>
        <w:rPr>
          <w:rFonts w:asciiTheme="minorHAnsi" w:hAnsiTheme="minorHAnsi"/>
          <w:szCs w:val="22"/>
        </w:rPr>
        <w:t>a</w:t>
      </w:r>
      <w:r w:rsidR="006A4163" w:rsidRPr="006B4B4E">
        <w:rPr>
          <w:rFonts w:asciiTheme="minorHAnsi" w:hAnsiTheme="minorHAnsi"/>
          <w:szCs w:val="22"/>
        </w:rPr>
        <w:t>minocyclopyrachlor</w:t>
      </w:r>
      <w:proofErr w:type="spellEnd"/>
      <w:r w:rsidR="006A4163" w:rsidRPr="006B4B4E">
        <w:rPr>
          <w:rFonts w:asciiTheme="minorHAnsi" w:hAnsiTheme="minorHAnsi"/>
          <w:szCs w:val="22"/>
        </w:rPr>
        <w:t xml:space="preserve"> </w:t>
      </w:r>
      <w:r>
        <w:rPr>
          <w:rFonts w:asciiTheme="minorHAnsi" w:hAnsiTheme="minorHAnsi"/>
          <w:szCs w:val="22"/>
        </w:rPr>
        <w:t xml:space="preserve">is </w:t>
      </w:r>
      <w:proofErr w:type="gramStart"/>
      <w:r>
        <w:rPr>
          <w:rFonts w:asciiTheme="minorHAnsi" w:hAnsiTheme="minorHAnsi"/>
          <w:szCs w:val="22"/>
        </w:rPr>
        <w:t>a</w:t>
      </w:r>
      <w:proofErr w:type="gramEnd"/>
      <w:r w:rsidR="006A4163" w:rsidRPr="006B4B4E">
        <w:rPr>
          <w:rFonts w:asciiTheme="minorHAnsi" w:hAnsiTheme="minorHAnsi"/>
          <w:szCs w:val="22"/>
        </w:rPr>
        <w:t xml:space="preserve"> herbicide </w:t>
      </w:r>
      <w:r>
        <w:rPr>
          <w:rFonts w:asciiTheme="minorHAnsi" w:hAnsiTheme="minorHAnsi"/>
          <w:szCs w:val="22"/>
        </w:rPr>
        <w:t xml:space="preserve">of the </w:t>
      </w:r>
      <w:r w:rsidRPr="006B4B4E">
        <w:rPr>
          <w:rFonts w:asciiTheme="minorHAnsi" w:hAnsiTheme="minorHAnsi"/>
          <w:szCs w:val="22"/>
        </w:rPr>
        <w:t>pyrimidine carboxylic acid</w:t>
      </w:r>
      <w:r>
        <w:rPr>
          <w:rFonts w:asciiTheme="minorHAnsi" w:hAnsiTheme="minorHAnsi"/>
          <w:szCs w:val="22"/>
        </w:rPr>
        <w:t xml:space="preserve"> class,</w:t>
      </w:r>
      <w:r w:rsidRPr="006B4B4E">
        <w:rPr>
          <w:rFonts w:asciiTheme="minorHAnsi" w:hAnsiTheme="minorHAnsi"/>
          <w:szCs w:val="22"/>
        </w:rPr>
        <w:t xml:space="preserve"> </w:t>
      </w:r>
      <w:r w:rsidR="006A4163" w:rsidRPr="006B4B4E">
        <w:rPr>
          <w:rFonts w:asciiTheme="minorHAnsi" w:hAnsiTheme="minorHAnsi"/>
          <w:szCs w:val="22"/>
        </w:rPr>
        <w:t xml:space="preserve">used for selective control of weeds and invasive species. </w:t>
      </w:r>
      <w:r w:rsidR="00D049D1">
        <w:rPr>
          <w:rFonts w:asciiTheme="minorHAnsi" w:hAnsiTheme="minorHAnsi"/>
          <w:szCs w:val="22"/>
        </w:rPr>
        <w:t>Products</w:t>
      </w:r>
      <w:r w:rsidR="006A4163" w:rsidRPr="006B4B4E">
        <w:rPr>
          <w:rFonts w:asciiTheme="minorHAnsi" w:hAnsiTheme="minorHAnsi"/>
          <w:szCs w:val="22"/>
        </w:rPr>
        <w:t xml:space="preserve"> containing </w:t>
      </w:r>
      <w:proofErr w:type="spellStart"/>
      <w:r w:rsidR="006A4163" w:rsidRPr="006B4B4E">
        <w:rPr>
          <w:rFonts w:asciiTheme="minorHAnsi" w:hAnsiTheme="minorHAnsi"/>
          <w:szCs w:val="22"/>
        </w:rPr>
        <w:t>aminocyclopyrachlor</w:t>
      </w:r>
      <w:proofErr w:type="spellEnd"/>
      <w:r w:rsidR="006A4163" w:rsidRPr="006B4B4E">
        <w:rPr>
          <w:rFonts w:asciiTheme="minorHAnsi" w:hAnsiTheme="minorHAnsi"/>
          <w:szCs w:val="22"/>
        </w:rPr>
        <w:t xml:space="preserve"> are registered in the USA and Canada, either as a sole active</w:t>
      </w:r>
      <w:r w:rsidR="00D616AD">
        <w:rPr>
          <w:rFonts w:asciiTheme="minorHAnsi" w:hAnsiTheme="minorHAnsi"/>
          <w:szCs w:val="22"/>
        </w:rPr>
        <w:t xml:space="preserve"> ingredient</w:t>
      </w:r>
      <w:r w:rsidR="006A4163" w:rsidRPr="006B4B4E">
        <w:rPr>
          <w:rFonts w:asciiTheme="minorHAnsi" w:hAnsiTheme="minorHAnsi"/>
          <w:szCs w:val="22"/>
        </w:rPr>
        <w:t xml:space="preserve"> or in combination with other active ingredients.</w:t>
      </w:r>
      <w:r w:rsidR="000B5A74">
        <w:rPr>
          <w:rFonts w:asciiTheme="minorHAnsi" w:hAnsiTheme="minorHAnsi"/>
          <w:szCs w:val="22"/>
        </w:rPr>
        <w:t xml:space="preserve"> Although there were no products containing the substance available in Australia at the time,</w:t>
      </w:r>
      <w:r w:rsidR="00D616AD">
        <w:rPr>
          <w:rFonts w:asciiTheme="minorHAnsi" w:hAnsiTheme="minorHAnsi"/>
          <w:szCs w:val="22"/>
        </w:rPr>
        <w:t xml:space="preserve"> the </w:t>
      </w:r>
      <w:r w:rsidR="00D616AD">
        <w:rPr>
          <w:lang w:eastAsia="en-AU"/>
        </w:rPr>
        <w:t>agricultural technical grade active constituent</w:t>
      </w:r>
      <w:r w:rsidR="00D616AD">
        <w:rPr>
          <w:rFonts w:asciiTheme="minorHAnsi" w:hAnsiTheme="minorHAnsi"/>
          <w:szCs w:val="22"/>
        </w:rPr>
        <w:t xml:space="preserve"> (TGAC)</w:t>
      </w:r>
      <w:r w:rsidR="006A4163" w:rsidRPr="006B4B4E">
        <w:rPr>
          <w:rFonts w:asciiTheme="minorHAnsi" w:hAnsiTheme="minorHAnsi"/>
          <w:szCs w:val="22"/>
        </w:rPr>
        <w:t xml:space="preserve"> </w:t>
      </w:r>
      <w:proofErr w:type="spellStart"/>
      <w:r w:rsidR="000B5A74">
        <w:rPr>
          <w:rFonts w:asciiTheme="minorHAnsi" w:hAnsiTheme="minorHAnsi"/>
          <w:szCs w:val="22"/>
        </w:rPr>
        <w:t>a</w:t>
      </w:r>
      <w:r w:rsidR="00E30245">
        <w:rPr>
          <w:rFonts w:asciiTheme="minorHAnsi" w:hAnsiTheme="minorHAnsi"/>
          <w:szCs w:val="22"/>
        </w:rPr>
        <w:t>mino</w:t>
      </w:r>
      <w:r w:rsidR="000B5A74">
        <w:rPr>
          <w:rFonts w:asciiTheme="minorHAnsi" w:hAnsiTheme="minorHAnsi"/>
          <w:szCs w:val="22"/>
        </w:rPr>
        <w:t>cyclo</w:t>
      </w:r>
      <w:r w:rsidR="00E30245">
        <w:rPr>
          <w:rFonts w:asciiTheme="minorHAnsi" w:hAnsiTheme="minorHAnsi"/>
          <w:szCs w:val="22"/>
        </w:rPr>
        <w:t>pyrachlor</w:t>
      </w:r>
      <w:proofErr w:type="spellEnd"/>
      <w:r w:rsidR="00D616AD">
        <w:rPr>
          <w:rFonts w:asciiTheme="minorHAnsi" w:hAnsiTheme="minorHAnsi"/>
          <w:szCs w:val="22"/>
        </w:rPr>
        <w:t>,</w:t>
      </w:r>
      <w:r w:rsidR="00E30245">
        <w:rPr>
          <w:rFonts w:asciiTheme="minorHAnsi" w:hAnsiTheme="minorHAnsi"/>
          <w:szCs w:val="22"/>
        </w:rPr>
        <w:t xml:space="preserve"> was previously placed into Schedule 5 of the Poisons Standard in 2012</w:t>
      </w:r>
      <w:r w:rsidR="00DF2E07">
        <w:rPr>
          <w:rFonts w:asciiTheme="minorHAnsi" w:hAnsiTheme="minorHAnsi"/>
          <w:szCs w:val="22"/>
        </w:rPr>
        <w:t xml:space="preserve"> due to evidence of slight eye irritation</w:t>
      </w:r>
      <w:r w:rsidR="00E30245">
        <w:rPr>
          <w:rFonts w:asciiTheme="minorHAnsi" w:hAnsiTheme="minorHAnsi"/>
          <w:szCs w:val="22"/>
        </w:rPr>
        <w:t>, with no cut-off included.</w:t>
      </w:r>
      <w:r w:rsidR="00D616AD">
        <w:rPr>
          <w:rFonts w:asciiTheme="minorHAnsi" w:hAnsiTheme="minorHAnsi"/>
          <w:szCs w:val="22"/>
        </w:rPr>
        <w:t xml:space="preserve"> Moreover, the TGAC was of low acute toxicity by the oral, </w:t>
      </w:r>
      <w:proofErr w:type="gramStart"/>
      <w:r w:rsidR="00D616AD">
        <w:rPr>
          <w:rFonts w:asciiTheme="minorHAnsi" w:hAnsiTheme="minorHAnsi"/>
          <w:szCs w:val="22"/>
        </w:rPr>
        <w:t>dermal</w:t>
      </w:r>
      <w:proofErr w:type="gramEnd"/>
      <w:r w:rsidR="00D616AD">
        <w:rPr>
          <w:rFonts w:asciiTheme="minorHAnsi" w:hAnsiTheme="minorHAnsi"/>
          <w:szCs w:val="22"/>
        </w:rPr>
        <w:t xml:space="preserve"> and inhalational routes, was not a skin irritant or sensitiser, there was no evidence </w:t>
      </w:r>
      <w:r w:rsidR="00D616AD" w:rsidRPr="00D616AD">
        <w:rPr>
          <w:rFonts w:asciiTheme="minorHAnsi" w:hAnsiTheme="minorHAnsi"/>
          <w:szCs w:val="22"/>
        </w:rPr>
        <w:t>of adverse effects on reproduction or development, and an absence of neurotoxicity, carcinogenicity, genotoxicity and immunotoxicity</w:t>
      </w:r>
      <w:r w:rsidR="00882C73">
        <w:rPr>
          <w:rFonts w:asciiTheme="minorHAnsi" w:hAnsiTheme="minorHAnsi"/>
          <w:szCs w:val="22"/>
        </w:rPr>
        <w:t>.</w:t>
      </w:r>
    </w:p>
    <w:p w14:paraId="3CB3D1FE" w14:textId="0C0DA056" w:rsidR="0059004F" w:rsidRPr="00F563ED" w:rsidRDefault="00F563ED" w:rsidP="00F563ED">
      <w:pPr>
        <w:pStyle w:val="ListParagraph"/>
        <w:numPr>
          <w:ilvl w:val="0"/>
          <w:numId w:val="21"/>
        </w:numPr>
        <w:spacing w:before="0" w:after="120"/>
        <w:ind w:left="357" w:hanging="357"/>
        <w:rPr>
          <w:rFonts w:asciiTheme="minorHAnsi" w:hAnsiTheme="minorHAnsi"/>
          <w:szCs w:val="22"/>
        </w:rPr>
      </w:pPr>
      <w:r w:rsidRPr="00F563ED">
        <w:rPr>
          <w:rFonts w:asciiTheme="minorHAnsi" w:hAnsiTheme="minorHAnsi"/>
          <w:szCs w:val="22"/>
        </w:rPr>
        <w:t xml:space="preserve">In relation to paragraph 52E(1)(c) of the Act, </w:t>
      </w:r>
      <w:r>
        <w:rPr>
          <w:rFonts w:asciiTheme="minorHAnsi" w:hAnsiTheme="minorHAnsi"/>
          <w:szCs w:val="22"/>
        </w:rPr>
        <w:t>t</w:t>
      </w:r>
      <w:r>
        <w:rPr>
          <w:lang w:eastAsia="en-AU"/>
        </w:rPr>
        <w:t xml:space="preserve">he proposed </w:t>
      </w:r>
      <w:r w:rsidRPr="00021E92">
        <w:rPr>
          <w:rFonts w:asciiTheme="minorHAnsi" w:hAnsiTheme="minorHAnsi"/>
          <w:szCs w:val="22"/>
          <w:lang w:eastAsia="en-AU"/>
        </w:rPr>
        <w:t xml:space="preserve">amendment to the Poisons Standard </w:t>
      </w:r>
      <w:r>
        <w:rPr>
          <w:rFonts w:asciiTheme="minorHAnsi" w:hAnsiTheme="minorHAnsi"/>
          <w:szCs w:val="22"/>
          <w:lang w:eastAsia="en-AU"/>
        </w:rPr>
        <w:t xml:space="preserve">will exempt </w:t>
      </w:r>
      <w:proofErr w:type="spellStart"/>
      <w:r w:rsidRPr="00021E92">
        <w:rPr>
          <w:rFonts w:asciiTheme="minorHAnsi" w:hAnsiTheme="minorHAnsi"/>
          <w:szCs w:val="22"/>
        </w:rPr>
        <w:t>aminocyclopyrachlor</w:t>
      </w:r>
      <w:proofErr w:type="spellEnd"/>
      <w:r>
        <w:rPr>
          <w:rFonts w:asciiTheme="minorHAnsi" w:hAnsiTheme="minorHAnsi"/>
          <w:szCs w:val="22"/>
        </w:rPr>
        <w:t xml:space="preserve"> from </w:t>
      </w:r>
      <w:r w:rsidRPr="006B4B4E">
        <w:rPr>
          <w:rFonts w:asciiTheme="minorHAnsi" w:hAnsiTheme="minorHAnsi"/>
          <w:szCs w:val="22"/>
        </w:rPr>
        <w:t>scheduling control when present in preparations at a concentration of 25 per cent or less</w:t>
      </w:r>
      <w:r w:rsidR="00D616AD">
        <w:rPr>
          <w:rFonts w:asciiTheme="minorHAnsi" w:hAnsiTheme="minorHAnsi"/>
          <w:szCs w:val="22"/>
        </w:rPr>
        <w:t>, based upon the toxicity profile of a product containing 240 g/L of the TGAC</w:t>
      </w:r>
      <w:r>
        <w:rPr>
          <w:rFonts w:asciiTheme="minorHAnsi" w:hAnsiTheme="minorHAnsi"/>
          <w:szCs w:val="22"/>
        </w:rPr>
        <w:t xml:space="preserve">. </w:t>
      </w:r>
      <w:proofErr w:type="spellStart"/>
      <w:r>
        <w:rPr>
          <w:rFonts w:asciiTheme="minorHAnsi" w:hAnsiTheme="minorHAnsi"/>
          <w:szCs w:val="22"/>
        </w:rPr>
        <w:t>A</w:t>
      </w:r>
      <w:r w:rsidRPr="00F563ED">
        <w:rPr>
          <w:rFonts w:asciiTheme="minorHAnsi" w:hAnsiTheme="minorHAnsi"/>
          <w:szCs w:val="22"/>
        </w:rPr>
        <w:t>minocyclopyrachlor</w:t>
      </w:r>
      <w:proofErr w:type="spellEnd"/>
      <w:r w:rsidRPr="00F563ED">
        <w:rPr>
          <w:rFonts w:asciiTheme="minorHAnsi" w:hAnsiTheme="minorHAnsi"/>
          <w:szCs w:val="22"/>
        </w:rPr>
        <w:t xml:space="preserve"> was </w:t>
      </w:r>
      <w:r w:rsidR="00DF2E07">
        <w:rPr>
          <w:rFonts w:asciiTheme="minorHAnsi" w:hAnsiTheme="minorHAnsi"/>
          <w:szCs w:val="22"/>
        </w:rPr>
        <w:t xml:space="preserve">previously </w:t>
      </w:r>
      <w:r w:rsidRPr="00F563ED">
        <w:rPr>
          <w:rFonts w:asciiTheme="minorHAnsi" w:hAnsiTheme="minorHAnsi"/>
          <w:szCs w:val="22"/>
        </w:rPr>
        <w:t xml:space="preserve">included in Schedule 5 </w:t>
      </w:r>
      <w:r w:rsidR="00271FC7">
        <w:rPr>
          <w:rFonts w:asciiTheme="minorHAnsi" w:hAnsiTheme="minorHAnsi"/>
          <w:szCs w:val="22"/>
        </w:rPr>
        <w:t>with no concentration limits</w:t>
      </w:r>
      <w:r w:rsidR="00835BD8">
        <w:rPr>
          <w:rFonts w:asciiTheme="minorHAnsi" w:hAnsiTheme="minorHAnsi"/>
          <w:szCs w:val="22"/>
        </w:rPr>
        <w:t xml:space="preserve">. </w:t>
      </w:r>
      <w:r w:rsidR="00D616AD">
        <w:rPr>
          <w:rFonts w:asciiTheme="minorHAnsi" w:hAnsiTheme="minorHAnsi"/>
          <w:szCs w:val="22"/>
        </w:rPr>
        <w:t>However, new d</w:t>
      </w:r>
      <w:r>
        <w:rPr>
          <w:rFonts w:asciiTheme="minorHAnsi" w:hAnsiTheme="minorHAnsi"/>
          <w:szCs w:val="22"/>
        </w:rPr>
        <w:t xml:space="preserve">ata </w:t>
      </w:r>
      <w:r w:rsidR="00D616AD">
        <w:rPr>
          <w:rFonts w:asciiTheme="minorHAnsi" w:hAnsiTheme="minorHAnsi"/>
          <w:szCs w:val="22"/>
        </w:rPr>
        <w:t>indicate</w:t>
      </w:r>
      <w:r w:rsidR="00835BD8">
        <w:rPr>
          <w:rFonts w:asciiTheme="minorHAnsi" w:hAnsiTheme="minorHAnsi"/>
          <w:szCs w:val="22"/>
        </w:rPr>
        <w:t xml:space="preserve"> a lack of eye irritation and therefore</w:t>
      </w:r>
      <w:r w:rsidR="00D616AD">
        <w:rPr>
          <w:rFonts w:asciiTheme="minorHAnsi" w:hAnsiTheme="minorHAnsi"/>
          <w:szCs w:val="22"/>
        </w:rPr>
        <w:t xml:space="preserve"> the</w:t>
      </w:r>
      <w:r w:rsidR="00835BD8">
        <w:rPr>
          <w:rFonts w:asciiTheme="minorHAnsi" w:hAnsiTheme="minorHAnsi"/>
          <w:szCs w:val="22"/>
        </w:rPr>
        <w:t xml:space="preserve"> </w:t>
      </w:r>
      <w:r>
        <w:rPr>
          <w:rFonts w:asciiTheme="minorHAnsi" w:hAnsiTheme="minorHAnsi"/>
          <w:szCs w:val="22"/>
        </w:rPr>
        <w:t>toxicity profile</w:t>
      </w:r>
      <w:r w:rsidR="00835BD8">
        <w:rPr>
          <w:rFonts w:asciiTheme="minorHAnsi" w:hAnsiTheme="minorHAnsi"/>
          <w:szCs w:val="22"/>
        </w:rPr>
        <w:t xml:space="preserve"> would fall</w:t>
      </w:r>
      <w:r w:rsidRPr="00F563ED">
        <w:rPr>
          <w:rFonts w:asciiTheme="minorHAnsi" w:hAnsiTheme="minorHAnsi"/>
          <w:szCs w:val="22"/>
        </w:rPr>
        <w:t xml:space="preserve"> below the threshold</w:t>
      </w:r>
      <w:r w:rsidR="00DF2E07">
        <w:rPr>
          <w:rFonts w:asciiTheme="minorHAnsi" w:hAnsiTheme="minorHAnsi"/>
          <w:szCs w:val="22"/>
        </w:rPr>
        <w:t>s</w:t>
      </w:r>
      <w:r w:rsidRPr="00F563ED">
        <w:rPr>
          <w:rFonts w:asciiTheme="minorHAnsi" w:hAnsiTheme="minorHAnsi"/>
          <w:szCs w:val="22"/>
        </w:rPr>
        <w:t xml:space="preserve"> for inclusion in Schedule 5</w:t>
      </w:r>
      <w:r w:rsidR="00835BD8">
        <w:rPr>
          <w:rFonts w:asciiTheme="minorHAnsi" w:hAnsiTheme="minorHAnsi"/>
          <w:szCs w:val="22"/>
          <w:lang w:eastAsia="en-AU"/>
        </w:rPr>
        <w:t xml:space="preserve"> as outlined in the SPF.</w:t>
      </w:r>
    </w:p>
    <w:p w14:paraId="311FFD2C" w14:textId="50B7DA9A" w:rsidR="002C773E" w:rsidRDefault="002C773E" w:rsidP="002C773E">
      <w:pPr>
        <w:pStyle w:val="ListBullet"/>
        <w:numPr>
          <w:ilvl w:val="0"/>
          <w:numId w:val="1"/>
        </w:numPr>
        <w:rPr>
          <w:lang w:eastAsia="en-AU"/>
        </w:rPr>
      </w:pPr>
      <w:r>
        <w:rPr>
          <w:lang w:eastAsia="en-AU"/>
        </w:rPr>
        <w:t>I am satisfied that, for the purposes of paragraph 52E(1)(d) of the Act, the regulator (APVMA) will consider the dosage</w:t>
      </w:r>
      <w:r w:rsidR="00835BD8">
        <w:rPr>
          <w:lang w:eastAsia="en-AU"/>
        </w:rPr>
        <w:t xml:space="preserve"> (application rate)</w:t>
      </w:r>
      <w:r>
        <w:rPr>
          <w:lang w:eastAsia="en-AU"/>
        </w:rPr>
        <w:t xml:space="preserve">, formulation, labelling, </w:t>
      </w:r>
      <w:proofErr w:type="gramStart"/>
      <w:r>
        <w:rPr>
          <w:lang w:eastAsia="en-AU"/>
        </w:rPr>
        <w:t>packaging</w:t>
      </w:r>
      <w:proofErr w:type="gramEnd"/>
      <w:r>
        <w:rPr>
          <w:lang w:eastAsia="en-AU"/>
        </w:rPr>
        <w:t xml:space="preserve"> and presentation of any commercial products.</w:t>
      </w:r>
    </w:p>
    <w:p w14:paraId="6439C615" w14:textId="01CCBBBE" w:rsidR="00716AF8" w:rsidRDefault="006A70C4" w:rsidP="00C17F66">
      <w:pPr>
        <w:pStyle w:val="ListBullet"/>
      </w:pPr>
      <w:r>
        <w:rPr>
          <w:lang w:eastAsia="en-AU"/>
        </w:rPr>
        <w:lastRenderedPageBreak/>
        <w:t>The substance has no human therapeutic value</w:t>
      </w:r>
      <w:r w:rsidR="00835BD8">
        <w:rPr>
          <w:lang w:eastAsia="en-AU"/>
        </w:rPr>
        <w:t xml:space="preserve"> </w:t>
      </w:r>
      <w:r w:rsidR="00835BD8">
        <w:t>or significant pharmacological effect</w:t>
      </w:r>
      <w:r w:rsidR="00835BD8" w:rsidRPr="00963C0B">
        <w:t xml:space="preserve"> </w:t>
      </w:r>
      <w:r>
        <w:rPr>
          <w:lang w:eastAsia="en-AU"/>
        </w:rPr>
        <w:t xml:space="preserve">that would indicate a risk for diversion, </w:t>
      </w:r>
      <w:proofErr w:type="gramStart"/>
      <w:r>
        <w:rPr>
          <w:lang w:eastAsia="en-AU"/>
        </w:rPr>
        <w:t>misuse</w:t>
      </w:r>
      <w:proofErr w:type="gramEnd"/>
      <w:r>
        <w:rPr>
          <w:lang w:eastAsia="en-AU"/>
        </w:rPr>
        <w:t xml:space="preserve"> or abuse (52E(1)(e)).</w:t>
      </w:r>
    </w:p>
    <w:p w14:paraId="452A46E9" w14:textId="77777777" w:rsidR="00523152" w:rsidRPr="00DB4BE8" w:rsidRDefault="00523152" w:rsidP="00523152">
      <w:pPr>
        <w:pStyle w:val="ListBullet"/>
        <w:numPr>
          <w:ilvl w:val="0"/>
          <w:numId w:val="0"/>
        </w:numPr>
        <w:rPr>
          <w:rFonts w:asciiTheme="minorHAnsi" w:hAnsiTheme="minorHAnsi"/>
          <w:szCs w:val="22"/>
        </w:rPr>
      </w:pPr>
      <w:proofErr w:type="gramStart"/>
      <w:r>
        <w:t>On the basis of</w:t>
      </w:r>
      <w:proofErr w:type="gramEnd"/>
      <w:r>
        <w:t xml:space="preserve"> the above considerations and the information provided in the application, I have decided to amend the current Poisons Standard in the manner set out above. The proposed amendment was not referred to an expert advisory committee.</w:t>
      </w:r>
    </w:p>
    <w:p w14:paraId="2BA005D8" w14:textId="77777777" w:rsidR="006A70C4" w:rsidRPr="00B76897" w:rsidRDefault="006A70C4" w:rsidP="006A70C4">
      <w:pPr>
        <w:pStyle w:val="Heading4"/>
      </w:pPr>
      <w:r w:rsidRPr="00B76897">
        <w:t>Date of effect</w:t>
      </w:r>
    </w:p>
    <w:p w14:paraId="38CF5032" w14:textId="6CADBDE0" w:rsidR="00113E24" w:rsidRDefault="006A70C4" w:rsidP="00113E24">
      <w:r w:rsidRPr="0094466C">
        <w:t xml:space="preserve">1 </w:t>
      </w:r>
      <w:r w:rsidR="005607E0" w:rsidRPr="0094466C">
        <w:t>June</w:t>
      </w:r>
      <w:r w:rsidRPr="0094466C">
        <w:t xml:space="preserve"> 2022</w:t>
      </w:r>
    </w:p>
    <w:p w14:paraId="79BAA40D" w14:textId="7C6FB208" w:rsidR="00113E24" w:rsidRDefault="00113E24" w:rsidP="00113E24">
      <w:pPr>
        <w:pStyle w:val="Heading3"/>
        <w:numPr>
          <w:ilvl w:val="0"/>
          <w:numId w:val="0"/>
        </w:numPr>
      </w:pPr>
      <w:bookmarkStart w:id="32" w:name="_Toc100620711"/>
      <w:r>
        <w:t xml:space="preserve">3.4 Final decision in relation </w:t>
      </w:r>
      <w:r w:rsidRPr="00F2020D">
        <w:t xml:space="preserve">to </w:t>
      </w:r>
      <w:r>
        <w:t>monoclonal antibodies</w:t>
      </w:r>
      <w:bookmarkEnd w:id="32"/>
    </w:p>
    <w:p w14:paraId="42460C4C" w14:textId="77777777" w:rsidR="00113E24" w:rsidRPr="00F7689E" w:rsidRDefault="00113E24" w:rsidP="00113E24">
      <w:pPr>
        <w:pStyle w:val="Heading4"/>
      </w:pPr>
      <w:r w:rsidRPr="00F7689E">
        <w:t xml:space="preserve">Final </w:t>
      </w:r>
      <w:r w:rsidRPr="00372277">
        <w:t>decision</w:t>
      </w:r>
    </w:p>
    <w:p w14:paraId="14529A80" w14:textId="294D7A3E" w:rsidR="00113E24" w:rsidRDefault="00113E24" w:rsidP="00113E24">
      <w:r>
        <w:t>Pursuant to regulatio</w:t>
      </w:r>
      <w:r w:rsidRPr="005607E0">
        <w:t xml:space="preserve">n </w:t>
      </w:r>
      <w:r w:rsidRPr="00021E92">
        <w:t>42ZCZU</w:t>
      </w:r>
      <w:r w:rsidRPr="005607E0">
        <w:t xml:space="preserve"> of</w:t>
      </w:r>
      <w:r>
        <w:t xml:space="preserve"> the Regulations a Delegate of the Secretary has made a final decision to amend the current Poisons Standard in relation to </w:t>
      </w:r>
      <w:proofErr w:type="spellStart"/>
      <w:r>
        <w:t>casirivumab</w:t>
      </w:r>
      <w:proofErr w:type="spellEnd"/>
      <w:r>
        <w:t xml:space="preserve">, </w:t>
      </w:r>
      <w:proofErr w:type="spellStart"/>
      <w:r>
        <w:t>cilgavimab</w:t>
      </w:r>
      <w:proofErr w:type="spellEnd"/>
      <w:r>
        <w:t xml:space="preserve">, </w:t>
      </w:r>
      <w:proofErr w:type="spellStart"/>
      <w:r>
        <w:t>imdevimab</w:t>
      </w:r>
      <w:proofErr w:type="spellEnd"/>
      <w:r>
        <w:t xml:space="preserve">, </w:t>
      </w:r>
      <w:proofErr w:type="spellStart"/>
      <w:r>
        <w:t>regdanvimab</w:t>
      </w:r>
      <w:proofErr w:type="spellEnd"/>
      <w:r>
        <w:t xml:space="preserve"> and </w:t>
      </w:r>
      <w:proofErr w:type="spellStart"/>
      <w:r>
        <w:t>tixagevimab</w:t>
      </w:r>
      <w:proofErr w:type="spellEnd"/>
      <w:r>
        <w:t xml:space="preserve"> as follows:</w:t>
      </w:r>
    </w:p>
    <w:p w14:paraId="3FFDE0A4" w14:textId="6552AE1A" w:rsidR="00113E24" w:rsidRDefault="00113E24" w:rsidP="00113E24">
      <w:pPr>
        <w:ind w:firstLine="426"/>
        <w:rPr>
          <w:b/>
        </w:rPr>
      </w:pPr>
      <w:r>
        <w:rPr>
          <w:b/>
        </w:rPr>
        <w:t>Schedule 4 – New Entries</w:t>
      </w:r>
    </w:p>
    <w:p w14:paraId="19BD1A6F" w14:textId="3A841E43" w:rsidR="00113E24" w:rsidRPr="00113E24" w:rsidRDefault="00113E24" w:rsidP="00113E24">
      <w:pPr>
        <w:ind w:left="720"/>
        <w:rPr>
          <w:color w:val="00B050"/>
        </w:rPr>
      </w:pPr>
      <w:r w:rsidRPr="00113E24">
        <w:rPr>
          <w:color w:val="00B050"/>
        </w:rPr>
        <w:t>CASIRIV</w:t>
      </w:r>
      <w:r w:rsidR="0049508E">
        <w:rPr>
          <w:color w:val="00B050"/>
        </w:rPr>
        <w:t>I</w:t>
      </w:r>
      <w:r w:rsidRPr="00113E24">
        <w:rPr>
          <w:color w:val="00B050"/>
        </w:rPr>
        <w:t>MAB</w:t>
      </w:r>
      <w:r>
        <w:rPr>
          <w:color w:val="00B050"/>
        </w:rPr>
        <w:t>.</w:t>
      </w:r>
    </w:p>
    <w:p w14:paraId="0CA47CA4" w14:textId="5E1CBE29" w:rsidR="00113E24" w:rsidRPr="00113E24" w:rsidRDefault="00113E24" w:rsidP="00113E24">
      <w:pPr>
        <w:ind w:left="720"/>
        <w:rPr>
          <w:color w:val="00B050"/>
        </w:rPr>
      </w:pPr>
      <w:r w:rsidRPr="00113E24">
        <w:rPr>
          <w:color w:val="00B050"/>
        </w:rPr>
        <w:t>CILGAVIMAB</w:t>
      </w:r>
      <w:r>
        <w:rPr>
          <w:color w:val="00B050"/>
        </w:rPr>
        <w:t>.</w:t>
      </w:r>
    </w:p>
    <w:p w14:paraId="3BEEFAB5" w14:textId="0FB8269B" w:rsidR="00113E24" w:rsidRPr="00113E24" w:rsidRDefault="00113E24" w:rsidP="00113E24">
      <w:pPr>
        <w:ind w:left="720"/>
        <w:rPr>
          <w:color w:val="00B050"/>
        </w:rPr>
      </w:pPr>
      <w:r w:rsidRPr="00113E24">
        <w:rPr>
          <w:color w:val="00B050"/>
        </w:rPr>
        <w:t>IMDEVIMAB</w:t>
      </w:r>
      <w:r>
        <w:rPr>
          <w:color w:val="00B050"/>
        </w:rPr>
        <w:t>.</w:t>
      </w:r>
    </w:p>
    <w:p w14:paraId="0C4645FE" w14:textId="26ADB784" w:rsidR="00113E24" w:rsidRPr="00113E24" w:rsidRDefault="00113E24" w:rsidP="00113E24">
      <w:pPr>
        <w:ind w:left="720"/>
        <w:rPr>
          <w:color w:val="00B050"/>
        </w:rPr>
      </w:pPr>
      <w:r w:rsidRPr="00113E24">
        <w:rPr>
          <w:color w:val="00B050"/>
        </w:rPr>
        <w:t>REGDANVIMAB</w:t>
      </w:r>
      <w:r>
        <w:rPr>
          <w:color w:val="00B050"/>
        </w:rPr>
        <w:t>.</w:t>
      </w:r>
    </w:p>
    <w:p w14:paraId="099FB9A4" w14:textId="7229CEEB" w:rsidR="00113E24" w:rsidRDefault="00113E24" w:rsidP="00113E24">
      <w:pPr>
        <w:ind w:left="720"/>
        <w:rPr>
          <w:color w:val="00B050"/>
        </w:rPr>
      </w:pPr>
      <w:r w:rsidRPr="00113E24">
        <w:rPr>
          <w:color w:val="00B050"/>
        </w:rPr>
        <w:t>TIXAGEVIMAB</w:t>
      </w:r>
      <w:r>
        <w:rPr>
          <w:color w:val="00B050"/>
        </w:rPr>
        <w:t>.</w:t>
      </w:r>
    </w:p>
    <w:p w14:paraId="4EF6644A" w14:textId="0932B13A" w:rsidR="00113E24" w:rsidRDefault="00113E24" w:rsidP="00113E24">
      <w:pPr>
        <w:ind w:left="426"/>
        <w:rPr>
          <w:b/>
          <w:bCs/>
        </w:rPr>
      </w:pPr>
      <w:r w:rsidRPr="00113E24">
        <w:rPr>
          <w:b/>
          <w:bCs/>
        </w:rPr>
        <w:t>Index – New Entries</w:t>
      </w:r>
    </w:p>
    <w:p w14:paraId="7B69E543" w14:textId="353542DC" w:rsidR="00113E24" w:rsidRPr="00113E24" w:rsidRDefault="00113E24" w:rsidP="00113E24">
      <w:pPr>
        <w:ind w:left="720"/>
        <w:rPr>
          <w:b/>
          <w:bCs/>
          <w:color w:val="00B050"/>
        </w:rPr>
      </w:pPr>
      <w:r w:rsidRPr="00113E24">
        <w:rPr>
          <w:b/>
          <w:bCs/>
          <w:color w:val="00B050"/>
        </w:rPr>
        <w:t>CASIRIV</w:t>
      </w:r>
      <w:r w:rsidR="0049508E">
        <w:rPr>
          <w:b/>
          <w:bCs/>
          <w:color w:val="00B050"/>
        </w:rPr>
        <w:t>I</w:t>
      </w:r>
      <w:r w:rsidRPr="00113E24">
        <w:rPr>
          <w:b/>
          <w:bCs/>
          <w:color w:val="00B050"/>
        </w:rPr>
        <w:t>MAB</w:t>
      </w:r>
    </w:p>
    <w:p w14:paraId="0CB3B480" w14:textId="2DF55FD7" w:rsidR="00113E24" w:rsidRPr="00113E24" w:rsidRDefault="00113E24" w:rsidP="00113E24">
      <w:pPr>
        <w:ind w:left="720"/>
        <w:rPr>
          <w:color w:val="00B050"/>
        </w:rPr>
      </w:pPr>
      <w:bookmarkStart w:id="33" w:name="_Hlk100237188"/>
      <w:r>
        <w:rPr>
          <w:color w:val="00B050"/>
        </w:rPr>
        <w:t>Schedule 4</w:t>
      </w:r>
    </w:p>
    <w:bookmarkEnd w:id="33"/>
    <w:p w14:paraId="288D2F7B" w14:textId="6AE37602" w:rsidR="00113E24" w:rsidRPr="00113E24" w:rsidRDefault="00113E24" w:rsidP="00113E24">
      <w:pPr>
        <w:ind w:left="720"/>
        <w:rPr>
          <w:b/>
          <w:bCs/>
          <w:color w:val="00B050"/>
        </w:rPr>
      </w:pPr>
      <w:r w:rsidRPr="00113E24">
        <w:rPr>
          <w:b/>
          <w:bCs/>
          <w:color w:val="00B050"/>
        </w:rPr>
        <w:t>CILGAVIMAB</w:t>
      </w:r>
    </w:p>
    <w:p w14:paraId="022C6004" w14:textId="77777777" w:rsidR="00113E24" w:rsidRPr="00113E24" w:rsidRDefault="00113E24" w:rsidP="00113E24">
      <w:pPr>
        <w:ind w:left="720"/>
        <w:rPr>
          <w:color w:val="00B050"/>
        </w:rPr>
      </w:pPr>
      <w:r>
        <w:rPr>
          <w:color w:val="00B050"/>
        </w:rPr>
        <w:t>Schedule 4</w:t>
      </w:r>
    </w:p>
    <w:p w14:paraId="4B634A24" w14:textId="3142CDF1" w:rsidR="00113E24" w:rsidRPr="00113E24" w:rsidRDefault="00113E24" w:rsidP="00113E24">
      <w:pPr>
        <w:ind w:firstLine="720"/>
        <w:rPr>
          <w:b/>
          <w:bCs/>
          <w:color w:val="00B050"/>
        </w:rPr>
      </w:pPr>
      <w:r w:rsidRPr="00113E24">
        <w:rPr>
          <w:b/>
          <w:bCs/>
          <w:color w:val="00B050"/>
        </w:rPr>
        <w:t>IMDEVIMAB</w:t>
      </w:r>
    </w:p>
    <w:p w14:paraId="7B6C3910" w14:textId="77777777" w:rsidR="00113E24" w:rsidRPr="00113E24" w:rsidRDefault="00113E24" w:rsidP="00113E24">
      <w:pPr>
        <w:ind w:left="720"/>
        <w:rPr>
          <w:color w:val="00B050"/>
        </w:rPr>
      </w:pPr>
      <w:r>
        <w:rPr>
          <w:color w:val="00B050"/>
        </w:rPr>
        <w:t>Schedule 4</w:t>
      </w:r>
    </w:p>
    <w:p w14:paraId="3B20135B" w14:textId="145C3AA7" w:rsidR="00113E24" w:rsidRPr="00113E24" w:rsidRDefault="00113E24" w:rsidP="00113E24">
      <w:pPr>
        <w:ind w:left="720"/>
        <w:rPr>
          <w:b/>
          <w:bCs/>
          <w:color w:val="00B050"/>
        </w:rPr>
      </w:pPr>
      <w:r w:rsidRPr="00113E24">
        <w:rPr>
          <w:b/>
          <w:bCs/>
          <w:color w:val="00B050"/>
        </w:rPr>
        <w:t>REGDANVIMAB</w:t>
      </w:r>
    </w:p>
    <w:p w14:paraId="01D62330" w14:textId="77777777" w:rsidR="00113E24" w:rsidRPr="00113E24" w:rsidRDefault="00113E24" w:rsidP="00113E24">
      <w:pPr>
        <w:ind w:left="720"/>
        <w:rPr>
          <w:color w:val="00B050"/>
        </w:rPr>
      </w:pPr>
      <w:r>
        <w:rPr>
          <w:color w:val="00B050"/>
        </w:rPr>
        <w:t>Schedule 4</w:t>
      </w:r>
    </w:p>
    <w:p w14:paraId="58936073" w14:textId="74199453" w:rsidR="00113E24" w:rsidRDefault="00113E24" w:rsidP="00113E24">
      <w:pPr>
        <w:ind w:left="720"/>
        <w:rPr>
          <w:color w:val="00B050"/>
        </w:rPr>
      </w:pPr>
      <w:r w:rsidRPr="00113E24">
        <w:rPr>
          <w:b/>
          <w:bCs/>
          <w:color w:val="00B050"/>
        </w:rPr>
        <w:t>TIXAGEVIMAB</w:t>
      </w:r>
    </w:p>
    <w:p w14:paraId="7344748F" w14:textId="27A806CC" w:rsidR="00113E24" w:rsidRPr="00113E24" w:rsidRDefault="00113E24" w:rsidP="00113E24">
      <w:pPr>
        <w:ind w:left="720"/>
        <w:rPr>
          <w:color w:val="00B050"/>
        </w:rPr>
      </w:pPr>
      <w:r>
        <w:rPr>
          <w:color w:val="00B050"/>
        </w:rPr>
        <w:t>Schedule 4</w:t>
      </w:r>
    </w:p>
    <w:p w14:paraId="4FA175AF" w14:textId="77777777" w:rsidR="00113E24" w:rsidRPr="00F7689E" w:rsidRDefault="00113E24" w:rsidP="00113E24">
      <w:pPr>
        <w:pStyle w:val="Heading4"/>
      </w:pPr>
      <w:r w:rsidRPr="00F7689E">
        <w:t xml:space="preserve">Materials </w:t>
      </w:r>
      <w:r w:rsidRPr="00372277">
        <w:t>considered</w:t>
      </w:r>
    </w:p>
    <w:p w14:paraId="002CA1C1" w14:textId="77777777" w:rsidR="00113E24" w:rsidRDefault="00113E24" w:rsidP="00113E24">
      <w:pPr>
        <w:pStyle w:val="ListBullet"/>
        <w:numPr>
          <w:ilvl w:val="0"/>
          <w:numId w:val="0"/>
        </w:numPr>
        <w:ind w:left="360" w:hanging="360"/>
        <w:rPr>
          <w:lang w:eastAsia="en-AU"/>
        </w:rPr>
      </w:pPr>
      <w:r>
        <w:rPr>
          <w:lang w:eastAsia="en-AU"/>
        </w:rPr>
        <w:t>In making this final decision, the Delegate considered the following material:</w:t>
      </w:r>
    </w:p>
    <w:p w14:paraId="416CC426" w14:textId="77777777" w:rsidR="00113E24" w:rsidRDefault="00113E24" w:rsidP="00113E24">
      <w:pPr>
        <w:pStyle w:val="ListBullet"/>
        <w:numPr>
          <w:ilvl w:val="0"/>
          <w:numId w:val="1"/>
        </w:numPr>
        <w:rPr>
          <w:lang w:eastAsia="en-AU"/>
        </w:rPr>
      </w:pPr>
      <w:r>
        <w:t xml:space="preserve">The SPF, pursuant to paragraph 52E(2)(a) of the Act; and </w:t>
      </w:r>
    </w:p>
    <w:p w14:paraId="04ADC617" w14:textId="77777777" w:rsidR="00113E24" w:rsidRDefault="00113E24" w:rsidP="00113E24">
      <w:pPr>
        <w:pStyle w:val="ListBullet"/>
        <w:numPr>
          <w:ilvl w:val="0"/>
          <w:numId w:val="1"/>
        </w:numPr>
        <w:rPr>
          <w:lang w:eastAsia="en-AU"/>
        </w:rPr>
      </w:pPr>
      <w:r>
        <w:lastRenderedPageBreak/>
        <w:t xml:space="preserve">The Handbook. </w:t>
      </w:r>
    </w:p>
    <w:p w14:paraId="1995237E" w14:textId="77777777" w:rsidR="00113E24" w:rsidRPr="00F7689E" w:rsidRDefault="00113E24" w:rsidP="00113E24">
      <w:pPr>
        <w:pStyle w:val="Heading4"/>
      </w:pPr>
      <w:r w:rsidRPr="00F7689E">
        <w:t xml:space="preserve">Reasons for the final decision (including findings on material questions of fact) </w:t>
      </w:r>
    </w:p>
    <w:p w14:paraId="097F6906" w14:textId="30864AB2" w:rsidR="00113E24" w:rsidRPr="0022019E" w:rsidRDefault="00113E24" w:rsidP="00113E24">
      <w:r w:rsidRPr="0022019E">
        <w:t xml:space="preserve">In determining that this matter will be a delegate-only decision I have </w:t>
      </w:r>
      <w:proofErr w:type="gramStart"/>
      <w:r w:rsidRPr="0022019E">
        <w:t>taken into account</w:t>
      </w:r>
      <w:proofErr w:type="gramEnd"/>
      <w:r w:rsidRPr="0022019E">
        <w:t xml:space="preserve"> the SPF. </w:t>
      </w:r>
      <w:proofErr w:type="gramStart"/>
      <w:r w:rsidRPr="0022019E">
        <w:t>In particular</w:t>
      </w:r>
      <w:r w:rsidR="0049508E">
        <w:t>,</w:t>
      </w:r>
      <w:r w:rsidRPr="0022019E">
        <w:t xml:space="preserve"> I</w:t>
      </w:r>
      <w:proofErr w:type="gramEnd"/>
      <w:r w:rsidRPr="0022019E">
        <w:t xml:space="preserve"> note that:</w:t>
      </w:r>
    </w:p>
    <w:p w14:paraId="77ECD342" w14:textId="74F4CA34" w:rsidR="00113E24" w:rsidRDefault="00113E24" w:rsidP="00B460EA">
      <w:pPr>
        <w:pStyle w:val="ListParagraph"/>
        <w:numPr>
          <w:ilvl w:val="0"/>
          <w:numId w:val="21"/>
        </w:numPr>
        <w:spacing w:before="0" w:after="120"/>
        <w:ind w:left="357" w:hanging="357"/>
        <w:contextualSpacing w:val="0"/>
        <w:rPr>
          <w:rFonts w:asciiTheme="minorHAnsi" w:hAnsiTheme="minorHAnsi"/>
          <w:szCs w:val="22"/>
        </w:rPr>
      </w:pPr>
      <w:r>
        <w:rPr>
          <w:rFonts w:asciiTheme="minorHAnsi" w:hAnsiTheme="minorHAnsi"/>
          <w:szCs w:val="22"/>
        </w:rPr>
        <w:t xml:space="preserve">These medicines have been assessed </w:t>
      </w:r>
      <w:r w:rsidR="00B460EA">
        <w:rPr>
          <w:rFonts w:asciiTheme="minorHAnsi" w:hAnsiTheme="minorHAnsi"/>
          <w:szCs w:val="22"/>
        </w:rPr>
        <w:t>by the Therapeutic Goods Administration as meeting the Scheduling Policy Framework for Schedule 4 (prescription-only</w:t>
      </w:r>
      <w:r w:rsidR="0049508E">
        <w:rPr>
          <w:rFonts w:asciiTheme="minorHAnsi" w:hAnsiTheme="minorHAnsi"/>
          <w:szCs w:val="22"/>
        </w:rPr>
        <w:t xml:space="preserve"> medicine</w:t>
      </w:r>
      <w:r w:rsidR="00B460EA">
        <w:rPr>
          <w:rFonts w:asciiTheme="minorHAnsi" w:hAnsiTheme="minorHAnsi"/>
          <w:szCs w:val="22"/>
        </w:rPr>
        <w:t xml:space="preserve">) </w:t>
      </w:r>
      <w:r w:rsidR="0049508E">
        <w:rPr>
          <w:rFonts w:asciiTheme="minorHAnsi" w:hAnsiTheme="minorHAnsi"/>
          <w:szCs w:val="22"/>
        </w:rPr>
        <w:t>substances</w:t>
      </w:r>
      <w:r w:rsidR="00B460EA">
        <w:rPr>
          <w:rFonts w:asciiTheme="minorHAnsi" w:hAnsiTheme="minorHAnsi"/>
          <w:szCs w:val="22"/>
        </w:rPr>
        <w:t xml:space="preserve"> in the Poisons Standard.</w:t>
      </w:r>
    </w:p>
    <w:p w14:paraId="415A441A" w14:textId="6DFE29CB" w:rsidR="00B460EA" w:rsidRDefault="00B460EA" w:rsidP="00B460EA">
      <w:pPr>
        <w:pStyle w:val="ListParagraph"/>
        <w:numPr>
          <w:ilvl w:val="0"/>
          <w:numId w:val="21"/>
        </w:numPr>
        <w:spacing w:before="0" w:after="120"/>
        <w:ind w:left="357" w:hanging="357"/>
        <w:contextualSpacing w:val="0"/>
        <w:rPr>
          <w:rFonts w:asciiTheme="minorHAnsi" w:hAnsiTheme="minorHAnsi"/>
          <w:szCs w:val="22"/>
        </w:rPr>
      </w:pPr>
      <w:r>
        <w:rPr>
          <w:rFonts w:asciiTheme="minorHAnsi" w:hAnsiTheme="minorHAnsi"/>
          <w:szCs w:val="22"/>
        </w:rPr>
        <w:t xml:space="preserve">As members of the monoclonal antibody class of medicines, these five substances are already regarded as prescription-only medicines under the Schedule 4 group </w:t>
      </w:r>
      <w:r w:rsidR="0049508E">
        <w:rPr>
          <w:rFonts w:asciiTheme="minorHAnsi" w:hAnsiTheme="minorHAnsi"/>
          <w:szCs w:val="22"/>
        </w:rPr>
        <w:t>entry</w:t>
      </w:r>
      <w:r>
        <w:rPr>
          <w:rFonts w:asciiTheme="minorHAnsi" w:hAnsiTheme="minorHAnsi"/>
          <w:szCs w:val="22"/>
        </w:rPr>
        <w:t xml:space="preserve"> for that class in the Poisons Standard:</w:t>
      </w:r>
    </w:p>
    <w:p w14:paraId="2A0CEF20" w14:textId="77777777" w:rsidR="00B460EA" w:rsidRPr="00B460EA" w:rsidRDefault="00B460EA" w:rsidP="00B460EA">
      <w:pPr>
        <w:autoSpaceDE w:val="0"/>
        <w:autoSpaceDN w:val="0"/>
        <w:adjustRightInd w:val="0"/>
        <w:spacing w:before="0" w:line="240" w:lineRule="auto"/>
        <w:ind w:left="1418"/>
        <w:rPr>
          <w:rFonts w:asciiTheme="minorHAnsi" w:hAnsiTheme="minorHAnsi"/>
          <w:color w:val="000000"/>
          <w:szCs w:val="22"/>
          <w:lang w:eastAsia="en-AU"/>
        </w:rPr>
      </w:pPr>
      <w:r w:rsidRPr="00B460EA">
        <w:rPr>
          <w:rFonts w:asciiTheme="minorHAnsi" w:hAnsiTheme="minorHAnsi"/>
          <w:color w:val="000000"/>
          <w:szCs w:val="22"/>
          <w:lang w:eastAsia="en-AU"/>
        </w:rPr>
        <w:t xml:space="preserve">MONOCLONAL ANTIBODIES for therapeutic use </w:t>
      </w:r>
      <w:r w:rsidRPr="00B460EA">
        <w:rPr>
          <w:rFonts w:asciiTheme="minorHAnsi" w:hAnsiTheme="minorHAnsi"/>
          <w:b/>
          <w:bCs/>
          <w:color w:val="000000"/>
          <w:szCs w:val="22"/>
          <w:lang w:eastAsia="en-AU"/>
        </w:rPr>
        <w:t>except</w:t>
      </w:r>
      <w:r w:rsidRPr="00B460EA">
        <w:rPr>
          <w:rFonts w:asciiTheme="minorHAnsi" w:hAnsiTheme="minorHAnsi"/>
          <w:color w:val="000000"/>
          <w:szCs w:val="22"/>
          <w:lang w:eastAsia="en-AU"/>
        </w:rPr>
        <w:t xml:space="preserve">: </w:t>
      </w:r>
    </w:p>
    <w:p w14:paraId="4D3E6FFF" w14:textId="16AC68CC" w:rsidR="00B460EA" w:rsidRPr="00B460EA" w:rsidRDefault="00B460EA" w:rsidP="00B460EA">
      <w:pPr>
        <w:pStyle w:val="ListParagraph"/>
        <w:numPr>
          <w:ilvl w:val="0"/>
          <w:numId w:val="30"/>
        </w:numPr>
        <w:autoSpaceDE w:val="0"/>
        <w:autoSpaceDN w:val="0"/>
        <w:adjustRightInd w:val="0"/>
        <w:spacing w:before="0" w:after="0" w:line="240" w:lineRule="auto"/>
        <w:contextualSpacing w:val="0"/>
        <w:rPr>
          <w:rFonts w:asciiTheme="minorHAnsi" w:hAnsiTheme="minorHAnsi"/>
          <w:color w:val="000000"/>
          <w:szCs w:val="22"/>
          <w:lang w:eastAsia="en-AU"/>
        </w:rPr>
      </w:pPr>
      <w:r w:rsidRPr="00B460EA">
        <w:rPr>
          <w:rFonts w:asciiTheme="minorHAnsi" w:hAnsiTheme="minorHAnsi"/>
          <w:color w:val="000000"/>
          <w:szCs w:val="22"/>
          <w:lang w:eastAsia="en-AU"/>
        </w:rPr>
        <w:t xml:space="preserve">in diagnostic test kits; or </w:t>
      </w:r>
    </w:p>
    <w:p w14:paraId="3326437A" w14:textId="11A1DD26" w:rsidR="00B460EA" w:rsidRPr="00B460EA" w:rsidRDefault="00B460EA" w:rsidP="00B460EA">
      <w:pPr>
        <w:pStyle w:val="ListParagraph"/>
        <w:numPr>
          <w:ilvl w:val="0"/>
          <w:numId w:val="30"/>
        </w:numPr>
        <w:autoSpaceDE w:val="0"/>
        <w:autoSpaceDN w:val="0"/>
        <w:adjustRightInd w:val="0"/>
        <w:spacing w:line="240" w:lineRule="auto"/>
        <w:contextualSpacing w:val="0"/>
        <w:rPr>
          <w:rFonts w:asciiTheme="minorHAnsi" w:hAnsiTheme="minorHAnsi"/>
          <w:color w:val="000000"/>
          <w:szCs w:val="22"/>
          <w:lang w:eastAsia="en-AU"/>
        </w:rPr>
      </w:pPr>
      <w:r w:rsidRPr="00B460EA">
        <w:rPr>
          <w:rFonts w:asciiTheme="minorHAnsi" w:hAnsiTheme="minorHAnsi"/>
          <w:color w:val="000000"/>
          <w:szCs w:val="22"/>
          <w:lang w:eastAsia="en-AU"/>
        </w:rPr>
        <w:t xml:space="preserve">when separately specified in these Schedules. </w:t>
      </w:r>
    </w:p>
    <w:p w14:paraId="3F5F5238" w14:textId="12714D17" w:rsidR="00113E24" w:rsidRPr="00B460EA" w:rsidRDefault="00B460EA" w:rsidP="00B460EA">
      <w:pPr>
        <w:pStyle w:val="ListParagraph"/>
        <w:numPr>
          <w:ilvl w:val="0"/>
          <w:numId w:val="21"/>
        </w:numPr>
        <w:spacing w:before="0" w:after="120"/>
        <w:ind w:left="357" w:hanging="357"/>
        <w:contextualSpacing w:val="0"/>
        <w:rPr>
          <w:rFonts w:asciiTheme="minorHAnsi" w:hAnsiTheme="minorHAnsi"/>
          <w:szCs w:val="22"/>
        </w:rPr>
      </w:pPr>
      <w:r>
        <w:rPr>
          <w:rFonts w:asciiTheme="minorHAnsi" w:hAnsiTheme="minorHAnsi"/>
          <w:szCs w:val="22"/>
        </w:rPr>
        <w:t>However, given their use in the treatment of COVID-19</w:t>
      </w:r>
      <w:r w:rsidR="007C6984">
        <w:rPr>
          <w:rFonts w:asciiTheme="minorHAnsi" w:hAnsiTheme="minorHAnsi"/>
          <w:szCs w:val="22"/>
        </w:rPr>
        <w:t xml:space="preserve"> and that they are specified products in the Australian Register of Therapeutic Goods (ARTG)</w:t>
      </w:r>
      <w:r>
        <w:rPr>
          <w:rFonts w:asciiTheme="minorHAnsi" w:hAnsiTheme="minorHAnsi"/>
          <w:szCs w:val="22"/>
        </w:rPr>
        <w:t xml:space="preserve">, I have decided that it will be prudent to include specific listings for each of these medicines in Schedule 4. </w:t>
      </w:r>
    </w:p>
    <w:p w14:paraId="46E20602" w14:textId="4A964928" w:rsidR="00113E24" w:rsidRPr="00DB4BE8" w:rsidRDefault="0014384C" w:rsidP="00113E24">
      <w:pPr>
        <w:pStyle w:val="ListBullet"/>
        <w:numPr>
          <w:ilvl w:val="0"/>
          <w:numId w:val="0"/>
        </w:numPr>
        <w:rPr>
          <w:rFonts w:asciiTheme="minorHAnsi" w:hAnsiTheme="minorHAnsi"/>
          <w:szCs w:val="22"/>
        </w:rPr>
      </w:pPr>
      <w:r>
        <w:t>Based on</w:t>
      </w:r>
      <w:r w:rsidR="00113E24">
        <w:t xml:space="preserve"> the above considerations, I have decided to amend the current Poisons Standard in the manner set out above. The proposed amendment</w:t>
      </w:r>
      <w:r w:rsidR="00B460EA">
        <w:t>s</w:t>
      </w:r>
      <w:r w:rsidR="00113E24">
        <w:t xml:space="preserve"> w</w:t>
      </w:r>
      <w:r w:rsidR="00B460EA">
        <w:t>ere</w:t>
      </w:r>
      <w:r w:rsidR="00113E24">
        <w:t xml:space="preserve"> not referred to an expert advisory committee.</w:t>
      </w:r>
    </w:p>
    <w:p w14:paraId="680D687F" w14:textId="77777777" w:rsidR="00113E24" w:rsidRPr="00B76897" w:rsidRDefault="00113E24" w:rsidP="00113E24">
      <w:pPr>
        <w:pStyle w:val="Heading4"/>
      </w:pPr>
      <w:r w:rsidRPr="00B76897">
        <w:t>Date of effect</w:t>
      </w:r>
    </w:p>
    <w:p w14:paraId="605A1B2E" w14:textId="6F1E6A60" w:rsidR="00113E24" w:rsidRDefault="00113E24" w:rsidP="005254B4">
      <w:r w:rsidRPr="0094466C">
        <w:t>1 June 2022</w:t>
      </w:r>
    </w:p>
    <w:sectPr w:rsidR="00113E24" w:rsidSect="003A48A2">
      <w:headerReference w:type="default" r:id="rId17"/>
      <w:footerReference w:type="default" r:id="rId18"/>
      <w:headerReference w:type="first" r:id="rId19"/>
      <w:footerReference w:type="first" r:id="rId20"/>
      <w:type w:val="continuous"/>
      <w:pgSz w:w="11906" w:h="16838" w:code="9"/>
      <w:pgMar w:top="1134" w:right="1418" w:bottom="1361" w:left="1418" w:header="425"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B30D6" w14:textId="77777777" w:rsidR="008F446B" w:rsidRDefault="008F446B" w:rsidP="00C40A36">
      <w:pPr>
        <w:spacing w:after="0"/>
      </w:pPr>
      <w:r>
        <w:separator/>
      </w:r>
    </w:p>
  </w:endnote>
  <w:endnote w:type="continuationSeparator" w:id="0">
    <w:p w14:paraId="05537F69" w14:textId="77777777" w:rsidR="008F446B" w:rsidRDefault="008F446B"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094BA" w14:textId="77777777" w:rsidR="005A03FF" w:rsidRDefault="005A0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1382"/>
    </w:tblGrid>
    <w:tr w:rsidR="005A03FF" w:rsidRPr="00257138" w14:paraId="14B40608" w14:textId="77777777" w:rsidTr="009B00CC">
      <w:trPr>
        <w:trHeight w:val="423"/>
      </w:trPr>
      <w:tc>
        <w:tcPr>
          <w:tcW w:w="7338" w:type="dxa"/>
          <w:tcBorders>
            <w:top w:val="single" w:sz="4" w:space="0" w:color="auto"/>
          </w:tcBorders>
        </w:tcPr>
        <w:p w14:paraId="01C0B506" w14:textId="77777777" w:rsidR="005A03FF" w:rsidRDefault="005A03FF" w:rsidP="003F3095">
          <w:pPr>
            <w:pStyle w:val="Footer"/>
          </w:pPr>
          <w:r>
            <w:t>Record of the 29th meeting of the Advisory Committee on Medicines Scheduling</w:t>
          </w:r>
        </w:p>
        <w:p w14:paraId="5C7A2176" w14:textId="13ECDCE6" w:rsidR="005A03FF" w:rsidRPr="00257138" w:rsidRDefault="005A03FF" w:rsidP="003F3095">
          <w:pPr>
            <w:pStyle w:val="Footer"/>
          </w:pPr>
          <w:r>
            <w:t>12 March 2020</w:t>
          </w:r>
          <w:r>
            <w:br/>
          </w:r>
        </w:p>
      </w:tc>
      <w:tc>
        <w:tcPr>
          <w:tcW w:w="1382" w:type="dxa"/>
          <w:tcBorders>
            <w:top w:val="single" w:sz="4" w:space="0" w:color="auto"/>
          </w:tcBorders>
        </w:tcPr>
        <w:sdt>
          <w:sdtPr>
            <w:id w:val="21514580"/>
            <w:docPartObj>
              <w:docPartGallery w:val="Page Numbers (Top of Page)"/>
              <w:docPartUnique/>
            </w:docPartObj>
          </w:sdtPr>
          <w:sdtEndPr/>
          <w:sdtContent>
            <w:p w14:paraId="54629571" w14:textId="77777777" w:rsidR="005A03FF" w:rsidRDefault="005A03FF" w:rsidP="00782870">
              <w:pPr>
                <w:pStyle w:val="Footer"/>
                <w:jc w:val="right"/>
              </w:pPr>
            </w:p>
            <w:p w14:paraId="650BE744" w14:textId="13D229EC" w:rsidR="005A03FF" w:rsidRPr="00257138" w:rsidRDefault="005A03FF" w:rsidP="00782870">
              <w:pPr>
                <w:pStyle w:val="Footer"/>
                <w:jc w:val="right"/>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r w:rsidR="008F446B">
                <w:fldChar w:fldCharType="begin"/>
              </w:r>
              <w:r w:rsidR="008F446B">
                <w:instrText xml:space="preserve"> NUMPAGES  </w:instrText>
              </w:r>
              <w:r w:rsidR="008F446B">
                <w:fldChar w:fldCharType="separate"/>
              </w:r>
              <w:r>
                <w:rPr>
                  <w:noProof/>
                </w:rPr>
                <w:t>8</w:t>
              </w:r>
              <w:r w:rsidR="008F446B">
                <w:rPr>
                  <w:noProof/>
                </w:rPr>
                <w:fldChar w:fldCharType="end"/>
              </w:r>
            </w:p>
          </w:sdtContent>
        </w:sdt>
      </w:tc>
    </w:tr>
    <w:tr w:rsidR="005A03FF" w:rsidRPr="00257138" w14:paraId="10AB8BED" w14:textId="77777777" w:rsidTr="009B00CC">
      <w:trPr>
        <w:trHeight w:val="263"/>
      </w:trPr>
      <w:tc>
        <w:tcPr>
          <w:tcW w:w="7338" w:type="dxa"/>
        </w:tcPr>
        <w:p w14:paraId="59580AB7" w14:textId="19B73688" w:rsidR="005A03FF" w:rsidRPr="00257138" w:rsidRDefault="005A03FF" w:rsidP="00782870">
          <w:pPr>
            <w:pStyle w:val="Footer"/>
          </w:pPr>
        </w:p>
      </w:tc>
      <w:tc>
        <w:tcPr>
          <w:tcW w:w="1382" w:type="dxa"/>
        </w:tcPr>
        <w:p w14:paraId="219FF5F5" w14:textId="77777777" w:rsidR="005A03FF" w:rsidRPr="00257138" w:rsidRDefault="005A03FF" w:rsidP="00782870">
          <w:pPr>
            <w:pStyle w:val="Footer"/>
            <w:jc w:val="right"/>
          </w:pPr>
        </w:p>
      </w:tc>
    </w:tr>
  </w:tbl>
  <w:p w14:paraId="2023C75C" w14:textId="77777777" w:rsidR="005A03FF" w:rsidRPr="00826007" w:rsidRDefault="005A03FF" w:rsidP="002001F1">
    <w:pPr>
      <w:pStyle w:val="Footer"/>
      <w:tabs>
        <w:tab w:val="left" w:pos="7620"/>
        <w:tab w:val="right" w:pos="850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BF8C7" w14:textId="77777777" w:rsidR="005A03FF" w:rsidRDefault="005A03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338"/>
      <w:gridCol w:w="1382"/>
    </w:tblGrid>
    <w:tr w:rsidR="005A03FF" w:rsidRPr="00257138" w14:paraId="11075AFF" w14:textId="77777777" w:rsidTr="009468C6">
      <w:trPr>
        <w:trHeight w:val="423"/>
      </w:trPr>
      <w:tc>
        <w:tcPr>
          <w:tcW w:w="7338" w:type="dxa"/>
        </w:tcPr>
        <w:p w14:paraId="61B06247" w14:textId="58B76DDC" w:rsidR="005A03FF" w:rsidRDefault="005A03FF" w:rsidP="00516E40">
          <w:pPr>
            <w:pStyle w:val="Footer"/>
          </w:pPr>
          <w:r>
            <w:t>Notification of proposed amendments to the Standard</w:t>
          </w:r>
        </w:p>
        <w:p w14:paraId="13E7B9DF" w14:textId="0DDD24FB" w:rsidR="005A03FF" w:rsidRPr="00257138" w:rsidRDefault="005A03FF">
          <w:pPr>
            <w:pStyle w:val="Footer"/>
          </w:pPr>
          <w:r>
            <w:t xml:space="preserve">March 2022 </w:t>
          </w:r>
          <w:r>
            <w:br/>
          </w:r>
        </w:p>
      </w:tc>
      <w:tc>
        <w:tcPr>
          <w:tcW w:w="1382" w:type="dxa"/>
        </w:tcPr>
        <w:sdt>
          <w:sdtPr>
            <w:id w:val="6788836"/>
            <w:docPartObj>
              <w:docPartGallery w:val="Page Numbers (Top of Page)"/>
              <w:docPartUnique/>
            </w:docPartObj>
          </w:sdtPr>
          <w:sdtEndPr/>
          <w:sdtContent>
            <w:p w14:paraId="3BD26206" w14:textId="19C86CC7" w:rsidR="005A03FF" w:rsidRPr="00257138" w:rsidRDefault="005A03FF" w:rsidP="009468C6">
              <w:pPr>
                <w:pStyle w:val="Footer"/>
                <w:jc w:val="right"/>
              </w:pPr>
              <w:r w:rsidRPr="00257138">
                <w:t xml:space="preserve">Page </w:t>
              </w:r>
              <w:r>
                <w:fldChar w:fldCharType="begin"/>
              </w:r>
              <w:r>
                <w:instrText xml:space="preserve"> PAGE </w:instrText>
              </w:r>
              <w:r>
                <w:fldChar w:fldCharType="separate"/>
              </w:r>
              <w:r>
                <w:rPr>
                  <w:noProof/>
                </w:rPr>
                <w:t>5</w:t>
              </w:r>
              <w:r>
                <w:fldChar w:fldCharType="end"/>
              </w:r>
              <w:r w:rsidRPr="00257138">
                <w:t xml:space="preserve"> of </w:t>
              </w:r>
              <w:r w:rsidR="008F446B">
                <w:fldChar w:fldCharType="begin"/>
              </w:r>
              <w:r w:rsidR="008F446B">
                <w:instrText xml:space="preserve"> NUMPAGES  </w:instrText>
              </w:r>
              <w:r w:rsidR="008F446B">
                <w:fldChar w:fldCharType="separate"/>
              </w:r>
              <w:r>
                <w:rPr>
                  <w:noProof/>
                </w:rPr>
                <w:t>5</w:t>
              </w:r>
              <w:r w:rsidR="008F446B">
                <w:rPr>
                  <w:noProof/>
                </w:rPr>
                <w:fldChar w:fldCharType="end"/>
              </w:r>
            </w:p>
          </w:sdtContent>
        </w:sdt>
      </w:tc>
    </w:tr>
  </w:tbl>
  <w:p w14:paraId="623AA1CE" w14:textId="77777777" w:rsidR="005A03FF" w:rsidRPr="00826007" w:rsidRDefault="005A03FF" w:rsidP="002001F1">
    <w:pPr>
      <w:pStyle w:val="Footer"/>
      <w:tabs>
        <w:tab w:val="left" w:pos="7620"/>
        <w:tab w:val="right" w:pos="8504"/>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338"/>
      <w:gridCol w:w="1382"/>
    </w:tblGrid>
    <w:tr w:rsidR="005A03FF" w:rsidRPr="00257138" w14:paraId="76052F65" w14:textId="77777777" w:rsidTr="003A48A2">
      <w:trPr>
        <w:trHeight w:val="423"/>
      </w:trPr>
      <w:tc>
        <w:tcPr>
          <w:tcW w:w="7338" w:type="dxa"/>
        </w:tcPr>
        <w:p w14:paraId="668CDD90" w14:textId="0A8B2CF9" w:rsidR="005A03FF" w:rsidRDefault="005A03FF" w:rsidP="00E81BC9">
          <w:pPr>
            <w:pStyle w:val="Footer"/>
          </w:pPr>
          <w:r>
            <w:t>Notification of proposed amendments to the Poisons Standard</w:t>
          </w:r>
        </w:p>
        <w:p w14:paraId="6A331473" w14:textId="6BB09AF5" w:rsidR="005A03FF" w:rsidRPr="00257138" w:rsidRDefault="005A03FF" w:rsidP="00335D6F">
          <w:pPr>
            <w:pStyle w:val="Footer"/>
          </w:pPr>
          <w:r>
            <w:t>March 2022</w:t>
          </w:r>
          <w:r>
            <w:br/>
          </w:r>
        </w:p>
      </w:tc>
      <w:tc>
        <w:tcPr>
          <w:tcW w:w="1382" w:type="dxa"/>
        </w:tcPr>
        <w:sdt>
          <w:sdtPr>
            <w:id w:val="5342774"/>
            <w:docPartObj>
              <w:docPartGallery w:val="Page Numbers (Top of Page)"/>
              <w:docPartUnique/>
            </w:docPartObj>
          </w:sdtPr>
          <w:sdtEndPr/>
          <w:sdtContent>
            <w:p w14:paraId="44A48167" w14:textId="75EFF8BA" w:rsidR="005A03FF" w:rsidRPr="00257138" w:rsidRDefault="005A03FF" w:rsidP="003A48A2">
              <w:pPr>
                <w:pStyle w:val="Footer"/>
                <w:jc w:val="right"/>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r w:rsidR="008F446B">
                <w:fldChar w:fldCharType="begin"/>
              </w:r>
              <w:r w:rsidR="008F446B">
                <w:instrText xml:space="preserve"> NUMPAGES  </w:instrText>
              </w:r>
              <w:r w:rsidR="008F446B">
                <w:fldChar w:fldCharType="separate"/>
              </w:r>
              <w:r>
                <w:rPr>
                  <w:noProof/>
                </w:rPr>
                <w:t>5</w:t>
              </w:r>
              <w:r w:rsidR="008F446B">
                <w:rPr>
                  <w:noProof/>
                </w:rPr>
                <w:fldChar w:fldCharType="end"/>
              </w:r>
            </w:p>
          </w:sdtContent>
        </w:sdt>
      </w:tc>
    </w:tr>
  </w:tbl>
  <w:p w14:paraId="3FF833DF" w14:textId="77777777" w:rsidR="005A03FF" w:rsidRDefault="005A0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B8689" w14:textId="77777777" w:rsidR="008F446B" w:rsidRDefault="008F446B" w:rsidP="00C40A36">
      <w:pPr>
        <w:spacing w:after="0"/>
      </w:pPr>
      <w:r>
        <w:separator/>
      </w:r>
    </w:p>
  </w:footnote>
  <w:footnote w:type="continuationSeparator" w:id="0">
    <w:p w14:paraId="2F099DFD" w14:textId="77777777" w:rsidR="008F446B" w:rsidRDefault="008F446B" w:rsidP="00C40A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38314" w14:textId="77777777" w:rsidR="005A03FF" w:rsidRDefault="005A0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ook w:val="04A0" w:firstRow="1" w:lastRow="0" w:firstColumn="1" w:lastColumn="0" w:noHBand="0" w:noVBand="1"/>
    </w:tblPr>
    <w:tblGrid>
      <w:gridCol w:w="4035"/>
      <w:gridCol w:w="4685"/>
    </w:tblGrid>
    <w:tr w:rsidR="005A03FF" w:rsidRPr="00DA24C7" w14:paraId="081A8C01" w14:textId="77777777" w:rsidTr="00F923D6">
      <w:trPr>
        <w:trHeight w:val="709"/>
      </w:trPr>
      <w:tc>
        <w:tcPr>
          <w:tcW w:w="4035" w:type="dxa"/>
        </w:tcPr>
        <w:p w14:paraId="32A34B13" w14:textId="54FCF61C" w:rsidR="005A03FF" w:rsidRPr="00DA24C7" w:rsidRDefault="005A03FF" w:rsidP="00DA24C7">
          <w:pPr>
            <w:rPr>
              <w:rStyle w:val="HeaderChar"/>
              <w:sz w:val="32"/>
            </w:rPr>
          </w:pPr>
        </w:p>
      </w:tc>
      <w:tc>
        <w:tcPr>
          <w:tcW w:w="4685" w:type="dxa"/>
          <w:tcBorders>
            <w:bottom w:val="single" w:sz="4" w:space="0" w:color="auto"/>
          </w:tcBorders>
          <w:vAlign w:val="bottom"/>
        </w:tcPr>
        <w:p w14:paraId="3D83E5FA" w14:textId="3A406F5C" w:rsidR="005A03FF" w:rsidRPr="000F5176" w:rsidRDefault="005A03FF" w:rsidP="000F5176">
          <w:pPr>
            <w:pStyle w:val="HeaderNoLine"/>
            <w:rPr>
              <w:rStyle w:val="HeaderChar"/>
            </w:rPr>
          </w:pPr>
        </w:p>
      </w:tc>
    </w:tr>
  </w:tbl>
  <w:p w14:paraId="7D79B037" w14:textId="77777777" w:rsidR="005A03FF" w:rsidRDefault="005A03FF" w:rsidP="00F923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314CE" w14:textId="28BF94E3" w:rsidR="005A03FF" w:rsidRDefault="005A03FF" w:rsidP="006E08B3">
    <w:pPr>
      <w:rPr>
        <w:noProof/>
      </w:rPr>
    </w:pPr>
    <w:r w:rsidRPr="00E57B71">
      <w:rPr>
        <w:noProof/>
        <w:lang w:eastAsia="en-AU"/>
      </w:rPr>
      <w:drawing>
        <wp:anchor distT="0" distB="0" distL="114300" distR="114300" simplePos="0" relativeHeight="251660288" behindDoc="0" locked="0" layoutInCell="1" allowOverlap="1" wp14:anchorId="4ED3BB99" wp14:editId="491EAEE4">
          <wp:simplePos x="0" y="0"/>
          <wp:positionH relativeFrom="column">
            <wp:posOffset>-195580</wp:posOffset>
          </wp:positionH>
          <wp:positionV relativeFrom="paragraph">
            <wp:posOffset>-58420</wp:posOffset>
          </wp:positionV>
          <wp:extent cx="3524250" cy="1209675"/>
          <wp:effectExtent l="19050" t="0" r="0" b="0"/>
          <wp:wrapTopAndBottom/>
          <wp:docPr id="25" name="Picture 25"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inline_black-RGB-1200.gif"/>
                  <pic:cNvPicPr>
                    <a:picLocks noChangeAspect="1" noChangeArrowheads="1"/>
                  </pic:cNvPicPr>
                </pic:nvPicPr>
                <pic:blipFill>
                  <a:blip r:embed="rId1"/>
                  <a:srcRect/>
                  <a:stretch>
                    <a:fillRect/>
                  </a:stretch>
                </pic:blipFill>
                <pic:spPr bwMode="auto">
                  <a:xfrm>
                    <a:off x="0" y="0"/>
                    <a:ext cx="3524250" cy="1209675"/>
                  </a:xfrm>
                  <a:prstGeom prst="rect">
                    <a:avLst/>
                  </a:prstGeom>
                  <a:noFill/>
                  <a:ln w="9525">
                    <a:noFill/>
                    <a:miter lim="800000"/>
                    <a:headEnd/>
                    <a:tailEnd/>
                  </a:ln>
                </pic:spPr>
              </pic:pic>
            </a:graphicData>
          </a:graphic>
        </wp:anchor>
      </w:drawing>
    </w:r>
  </w:p>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5A03FF" w:rsidRPr="00DE02AE" w14:paraId="6C8DF45D" w14:textId="77777777" w:rsidTr="00782870">
      <w:trPr>
        <w:trHeight w:hRule="exact" w:val="8845"/>
      </w:trPr>
      <w:tc>
        <w:tcPr>
          <w:tcW w:w="11964" w:type="dxa"/>
        </w:tcPr>
        <w:p w14:paraId="1F71D1E5" w14:textId="7768038E" w:rsidR="005A03FF" w:rsidRPr="00DE02AE" w:rsidRDefault="005A03FF" w:rsidP="00782870">
          <w:pPr>
            <w:pStyle w:val="Date"/>
            <w:ind w:left="-28"/>
          </w:pPr>
          <w:r w:rsidRPr="002B29B2">
            <w:rPr>
              <w:noProof/>
              <w:lang w:eastAsia="en-AU"/>
            </w:rPr>
            <w:drawing>
              <wp:anchor distT="0" distB="0" distL="114300" distR="114300" simplePos="0" relativeHeight="251662336" behindDoc="0" locked="0" layoutInCell="0" allowOverlap="1" wp14:anchorId="61F4C4D4" wp14:editId="1206443C">
                <wp:simplePos x="0" y="0"/>
                <wp:positionH relativeFrom="page">
                  <wp:posOffset>-22437</wp:posOffset>
                </wp:positionH>
                <wp:positionV relativeFrom="page">
                  <wp:posOffset>-16087</wp:posOffset>
                </wp:positionV>
                <wp:extent cx="7581900" cy="2447925"/>
                <wp:effectExtent l="19050" t="0" r="0" b="0"/>
                <wp:wrapNone/>
                <wp:docPr id="28" name="Picture 28" descr="TGA: Health, Safety,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letct\Desktop\TGA-Swoosh-w-Wordmark-CMYK.gif"/>
                        <pic:cNvPicPr>
                          <a:picLocks noChangeAspect="1" noChangeArrowheads="1"/>
                        </pic:cNvPicPr>
                      </pic:nvPicPr>
                      <pic:blipFill>
                        <a:blip r:embed="rId2" cstate="print"/>
                        <a:srcRect/>
                        <a:stretch>
                          <a:fillRect/>
                        </a:stretch>
                      </pic:blipFill>
                      <pic:spPr bwMode="auto">
                        <a:xfrm>
                          <a:off x="0" y="0"/>
                          <a:ext cx="7581900" cy="2447925"/>
                        </a:xfrm>
                        <a:prstGeom prst="rect">
                          <a:avLst/>
                        </a:prstGeom>
                        <a:noFill/>
                        <a:ln w="9525">
                          <a:noFill/>
                          <a:miter lim="800000"/>
                          <a:headEnd/>
                          <a:tailEnd/>
                        </a:ln>
                      </pic:spPr>
                    </pic:pic>
                  </a:graphicData>
                </a:graphic>
              </wp:anchor>
            </w:drawing>
          </w:r>
          <w:sdt>
            <w:sdtPr>
              <w:id w:val="21514581"/>
              <w:picture/>
            </w:sdtPr>
            <w:sdtEndPr/>
            <w:sdtContent/>
          </w:sdt>
        </w:p>
      </w:tc>
    </w:tr>
  </w:tbl>
  <w:p w14:paraId="1CE47A24" w14:textId="6D657221" w:rsidR="005A03FF" w:rsidRDefault="005A03FF" w:rsidP="006D03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ook w:val="04A0" w:firstRow="1" w:lastRow="0" w:firstColumn="1" w:lastColumn="0" w:noHBand="0" w:noVBand="1"/>
    </w:tblPr>
    <w:tblGrid>
      <w:gridCol w:w="4035"/>
      <w:gridCol w:w="4685"/>
    </w:tblGrid>
    <w:tr w:rsidR="005A03FF" w:rsidRPr="00DA24C7" w14:paraId="7C724D59" w14:textId="77777777" w:rsidTr="00C6376F">
      <w:trPr>
        <w:trHeight w:val="558"/>
      </w:trPr>
      <w:tc>
        <w:tcPr>
          <w:tcW w:w="4035" w:type="dxa"/>
          <w:vAlign w:val="center"/>
        </w:tcPr>
        <w:p w14:paraId="047292FC" w14:textId="62B95FE3" w:rsidR="005A03FF" w:rsidRPr="00EB74A7" w:rsidRDefault="005A03FF" w:rsidP="00C6376F">
          <w:pPr>
            <w:rPr>
              <w:rStyle w:val="HeaderChar"/>
              <w:rFonts w:ascii="Arial" w:hAnsi="Arial" w:cs="Arial"/>
              <w:b/>
              <w:sz w:val="28"/>
              <w:szCs w:val="28"/>
            </w:rPr>
          </w:pPr>
        </w:p>
      </w:tc>
      <w:tc>
        <w:tcPr>
          <w:tcW w:w="4685" w:type="dxa"/>
          <w:vAlign w:val="center"/>
        </w:tcPr>
        <w:p w14:paraId="3A7D855E" w14:textId="77777777" w:rsidR="005A03FF" w:rsidRPr="000F5176" w:rsidRDefault="005A03FF" w:rsidP="00C6376F">
          <w:pPr>
            <w:pStyle w:val="HeaderNoLine"/>
            <w:rPr>
              <w:rStyle w:val="HeaderChar"/>
            </w:rPr>
          </w:pPr>
          <w:r w:rsidRPr="000F5176">
            <w:t>Therapeutic Goods Administration</w:t>
          </w:r>
        </w:p>
      </w:tc>
    </w:tr>
  </w:tbl>
  <w:p w14:paraId="480E463E" w14:textId="77777777" w:rsidR="005A03FF" w:rsidRDefault="005A03FF" w:rsidP="0010176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ook w:val="04A0" w:firstRow="1" w:lastRow="0" w:firstColumn="1" w:lastColumn="0" w:noHBand="0" w:noVBand="1"/>
    </w:tblPr>
    <w:tblGrid>
      <w:gridCol w:w="4035"/>
      <w:gridCol w:w="4685"/>
    </w:tblGrid>
    <w:tr w:rsidR="005A03FF" w:rsidRPr="00DA24C7" w14:paraId="28E03D4B" w14:textId="77777777" w:rsidTr="00C6376F">
      <w:trPr>
        <w:trHeight w:val="558"/>
      </w:trPr>
      <w:tc>
        <w:tcPr>
          <w:tcW w:w="4035" w:type="dxa"/>
        </w:tcPr>
        <w:p w14:paraId="02A4F856" w14:textId="69123A4C" w:rsidR="005A03FF" w:rsidRPr="00EB74A7" w:rsidRDefault="005A03FF" w:rsidP="00C6376F">
          <w:pPr>
            <w:pStyle w:val="HeaderNoLine"/>
            <w:jc w:val="left"/>
            <w:rPr>
              <w:rStyle w:val="HeaderChar"/>
              <w:rFonts w:ascii="Arial" w:hAnsi="Arial" w:cs="Arial"/>
              <w:b/>
              <w:sz w:val="28"/>
              <w:szCs w:val="28"/>
            </w:rPr>
          </w:pPr>
        </w:p>
      </w:tc>
      <w:tc>
        <w:tcPr>
          <w:tcW w:w="4685" w:type="dxa"/>
          <w:vAlign w:val="center"/>
        </w:tcPr>
        <w:p w14:paraId="0DD7BFA8" w14:textId="77777777" w:rsidR="005A03FF" w:rsidRPr="000F5176" w:rsidRDefault="005A03FF" w:rsidP="00C6376F">
          <w:pPr>
            <w:pStyle w:val="HeaderNoLine"/>
            <w:rPr>
              <w:rStyle w:val="HeaderChar"/>
            </w:rPr>
          </w:pPr>
          <w:r w:rsidRPr="000F5176">
            <w:t>Therapeutic Goods Administration</w:t>
          </w:r>
        </w:p>
      </w:tc>
    </w:tr>
  </w:tbl>
  <w:p w14:paraId="3D9C25A3" w14:textId="77777777" w:rsidR="005A03FF" w:rsidRDefault="005A03FF" w:rsidP="008D7B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BF222F40"/>
    <w:lvl w:ilvl="0">
      <w:start w:val="1"/>
      <w:numFmt w:val="decimal"/>
      <w:pStyle w:val="ListNumber"/>
      <w:lvlText w:val="%1."/>
      <w:lvlJc w:val="left"/>
      <w:pPr>
        <w:tabs>
          <w:tab w:val="num" w:pos="360"/>
        </w:tabs>
        <w:ind w:left="360" w:hanging="360"/>
      </w:pPr>
      <w:rPr>
        <w:rFonts w:cs="Times New Roman"/>
        <w:b w:val="0"/>
      </w:rPr>
    </w:lvl>
  </w:abstractNum>
  <w:abstractNum w:abstractNumId="1" w15:restartNumberingAfterBreak="0">
    <w:nsid w:val="FFFFFF89"/>
    <w:multiLevelType w:val="singleLevel"/>
    <w:tmpl w:val="C3D2DB28"/>
    <w:lvl w:ilvl="0">
      <w:start w:val="1"/>
      <w:numFmt w:val="bullet"/>
      <w:pStyle w:val="ActionBullet"/>
      <w:lvlText w:val=""/>
      <w:lvlJc w:val="left"/>
      <w:pPr>
        <w:tabs>
          <w:tab w:val="num" w:pos="360"/>
        </w:tabs>
        <w:ind w:left="360" w:hanging="360"/>
      </w:pPr>
      <w:rPr>
        <w:rFonts w:ascii="Symbol" w:hAnsi="Symbol" w:hint="default"/>
      </w:rPr>
    </w:lvl>
  </w:abstractNum>
  <w:abstractNum w:abstractNumId="2" w15:restartNumberingAfterBreak="0">
    <w:nsid w:val="07347B6B"/>
    <w:multiLevelType w:val="hybridMultilevel"/>
    <w:tmpl w:val="23E2D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4" w15:restartNumberingAfterBreak="0">
    <w:nsid w:val="12964190"/>
    <w:multiLevelType w:val="singleLevel"/>
    <w:tmpl w:val="B6DA7470"/>
    <w:lvl w:ilvl="0">
      <w:start w:val="1"/>
      <w:numFmt w:val="decimal"/>
      <w:pStyle w:val="BodyText"/>
      <w:lvlText w:val="%1."/>
      <w:lvlJc w:val="left"/>
      <w:pPr>
        <w:tabs>
          <w:tab w:val="num" w:pos="360"/>
        </w:tabs>
        <w:ind w:left="0" w:firstLine="0"/>
      </w:pPr>
    </w:lvl>
  </w:abstractNum>
  <w:abstractNum w:abstractNumId="5"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17706662"/>
    <w:multiLevelType w:val="hybridMultilevel"/>
    <w:tmpl w:val="866A2D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BD74D0"/>
    <w:multiLevelType w:val="hybridMultilevel"/>
    <w:tmpl w:val="64BE2784"/>
    <w:lvl w:ilvl="0" w:tplc="4BD20BAA">
      <w:start w:val="1"/>
      <w:numFmt w:val="lowerRoman"/>
      <w:pStyle w:val="ListBulleti"/>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1CEF3ACD"/>
    <w:multiLevelType w:val="multilevel"/>
    <w:tmpl w:val="0748BD50"/>
    <w:lvl w:ilvl="0">
      <w:start w:val="1"/>
      <w:numFmt w:val="decimal"/>
      <w:pStyle w:val="Heading2"/>
      <w:lvlText w:val="%1"/>
      <w:lvlJc w:val="left"/>
      <w:pPr>
        <w:ind w:left="432" w:hanging="432"/>
      </w:pPr>
    </w:lvl>
    <w:lvl w:ilvl="1">
      <w:start w:val="1"/>
      <w:numFmt w:val="decimal"/>
      <w:pStyle w:val="Heading3"/>
      <w:lvlText w:val="%1.%2"/>
      <w:lvlJc w:val="left"/>
      <w:pPr>
        <w:ind w:left="860"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E5A1D75"/>
    <w:multiLevelType w:val="hybridMultilevel"/>
    <w:tmpl w:val="85DCC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6E501F"/>
    <w:multiLevelType w:val="hybridMultilevel"/>
    <w:tmpl w:val="F392D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924211"/>
    <w:multiLevelType w:val="hybridMultilevel"/>
    <w:tmpl w:val="34C493BE"/>
    <w:lvl w:ilvl="0" w:tplc="5E685644">
      <w:start w:val="1"/>
      <w:numFmt w:val="lowerLetter"/>
      <w:pStyle w:val="ListBulleta"/>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2" w15:restartNumberingAfterBreak="0">
    <w:nsid w:val="358209B1"/>
    <w:multiLevelType w:val="multilevel"/>
    <w:tmpl w:val="963C25C0"/>
    <w:lvl w:ilvl="0">
      <w:start w:val="1"/>
      <w:numFmt w:val="decimal"/>
      <w:lvlText w:val="%1"/>
      <w:lvlJc w:val="left"/>
      <w:pPr>
        <w:ind w:left="360" w:hanging="360"/>
      </w:pPr>
      <w:rPr>
        <w:rFonts w:asciiTheme="minorHAnsi" w:hAnsi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276D3C"/>
    <w:multiLevelType w:val="multilevel"/>
    <w:tmpl w:val="963C25C0"/>
    <w:lvl w:ilvl="0">
      <w:start w:val="1"/>
      <w:numFmt w:val="decimal"/>
      <w:lvlText w:val="%1"/>
      <w:lvlJc w:val="left"/>
      <w:pPr>
        <w:ind w:left="360" w:hanging="360"/>
      </w:pPr>
      <w:rPr>
        <w:rFonts w:asciiTheme="minorHAnsi" w:hAnsi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A01F2F"/>
    <w:multiLevelType w:val="hybridMultilevel"/>
    <w:tmpl w:val="095EC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8825CF"/>
    <w:multiLevelType w:val="hybridMultilevel"/>
    <w:tmpl w:val="72D27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5D0184"/>
    <w:multiLevelType w:val="hybridMultilevel"/>
    <w:tmpl w:val="CD3E5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A636F4"/>
    <w:multiLevelType w:val="multilevel"/>
    <w:tmpl w:val="963C25C0"/>
    <w:lvl w:ilvl="0">
      <w:start w:val="1"/>
      <w:numFmt w:val="decimal"/>
      <w:lvlText w:val="%1"/>
      <w:lvlJc w:val="left"/>
      <w:pPr>
        <w:ind w:left="360" w:hanging="360"/>
      </w:pPr>
      <w:rPr>
        <w:rFonts w:asciiTheme="minorHAnsi" w:hAnsi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127267"/>
    <w:multiLevelType w:val="hybridMultilevel"/>
    <w:tmpl w:val="59966592"/>
    <w:lvl w:ilvl="0" w:tplc="1D56E958">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9" w15:restartNumberingAfterBreak="0">
    <w:nsid w:val="73363426"/>
    <w:multiLevelType w:val="multilevel"/>
    <w:tmpl w:val="963C25C0"/>
    <w:lvl w:ilvl="0">
      <w:start w:val="1"/>
      <w:numFmt w:val="decimal"/>
      <w:lvlText w:val="%1"/>
      <w:lvlJc w:val="left"/>
      <w:pPr>
        <w:ind w:left="360" w:hanging="360"/>
      </w:pPr>
      <w:rPr>
        <w:rFonts w:asciiTheme="minorHAnsi" w:hAnsi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3606C56"/>
    <w:multiLevelType w:val="hybridMultilevel"/>
    <w:tmpl w:val="C1600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7E367C"/>
    <w:multiLevelType w:val="hybridMultilevel"/>
    <w:tmpl w:val="D320F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5"/>
  </w:num>
  <w:num w:numId="4">
    <w:abstractNumId w:val="3"/>
  </w:num>
  <w:num w:numId="5">
    <w:abstractNumId w:val="8"/>
  </w:num>
  <w:num w:numId="6">
    <w:abstractNumId w:val="11"/>
  </w:num>
  <w:num w:numId="7">
    <w:abstractNumId w:val="7"/>
  </w:num>
  <w:num w:numId="8">
    <w:abstractNumId w:val="19"/>
  </w:num>
  <w:num w:numId="9">
    <w:abstractNumId w:val="16"/>
  </w:num>
  <w:num w:numId="10">
    <w:abstractNumId w:val="2"/>
  </w:num>
  <w:num w:numId="11">
    <w:abstractNumId w:val="21"/>
  </w:num>
  <w:num w:numId="12">
    <w:abstractNumId w:val="12"/>
  </w:num>
  <w:num w:numId="13">
    <w:abstractNumId w:val="17"/>
  </w:num>
  <w:num w:numId="14">
    <w:abstractNumId w:val="15"/>
  </w:num>
  <w:num w:numId="15">
    <w:abstractNumId w:val="0"/>
  </w:num>
  <w:num w:numId="16">
    <w:abstractNumId w:val="0"/>
    <w:lvlOverride w:ilvl="0">
      <w:startOverride w:val="1"/>
    </w:lvlOverride>
  </w:num>
  <w:num w:numId="17">
    <w:abstractNumId w:val="4"/>
  </w:num>
  <w:num w:numId="18">
    <w:abstractNumId w:val="1"/>
  </w:num>
  <w:num w:numId="19">
    <w:abstractNumId w:val="10"/>
  </w:num>
  <w:num w:numId="20">
    <w:abstractNumId w:val="9"/>
  </w:num>
  <w:num w:numId="21">
    <w:abstractNumId w:val="6"/>
  </w:num>
  <w:num w:numId="22">
    <w:abstractNumId w:val="11"/>
    <w:lvlOverride w:ilvl="0">
      <w:startOverride w:val="1"/>
    </w:lvlOverride>
  </w:num>
  <w:num w:numId="23">
    <w:abstractNumId w:val="7"/>
    <w:lvlOverride w:ilvl="0">
      <w:startOverride w:val="1"/>
    </w:lvlOverride>
  </w:num>
  <w:num w:numId="24">
    <w:abstractNumId w:val="7"/>
    <w:lvlOverride w:ilvl="0">
      <w:startOverride w:val="1"/>
    </w:lvlOverride>
  </w:num>
  <w:num w:numId="25">
    <w:abstractNumId w:val="7"/>
    <w:lvlOverride w:ilvl="0">
      <w:startOverride w:val="1"/>
    </w:lvlOverride>
  </w:num>
  <w:num w:numId="26">
    <w:abstractNumId w:val="11"/>
    <w:lvlOverride w:ilvl="0">
      <w:startOverride w:val="1"/>
    </w:lvlOverride>
  </w:num>
  <w:num w:numId="27">
    <w:abstractNumId w:val="14"/>
  </w:num>
  <w:num w:numId="28">
    <w:abstractNumId w:val="13"/>
  </w:num>
  <w:num w:numId="29">
    <w:abstractNumId w:val="20"/>
  </w:num>
  <w:num w:numId="30">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648"/>
    <w:rsid w:val="00001B6C"/>
    <w:rsid w:val="00001B7D"/>
    <w:rsid w:val="00002031"/>
    <w:rsid w:val="00003EE4"/>
    <w:rsid w:val="000042DA"/>
    <w:rsid w:val="00004734"/>
    <w:rsid w:val="00005188"/>
    <w:rsid w:val="00006AE7"/>
    <w:rsid w:val="00006B22"/>
    <w:rsid w:val="00006DF4"/>
    <w:rsid w:val="0001276A"/>
    <w:rsid w:val="00012D9E"/>
    <w:rsid w:val="00013BFF"/>
    <w:rsid w:val="00020B6F"/>
    <w:rsid w:val="00021E92"/>
    <w:rsid w:val="000226D3"/>
    <w:rsid w:val="00023C6E"/>
    <w:rsid w:val="000246AE"/>
    <w:rsid w:val="00025266"/>
    <w:rsid w:val="00025C67"/>
    <w:rsid w:val="00032875"/>
    <w:rsid w:val="000335FC"/>
    <w:rsid w:val="00033F14"/>
    <w:rsid w:val="00041297"/>
    <w:rsid w:val="00042573"/>
    <w:rsid w:val="000465B5"/>
    <w:rsid w:val="0005081A"/>
    <w:rsid w:val="00052322"/>
    <w:rsid w:val="00053B34"/>
    <w:rsid w:val="00053C6C"/>
    <w:rsid w:val="0005559E"/>
    <w:rsid w:val="00056156"/>
    <w:rsid w:val="00057FFC"/>
    <w:rsid w:val="00061765"/>
    <w:rsid w:val="00061F55"/>
    <w:rsid w:val="0006423C"/>
    <w:rsid w:val="0006427F"/>
    <w:rsid w:val="00065585"/>
    <w:rsid w:val="00065D1A"/>
    <w:rsid w:val="00071642"/>
    <w:rsid w:val="00072BAE"/>
    <w:rsid w:val="00072D02"/>
    <w:rsid w:val="00074EBD"/>
    <w:rsid w:val="000755F8"/>
    <w:rsid w:val="00077548"/>
    <w:rsid w:val="00077775"/>
    <w:rsid w:val="00081131"/>
    <w:rsid w:val="0008417D"/>
    <w:rsid w:val="00085DD5"/>
    <w:rsid w:val="000860B4"/>
    <w:rsid w:val="000869F6"/>
    <w:rsid w:val="00090471"/>
    <w:rsid w:val="00090E66"/>
    <w:rsid w:val="000A1359"/>
    <w:rsid w:val="000A56BE"/>
    <w:rsid w:val="000A6C2F"/>
    <w:rsid w:val="000B0759"/>
    <w:rsid w:val="000B240F"/>
    <w:rsid w:val="000B29C2"/>
    <w:rsid w:val="000B3532"/>
    <w:rsid w:val="000B3A75"/>
    <w:rsid w:val="000B47E7"/>
    <w:rsid w:val="000B56DE"/>
    <w:rsid w:val="000B5A74"/>
    <w:rsid w:val="000B7084"/>
    <w:rsid w:val="000C31F2"/>
    <w:rsid w:val="000C5F0B"/>
    <w:rsid w:val="000C6B99"/>
    <w:rsid w:val="000C7DB4"/>
    <w:rsid w:val="000D0ABB"/>
    <w:rsid w:val="000D18E5"/>
    <w:rsid w:val="000D2B49"/>
    <w:rsid w:val="000D391B"/>
    <w:rsid w:val="000D3D6D"/>
    <w:rsid w:val="000D45F7"/>
    <w:rsid w:val="000D4FC7"/>
    <w:rsid w:val="000D5130"/>
    <w:rsid w:val="000D75AE"/>
    <w:rsid w:val="000F04C4"/>
    <w:rsid w:val="000F082C"/>
    <w:rsid w:val="000F180D"/>
    <w:rsid w:val="000F3A5D"/>
    <w:rsid w:val="000F4869"/>
    <w:rsid w:val="000F5176"/>
    <w:rsid w:val="000F5B42"/>
    <w:rsid w:val="000F6E6F"/>
    <w:rsid w:val="001003F2"/>
    <w:rsid w:val="00101762"/>
    <w:rsid w:val="0010210C"/>
    <w:rsid w:val="00105867"/>
    <w:rsid w:val="0010601F"/>
    <w:rsid w:val="00106BF9"/>
    <w:rsid w:val="00110AE1"/>
    <w:rsid w:val="00110EA5"/>
    <w:rsid w:val="00112440"/>
    <w:rsid w:val="00113E24"/>
    <w:rsid w:val="00115240"/>
    <w:rsid w:val="001157F7"/>
    <w:rsid w:val="00116990"/>
    <w:rsid w:val="001169AC"/>
    <w:rsid w:val="00117127"/>
    <w:rsid w:val="00123BB2"/>
    <w:rsid w:val="00123E0C"/>
    <w:rsid w:val="00125091"/>
    <w:rsid w:val="00125148"/>
    <w:rsid w:val="00125318"/>
    <w:rsid w:val="00125739"/>
    <w:rsid w:val="0012669D"/>
    <w:rsid w:val="001268BE"/>
    <w:rsid w:val="001305A2"/>
    <w:rsid w:val="00130EB7"/>
    <w:rsid w:val="001327EC"/>
    <w:rsid w:val="00133238"/>
    <w:rsid w:val="00136D79"/>
    <w:rsid w:val="00140FE3"/>
    <w:rsid w:val="0014197B"/>
    <w:rsid w:val="001435C5"/>
    <w:rsid w:val="0014384C"/>
    <w:rsid w:val="00143B58"/>
    <w:rsid w:val="001447CD"/>
    <w:rsid w:val="00150A66"/>
    <w:rsid w:val="001516B1"/>
    <w:rsid w:val="001525B4"/>
    <w:rsid w:val="00155092"/>
    <w:rsid w:val="00155651"/>
    <w:rsid w:val="001556B0"/>
    <w:rsid w:val="00156316"/>
    <w:rsid w:val="00156847"/>
    <w:rsid w:val="00157601"/>
    <w:rsid w:val="001578C5"/>
    <w:rsid w:val="00161226"/>
    <w:rsid w:val="00163265"/>
    <w:rsid w:val="00163E27"/>
    <w:rsid w:val="00165389"/>
    <w:rsid w:val="001653CE"/>
    <w:rsid w:val="00173049"/>
    <w:rsid w:val="00173C6A"/>
    <w:rsid w:val="00175F13"/>
    <w:rsid w:val="0017693F"/>
    <w:rsid w:val="00176CB0"/>
    <w:rsid w:val="0018056A"/>
    <w:rsid w:val="0018110E"/>
    <w:rsid w:val="00181684"/>
    <w:rsid w:val="00182A4A"/>
    <w:rsid w:val="001843C6"/>
    <w:rsid w:val="001850E0"/>
    <w:rsid w:val="00185CE9"/>
    <w:rsid w:val="00186517"/>
    <w:rsid w:val="00193183"/>
    <w:rsid w:val="001A2179"/>
    <w:rsid w:val="001A3925"/>
    <w:rsid w:val="001A525F"/>
    <w:rsid w:val="001A5FFE"/>
    <w:rsid w:val="001B09F9"/>
    <w:rsid w:val="001B0F8B"/>
    <w:rsid w:val="001B5CE3"/>
    <w:rsid w:val="001B6448"/>
    <w:rsid w:val="001B79F6"/>
    <w:rsid w:val="001C0D8C"/>
    <w:rsid w:val="001C2A9E"/>
    <w:rsid w:val="001C2D91"/>
    <w:rsid w:val="001C4E44"/>
    <w:rsid w:val="001C5266"/>
    <w:rsid w:val="001C5A9E"/>
    <w:rsid w:val="001C7F0A"/>
    <w:rsid w:val="001D31B3"/>
    <w:rsid w:val="001E07CF"/>
    <w:rsid w:val="001E51C6"/>
    <w:rsid w:val="001E5555"/>
    <w:rsid w:val="001E59F1"/>
    <w:rsid w:val="001E608B"/>
    <w:rsid w:val="001F04D7"/>
    <w:rsid w:val="001F32EC"/>
    <w:rsid w:val="001F3B31"/>
    <w:rsid w:val="001F3D96"/>
    <w:rsid w:val="001F49EB"/>
    <w:rsid w:val="001F4F04"/>
    <w:rsid w:val="001F6CBA"/>
    <w:rsid w:val="001F7B5C"/>
    <w:rsid w:val="001F7DB1"/>
    <w:rsid w:val="002001F1"/>
    <w:rsid w:val="0020028B"/>
    <w:rsid w:val="00200A9C"/>
    <w:rsid w:val="00201D4E"/>
    <w:rsid w:val="00202086"/>
    <w:rsid w:val="00202B6D"/>
    <w:rsid w:val="00204B54"/>
    <w:rsid w:val="00204DF0"/>
    <w:rsid w:val="0020793B"/>
    <w:rsid w:val="0020799C"/>
    <w:rsid w:val="002101CA"/>
    <w:rsid w:val="002147E0"/>
    <w:rsid w:val="0022019E"/>
    <w:rsid w:val="00220B8A"/>
    <w:rsid w:val="002226DD"/>
    <w:rsid w:val="00224FCC"/>
    <w:rsid w:val="002257F3"/>
    <w:rsid w:val="0023267B"/>
    <w:rsid w:val="00233456"/>
    <w:rsid w:val="002339A5"/>
    <w:rsid w:val="00236140"/>
    <w:rsid w:val="00240781"/>
    <w:rsid w:val="00242707"/>
    <w:rsid w:val="002445F4"/>
    <w:rsid w:val="002452B8"/>
    <w:rsid w:val="002458D4"/>
    <w:rsid w:val="00245CF3"/>
    <w:rsid w:val="00246313"/>
    <w:rsid w:val="00247223"/>
    <w:rsid w:val="00250A0F"/>
    <w:rsid w:val="0025120A"/>
    <w:rsid w:val="002535AC"/>
    <w:rsid w:val="0025660C"/>
    <w:rsid w:val="00257138"/>
    <w:rsid w:val="00257848"/>
    <w:rsid w:val="002609BE"/>
    <w:rsid w:val="00267925"/>
    <w:rsid w:val="0027084A"/>
    <w:rsid w:val="0027115A"/>
    <w:rsid w:val="00271FC7"/>
    <w:rsid w:val="002745B4"/>
    <w:rsid w:val="00274A3A"/>
    <w:rsid w:val="00275590"/>
    <w:rsid w:val="00286434"/>
    <w:rsid w:val="00286C59"/>
    <w:rsid w:val="002929C2"/>
    <w:rsid w:val="00292BB3"/>
    <w:rsid w:val="002942D1"/>
    <w:rsid w:val="002A0556"/>
    <w:rsid w:val="002A3961"/>
    <w:rsid w:val="002A5857"/>
    <w:rsid w:val="002A5F56"/>
    <w:rsid w:val="002A6E38"/>
    <w:rsid w:val="002B0E0E"/>
    <w:rsid w:val="002B1638"/>
    <w:rsid w:val="002B27E1"/>
    <w:rsid w:val="002B3304"/>
    <w:rsid w:val="002B6AF8"/>
    <w:rsid w:val="002C07AF"/>
    <w:rsid w:val="002C1418"/>
    <w:rsid w:val="002C383A"/>
    <w:rsid w:val="002C43C3"/>
    <w:rsid w:val="002C48BF"/>
    <w:rsid w:val="002C6D34"/>
    <w:rsid w:val="002C773E"/>
    <w:rsid w:val="002D0B05"/>
    <w:rsid w:val="002D110E"/>
    <w:rsid w:val="002D7CD2"/>
    <w:rsid w:val="002E4291"/>
    <w:rsid w:val="002E430E"/>
    <w:rsid w:val="002E4C9A"/>
    <w:rsid w:val="002E5C31"/>
    <w:rsid w:val="002E69BE"/>
    <w:rsid w:val="002F11F8"/>
    <w:rsid w:val="002F1391"/>
    <w:rsid w:val="002F3F56"/>
    <w:rsid w:val="002F44B5"/>
    <w:rsid w:val="002F53E0"/>
    <w:rsid w:val="00302504"/>
    <w:rsid w:val="0030306D"/>
    <w:rsid w:val="00303CBB"/>
    <w:rsid w:val="0030508C"/>
    <w:rsid w:val="003055BD"/>
    <w:rsid w:val="00307693"/>
    <w:rsid w:val="00307B42"/>
    <w:rsid w:val="00311AC0"/>
    <w:rsid w:val="00314331"/>
    <w:rsid w:val="00316F8D"/>
    <w:rsid w:val="003208A0"/>
    <w:rsid w:val="003251D0"/>
    <w:rsid w:val="003261C8"/>
    <w:rsid w:val="00327070"/>
    <w:rsid w:val="00330A2E"/>
    <w:rsid w:val="00331DBB"/>
    <w:rsid w:val="00334439"/>
    <w:rsid w:val="00335BEC"/>
    <w:rsid w:val="00335D6F"/>
    <w:rsid w:val="003367E4"/>
    <w:rsid w:val="00343736"/>
    <w:rsid w:val="003521E8"/>
    <w:rsid w:val="00352A2E"/>
    <w:rsid w:val="00353AC2"/>
    <w:rsid w:val="003555D7"/>
    <w:rsid w:val="00356F04"/>
    <w:rsid w:val="00360648"/>
    <w:rsid w:val="00360DFD"/>
    <w:rsid w:val="00362473"/>
    <w:rsid w:val="00362F16"/>
    <w:rsid w:val="003662D5"/>
    <w:rsid w:val="003664BF"/>
    <w:rsid w:val="003668CB"/>
    <w:rsid w:val="0036794C"/>
    <w:rsid w:val="0037034E"/>
    <w:rsid w:val="0037036E"/>
    <w:rsid w:val="00371F4B"/>
    <w:rsid w:val="0037215C"/>
    <w:rsid w:val="003728F3"/>
    <w:rsid w:val="00372C9C"/>
    <w:rsid w:val="00373D31"/>
    <w:rsid w:val="00374905"/>
    <w:rsid w:val="003764EB"/>
    <w:rsid w:val="0038110B"/>
    <w:rsid w:val="00386152"/>
    <w:rsid w:val="00390900"/>
    <w:rsid w:val="003964E2"/>
    <w:rsid w:val="003A0110"/>
    <w:rsid w:val="003A0B29"/>
    <w:rsid w:val="003A0B68"/>
    <w:rsid w:val="003A19BA"/>
    <w:rsid w:val="003A3B59"/>
    <w:rsid w:val="003A48A2"/>
    <w:rsid w:val="003B1089"/>
    <w:rsid w:val="003B1FAD"/>
    <w:rsid w:val="003B3601"/>
    <w:rsid w:val="003B39E2"/>
    <w:rsid w:val="003B4C17"/>
    <w:rsid w:val="003B629A"/>
    <w:rsid w:val="003B6E20"/>
    <w:rsid w:val="003B7E39"/>
    <w:rsid w:val="003C04B2"/>
    <w:rsid w:val="003C1BBB"/>
    <w:rsid w:val="003C58DC"/>
    <w:rsid w:val="003C62FC"/>
    <w:rsid w:val="003C6F56"/>
    <w:rsid w:val="003C7673"/>
    <w:rsid w:val="003C7A68"/>
    <w:rsid w:val="003D1DEC"/>
    <w:rsid w:val="003D26B4"/>
    <w:rsid w:val="003D497F"/>
    <w:rsid w:val="003D5D86"/>
    <w:rsid w:val="003E0E6A"/>
    <w:rsid w:val="003E1945"/>
    <w:rsid w:val="003E1A87"/>
    <w:rsid w:val="003E2889"/>
    <w:rsid w:val="003E3208"/>
    <w:rsid w:val="003E33D4"/>
    <w:rsid w:val="003E3CA3"/>
    <w:rsid w:val="003E7390"/>
    <w:rsid w:val="003F0B04"/>
    <w:rsid w:val="003F168D"/>
    <w:rsid w:val="003F1822"/>
    <w:rsid w:val="003F3092"/>
    <w:rsid w:val="003F3095"/>
    <w:rsid w:val="003F3758"/>
    <w:rsid w:val="003F48DD"/>
    <w:rsid w:val="0040134E"/>
    <w:rsid w:val="00402EF6"/>
    <w:rsid w:val="00403ACE"/>
    <w:rsid w:val="00403D3E"/>
    <w:rsid w:val="00404AD5"/>
    <w:rsid w:val="0040598C"/>
    <w:rsid w:val="0040726C"/>
    <w:rsid w:val="004072A5"/>
    <w:rsid w:val="00411710"/>
    <w:rsid w:val="0041244F"/>
    <w:rsid w:val="00412E40"/>
    <w:rsid w:val="00414BA2"/>
    <w:rsid w:val="00421B7E"/>
    <w:rsid w:val="00423F10"/>
    <w:rsid w:val="004244A3"/>
    <w:rsid w:val="004247DA"/>
    <w:rsid w:val="004302D7"/>
    <w:rsid w:val="0043074F"/>
    <w:rsid w:val="00430AAA"/>
    <w:rsid w:val="00430BA8"/>
    <w:rsid w:val="004320CD"/>
    <w:rsid w:val="00432CDD"/>
    <w:rsid w:val="00433211"/>
    <w:rsid w:val="00435B13"/>
    <w:rsid w:val="00436C41"/>
    <w:rsid w:val="004407B2"/>
    <w:rsid w:val="00440A2D"/>
    <w:rsid w:val="00441972"/>
    <w:rsid w:val="004422DF"/>
    <w:rsid w:val="004432FB"/>
    <w:rsid w:val="00444663"/>
    <w:rsid w:val="004446E3"/>
    <w:rsid w:val="004454B4"/>
    <w:rsid w:val="0044589C"/>
    <w:rsid w:val="0044722D"/>
    <w:rsid w:val="0044785B"/>
    <w:rsid w:val="00455ECA"/>
    <w:rsid w:val="004564A7"/>
    <w:rsid w:val="00457FE3"/>
    <w:rsid w:val="004617BF"/>
    <w:rsid w:val="004618AB"/>
    <w:rsid w:val="00461999"/>
    <w:rsid w:val="00464DFB"/>
    <w:rsid w:val="0046516E"/>
    <w:rsid w:val="004658BC"/>
    <w:rsid w:val="00470B21"/>
    <w:rsid w:val="00470EC2"/>
    <w:rsid w:val="00472080"/>
    <w:rsid w:val="00476069"/>
    <w:rsid w:val="00484BAB"/>
    <w:rsid w:val="00485BFD"/>
    <w:rsid w:val="00487716"/>
    <w:rsid w:val="004923FF"/>
    <w:rsid w:val="00494E60"/>
    <w:rsid w:val="0049508E"/>
    <w:rsid w:val="004970FD"/>
    <w:rsid w:val="004A2400"/>
    <w:rsid w:val="004A6F05"/>
    <w:rsid w:val="004B1A4C"/>
    <w:rsid w:val="004B211D"/>
    <w:rsid w:val="004B21D7"/>
    <w:rsid w:val="004B2BD3"/>
    <w:rsid w:val="004B3BEB"/>
    <w:rsid w:val="004B545E"/>
    <w:rsid w:val="004B6701"/>
    <w:rsid w:val="004B7B76"/>
    <w:rsid w:val="004C0070"/>
    <w:rsid w:val="004C241F"/>
    <w:rsid w:val="004C3BFD"/>
    <w:rsid w:val="004C4791"/>
    <w:rsid w:val="004C60B4"/>
    <w:rsid w:val="004C7EA5"/>
    <w:rsid w:val="004D3F80"/>
    <w:rsid w:val="004D51A6"/>
    <w:rsid w:val="004D6739"/>
    <w:rsid w:val="004D722C"/>
    <w:rsid w:val="004E10A3"/>
    <w:rsid w:val="004E4C7B"/>
    <w:rsid w:val="004E5523"/>
    <w:rsid w:val="004F0F38"/>
    <w:rsid w:val="004F3163"/>
    <w:rsid w:val="004F4580"/>
    <w:rsid w:val="005009C0"/>
    <w:rsid w:val="00501179"/>
    <w:rsid w:val="00501921"/>
    <w:rsid w:val="00501CBA"/>
    <w:rsid w:val="00502914"/>
    <w:rsid w:val="005042C1"/>
    <w:rsid w:val="005069D2"/>
    <w:rsid w:val="005115A6"/>
    <w:rsid w:val="005118FB"/>
    <w:rsid w:val="005164BD"/>
    <w:rsid w:val="005168C9"/>
    <w:rsid w:val="00516E40"/>
    <w:rsid w:val="00520524"/>
    <w:rsid w:val="00520CF8"/>
    <w:rsid w:val="00520F6C"/>
    <w:rsid w:val="00521BEF"/>
    <w:rsid w:val="005220E5"/>
    <w:rsid w:val="005221E1"/>
    <w:rsid w:val="00523152"/>
    <w:rsid w:val="005254B4"/>
    <w:rsid w:val="005274DA"/>
    <w:rsid w:val="005302F5"/>
    <w:rsid w:val="00530354"/>
    <w:rsid w:val="00532AD4"/>
    <w:rsid w:val="0053393D"/>
    <w:rsid w:val="00533970"/>
    <w:rsid w:val="00534871"/>
    <w:rsid w:val="0053538C"/>
    <w:rsid w:val="00536FE4"/>
    <w:rsid w:val="0053781A"/>
    <w:rsid w:val="00541352"/>
    <w:rsid w:val="0054163A"/>
    <w:rsid w:val="005434C6"/>
    <w:rsid w:val="00543B39"/>
    <w:rsid w:val="00550096"/>
    <w:rsid w:val="00550A5B"/>
    <w:rsid w:val="00551F1D"/>
    <w:rsid w:val="00552DB2"/>
    <w:rsid w:val="005540F9"/>
    <w:rsid w:val="005576C9"/>
    <w:rsid w:val="00557FF9"/>
    <w:rsid w:val="005607E0"/>
    <w:rsid w:val="00560BAF"/>
    <w:rsid w:val="00561B1B"/>
    <w:rsid w:val="005645C7"/>
    <w:rsid w:val="005646AF"/>
    <w:rsid w:val="0056529B"/>
    <w:rsid w:val="0056531A"/>
    <w:rsid w:val="005729B0"/>
    <w:rsid w:val="00574B36"/>
    <w:rsid w:val="00575A6D"/>
    <w:rsid w:val="00576378"/>
    <w:rsid w:val="00576EF1"/>
    <w:rsid w:val="00577E38"/>
    <w:rsid w:val="00581897"/>
    <w:rsid w:val="005824DB"/>
    <w:rsid w:val="00582DB5"/>
    <w:rsid w:val="00585069"/>
    <w:rsid w:val="00585322"/>
    <w:rsid w:val="0058774D"/>
    <w:rsid w:val="0059004F"/>
    <w:rsid w:val="00591975"/>
    <w:rsid w:val="00593AD1"/>
    <w:rsid w:val="00593E11"/>
    <w:rsid w:val="005955CF"/>
    <w:rsid w:val="00596FCA"/>
    <w:rsid w:val="00597B50"/>
    <w:rsid w:val="005A03FF"/>
    <w:rsid w:val="005A1131"/>
    <w:rsid w:val="005A3F2F"/>
    <w:rsid w:val="005A5916"/>
    <w:rsid w:val="005A5A5E"/>
    <w:rsid w:val="005A6611"/>
    <w:rsid w:val="005B1DEF"/>
    <w:rsid w:val="005C00B1"/>
    <w:rsid w:val="005C03F2"/>
    <w:rsid w:val="005C0499"/>
    <w:rsid w:val="005C07F8"/>
    <w:rsid w:val="005C1D90"/>
    <w:rsid w:val="005C22EA"/>
    <w:rsid w:val="005C2732"/>
    <w:rsid w:val="005C2FB2"/>
    <w:rsid w:val="005C3414"/>
    <w:rsid w:val="005C5570"/>
    <w:rsid w:val="005C6864"/>
    <w:rsid w:val="005C6D87"/>
    <w:rsid w:val="005C79A4"/>
    <w:rsid w:val="005D060C"/>
    <w:rsid w:val="005D16DC"/>
    <w:rsid w:val="005D4DEE"/>
    <w:rsid w:val="005D4E06"/>
    <w:rsid w:val="005D5442"/>
    <w:rsid w:val="005E1A89"/>
    <w:rsid w:val="005E3393"/>
    <w:rsid w:val="005E5885"/>
    <w:rsid w:val="005E5C7F"/>
    <w:rsid w:val="005E6395"/>
    <w:rsid w:val="005E6CE5"/>
    <w:rsid w:val="005F2FA2"/>
    <w:rsid w:val="005F3EA0"/>
    <w:rsid w:val="005F4689"/>
    <w:rsid w:val="005F539B"/>
    <w:rsid w:val="00601594"/>
    <w:rsid w:val="00601FD3"/>
    <w:rsid w:val="0060581D"/>
    <w:rsid w:val="00607DB5"/>
    <w:rsid w:val="00612B30"/>
    <w:rsid w:val="006131AB"/>
    <w:rsid w:val="00613211"/>
    <w:rsid w:val="006132E8"/>
    <w:rsid w:val="006210F2"/>
    <w:rsid w:val="0062266E"/>
    <w:rsid w:val="00623373"/>
    <w:rsid w:val="00623676"/>
    <w:rsid w:val="006238C7"/>
    <w:rsid w:val="006242F3"/>
    <w:rsid w:val="00627C06"/>
    <w:rsid w:val="00632D4C"/>
    <w:rsid w:val="0063416E"/>
    <w:rsid w:val="006352D8"/>
    <w:rsid w:val="006400CB"/>
    <w:rsid w:val="00640FC3"/>
    <w:rsid w:val="00642020"/>
    <w:rsid w:val="00642EFA"/>
    <w:rsid w:val="00650434"/>
    <w:rsid w:val="00651316"/>
    <w:rsid w:val="00652CEE"/>
    <w:rsid w:val="0065337B"/>
    <w:rsid w:val="006540DE"/>
    <w:rsid w:val="0065419D"/>
    <w:rsid w:val="006544BE"/>
    <w:rsid w:val="006604D8"/>
    <w:rsid w:val="00664A5B"/>
    <w:rsid w:val="006664CB"/>
    <w:rsid w:val="00667942"/>
    <w:rsid w:val="006733CD"/>
    <w:rsid w:val="00674BA2"/>
    <w:rsid w:val="00676E68"/>
    <w:rsid w:val="00677050"/>
    <w:rsid w:val="006804A8"/>
    <w:rsid w:val="00680C08"/>
    <w:rsid w:val="0068543D"/>
    <w:rsid w:val="00685EF3"/>
    <w:rsid w:val="00686C19"/>
    <w:rsid w:val="0068741A"/>
    <w:rsid w:val="00691DBE"/>
    <w:rsid w:val="00692FE6"/>
    <w:rsid w:val="006931B1"/>
    <w:rsid w:val="00693E59"/>
    <w:rsid w:val="00694E2C"/>
    <w:rsid w:val="00695C78"/>
    <w:rsid w:val="00697C48"/>
    <w:rsid w:val="006A0208"/>
    <w:rsid w:val="006A15C0"/>
    <w:rsid w:val="006A1DC0"/>
    <w:rsid w:val="006A336D"/>
    <w:rsid w:val="006A4163"/>
    <w:rsid w:val="006A64F4"/>
    <w:rsid w:val="006A70C4"/>
    <w:rsid w:val="006A7FD9"/>
    <w:rsid w:val="006B1BCF"/>
    <w:rsid w:val="006B3B74"/>
    <w:rsid w:val="006B3CF2"/>
    <w:rsid w:val="006B4B4E"/>
    <w:rsid w:val="006B562B"/>
    <w:rsid w:val="006C0A51"/>
    <w:rsid w:val="006C1A83"/>
    <w:rsid w:val="006C1AD9"/>
    <w:rsid w:val="006C1F3B"/>
    <w:rsid w:val="006C3E2A"/>
    <w:rsid w:val="006C450D"/>
    <w:rsid w:val="006C4621"/>
    <w:rsid w:val="006C57B7"/>
    <w:rsid w:val="006C642F"/>
    <w:rsid w:val="006C6D23"/>
    <w:rsid w:val="006D03E5"/>
    <w:rsid w:val="006D08C1"/>
    <w:rsid w:val="006D5D3E"/>
    <w:rsid w:val="006D6A23"/>
    <w:rsid w:val="006E08B3"/>
    <w:rsid w:val="006E5071"/>
    <w:rsid w:val="006E5916"/>
    <w:rsid w:val="006E62FC"/>
    <w:rsid w:val="006F01FE"/>
    <w:rsid w:val="006F10D7"/>
    <w:rsid w:val="006F1A67"/>
    <w:rsid w:val="006F4AF2"/>
    <w:rsid w:val="006F572E"/>
    <w:rsid w:val="006F65A9"/>
    <w:rsid w:val="00700958"/>
    <w:rsid w:val="007046D6"/>
    <w:rsid w:val="00705AAD"/>
    <w:rsid w:val="00705DB0"/>
    <w:rsid w:val="00706AFE"/>
    <w:rsid w:val="007105C8"/>
    <w:rsid w:val="00711BAE"/>
    <w:rsid w:val="007127A7"/>
    <w:rsid w:val="00716AF8"/>
    <w:rsid w:val="00717545"/>
    <w:rsid w:val="00717B5D"/>
    <w:rsid w:val="00722059"/>
    <w:rsid w:val="007249F8"/>
    <w:rsid w:val="0073078A"/>
    <w:rsid w:val="0073205A"/>
    <w:rsid w:val="00732B06"/>
    <w:rsid w:val="0073345D"/>
    <w:rsid w:val="00736B85"/>
    <w:rsid w:val="00736EFA"/>
    <w:rsid w:val="007371C1"/>
    <w:rsid w:val="00737627"/>
    <w:rsid w:val="0074253D"/>
    <w:rsid w:val="0074429B"/>
    <w:rsid w:val="007442BB"/>
    <w:rsid w:val="007477F8"/>
    <w:rsid w:val="00750368"/>
    <w:rsid w:val="00751C34"/>
    <w:rsid w:val="007560C5"/>
    <w:rsid w:val="0075678F"/>
    <w:rsid w:val="007615BC"/>
    <w:rsid w:val="00761AA7"/>
    <w:rsid w:val="00762F05"/>
    <w:rsid w:val="007637F0"/>
    <w:rsid w:val="00763BB7"/>
    <w:rsid w:val="007652FF"/>
    <w:rsid w:val="00765C7B"/>
    <w:rsid w:val="00766729"/>
    <w:rsid w:val="00766888"/>
    <w:rsid w:val="0077025F"/>
    <w:rsid w:val="00770B2C"/>
    <w:rsid w:val="00770CB9"/>
    <w:rsid w:val="00771329"/>
    <w:rsid w:val="00772774"/>
    <w:rsid w:val="00773EF7"/>
    <w:rsid w:val="007748DC"/>
    <w:rsid w:val="00774E1D"/>
    <w:rsid w:val="00775DC7"/>
    <w:rsid w:val="0077675A"/>
    <w:rsid w:val="00780355"/>
    <w:rsid w:val="00781751"/>
    <w:rsid w:val="00782870"/>
    <w:rsid w:val="00783116"/>
    <w:rsid w:val="00784124"/>
    <w:rsid w:val="00785721"/>
    <w:rsid w:val="007907BF"/>
    <w:rsid w:val="00791E92"/>
    <w:rsid w:val="00793A59"/>
    <w:rsid w:val="00794519"/>
    <w:rsid w:val="007954D4"/>
    <w:rsid w:val="00797C67"/>
    <w:rsid w:val="007A2162"/>
    <w:rsid w:val="007A2B0B"/>
    <w:rsid w:val="007A3F42"/>
    <w:rsid w:val="007A58C5"/>
    <w:rsid w:val="007B0412"/>
    <w:rsid w:val="007B04CB"/>
    <w:rsid w:val="007B0A15"/>
    <w:rsid w:val="007B1ED1"/>
    <w:rsid w:val="007B5C43"/>
    <w:rsid w:val="007B7F38"/>
    <w:rsid w:val="007C0F3D"/>
    <w:rsid w:val="007C1AF7"/>
    <w:rsid w:val="007C6984"/>
    <w:rsid w:val="007D2CFA"/>
    <w:rsid w:val="007D31C7"/>
    <w:rsid w:val="007D404B"/>
    <w:rsid w:val="007D4385"/>
    <w:rsid w:val="007D7B54"/>
    <w:rsid w:val="007E29E1"/>
    <w:rsid w:val="007E3E3E"/>
    <w:rsid w:val="007E49A7"/>
    <w:rsid w:val="007E4DCE"/>
    <w:rsid w:val="007E662C"/>
    <w:rsid w:val="007F3C79"/>
    <w:rsid w:val="007F63D5"/>
    <w:rsid w:val="00800289"/>
    <w:rsid w:val="008030CD"/>
    <w:rsid w:val="00804357"/>
    <w:rsid w:val="0080449A"/>
    <w:rsid w:val="00811949"/>
    <w:rsid w:val="00812029"/>
    <w:rsid w:val="008122AC"/>
    <w:rsid w:val="00813E46"/>
    <w:rsid w:val="00817471"/>
    <w:rsid w:val="00821776"/>
    <w:rsid w:val="00826007"/>
    <w:rsid w:val="0082653E"/>
    <w:rsid w:val="008266E2"/>
    <w:rsid w:val="00827C51"/>
    <w:rsid w:val="008317AD"/>
    <w:rsid w:val="0083209C"/>
    <w:rsid w:val="008321F5"/>
    <w:rsid w:val="00832369"/>
    <w:rsid w:val="00832486"/>
    <w:rsid w:val="0083329F"/>
    <w:rsid w:val="00834660"/>
    <w:rsid w:val="00835392"/>
    <w:rsid w:val="008357ED"/>
    <w:rsid w:val="00835AE7"/>
    <w:rsid w:val="00835BD8"/>
    <w:rsid w:val="00836BC2"/>
    <w:rsid w:val="0084109D"/>
    <w:rsid w:val="008423DC"/>
    <w:rsid w:val="00842746"/>
    <w:rsid w:val="00846E23"/>
    <w:rsid w:val="0085641B"/>
    <w:rsid w:val="00857136"/>
    <w:rsid w:val="008617CA"/>
    <w:rsid w:val="00864FCD"/>
    <w:rsid w:val="008702B3"/>
    <w:rsid w:val="008707DF"/>
    <w:rsid w:val="00871013"/>
    <w:rsid w:val="00871E49"/>
    <w:rsid w:val="00872807"/>
    <w:rsid w:val="00876005"/>
    <w:rsid w:val="00876EAC"/>
    <w:rsid w:val="00881EA0"/>
    <w:rsid w:val="00882C73"/>
    <w:rsid w:val="0088496A"/>
    <w:rsid w:val="0088678E"/>
    <w:rsid w:val="00892238"/>
    <w:rsid w:val="0089392A"/>
    <w:rsid w:val="00893C5D"/>
    <w:rsid w:val="00896018"/>
    <w:rsid w:val="00896E1F"/>
    <w:rsid w:val="008A00FE"/>
    <w:rsid w:val="008A2B9D"/>
    <w:rsid w:val="008A2D18"/>
    <w:rsid w:val="008A541B"/>
    <w:rsid w:val="008A5E0B"/>
    <w:rsid w:val="008A60C8"/>
    <w:rsid w:val="008A69D0"/>
    <w:rsid w:val="008A6A7F"/>
    <w:rsid w:val="008A6B96"/>
    <w:rsid w:val="008A6D59"/>
    <w:rsid w:val="008B0015"/>
    <w:rsid w:val="008B16C5"/>
    <w:rsid w:val="008B2B27"/>
    <w:rsid w:val="008B4B03"/>
    <w:rsid w:val="008B596F"/>
    <w:rsid w:val="008B7C43"/>
    <w:rsid w:val="008C0C69"/>
    <w:rsid w:val="008C159F"/>
    <w:rsid w:val="008C1623"/>
    <w:rsid w:val="008C2B58"/>
    <w:rsid w:val="008C51A9"/>
    <w:rsid w:val="008C5225"/>
    <w:rsid w:val="008C7E46"/>
    <w:rsid w:val="008D0620"/>
    <w:rsid w:val="008D1287"/>
    <w:rsid w:val="008D3724"/>
    <w:rsid w:val="008D3FCE"/>
    <w:rsid w:val="008D67F7"/>
    <w:rsid w:val="008D7BD4"/>
    <w:rsid w:val="008E2C70"/>
    <w:rsid w:val="008E6463"/>
    <w:rsid w:val="008F1CCC"/>
    <w:rsid w:val="008F2967"/>
    <w:rsid w:val="008F2AD4"/>
    <w:rsid w:val="008F2C4C"/>
    <w:rsid w:val="008F446B"/>
    <w:rsid w:val="008F4A62"/>
    <w:rsid w:val="008F57B4"/>
    <w:rsid w:val="00900E78"/>
    <w:rsid w:val="00904E42"/>
    <w:rsid w:val="00911537"/>
    <w:rsid w:val="0091165D"/>
    <w:rsid w:val="0091206B"/>
    <w:rsid w:val="0091270E"/>
    <w:rsid w:val="00915525"/>
    <w:rsid w:val="00917AB4"/>
    <w:rsid w:val="00920330"/>
    <w:rsid w:val="009207ED"/>
    <w:rsid w:val="00920FF4"/>
    <w:rsid w:val="009217F6"/>
    <w:rsid w:val="009219D7"/>
    <w:rsid w:val="00922D53"/>
    <w:rsid w:val="00923B70"/>
    <w:rsid w:val="0092465F"/>
    <w:rsid w:val="00924FB8"/>
    <w:rsid w:val="00925333"/>
    <w:rsid w:val="0092600B"/>
    <w:rsid w:val="00926BE5"/>
    <w:rsid w:val="00926F1C"/>
    <w:rsid w:val="00930237"/>
    <w:rsid w:val="009310B4"/>
    <w:rsid w:val="00935659"/>
    <w:rsid w:val="0093749E"/>
    <w:rsid w:val="00942751"/>
    <w:rsid w:val="00943A3F"/>
    <w:rsid w:val="0094466C"/>
    <w:rsid w:val="00944B14"/>
    <w:rsid w:val="00944EBB"/>
    <w:rsid w:val="00945041"/>
    <w:rsid w:val="009468C6"/>
    <w:rsid w:val="0094735E"/>
    <w:rsid w:val="00951677"/>
    <w:rsid w:val="00952C3D"/>
    <w:rsid w:val="00953EA8"/>
    <w:rsid w:val="00955A46"/>
    <w:rsid w:val="009628B7"/>
    <w:rsid w:val="00963C08"/>
    <w:rsid w:val="00963C0D"/>
    <w:rsid w:val="00966970"/>
    <w:rsid w:val="00966BD0"/>
    <w:rsid w:val="00967C5A"/>
    <w:rsid w:val="00970367"/>
    <w:rsid w:val="009741DD"/>
    <w:rsid w:val="009752DD"/>
    <w:rsid w:val="00975379"/>
    <w:rsid w:val="00976248"/>
    <w:rsid w:val="00981AC6"/>
    <w:rsid w:val="00981D0A"/>
    <w:rsid w:val="009835B6"/>
    <w:rsid w:val="00984803"/>
    <w:rsid w:val="00984CAD"/>
    <w:rsid w:val="0098576A"/>
    <w:rsid w:val="00987D65"/>
    <w:rsid w:val="0099179E"/>
    <w:rsid w:val="009927F3"/>
    <w:rsid w:val="009931F6"/>
    <w:rsid w:val="00993AB0"/>
    <w:rsid w:val="009A15B1"/>
    <w:rsid w:val="009A190E"/>
    <w:rsid w:val="009A4825"/>
    <w:rsid w:val="009A4CED"/>
    <w:rsid w:val="009B00CC"/>
    <w:rsid w:val="009B1D12"/>
    <w:rsid w:val="009B20A0"/>
    <w:rsid w:val="009B2B3C"/>
    <w:rsid w:val="009B3475"/>
    <w:rsid w:val="009B3B14"/>
    <w:rsid w:val="009B416B"/>
    <w:rsid w:val="009B6348"/>
    <w:rsid w:val="009B6ACF"/>
    <w:rsid w:val="009C0691"/>
    <w:rsid w:val="009C4BD5"/>
    <w:rsid w:val="009C5F04"/>
    <w:rsid w:val="009C683C"/>
    <w:rsid w:val="009C74CD"/>
    <w:rsid w:val="009D0801"/>
    <w:rsid w:val="009D0A6D"/>
    <w:rsid w:val="009D0DC8"/>
    <w:rsid w:val="009D2144"/>
    <w:rsid w:val="009D2E04"/>
    <w:rsid w:val="009D3484"/>
    <w:rsid w:val="009D7B77"/>
    <w:rsid w:val="009E0BB0"/>
    <w:rsid w:val="009E2AC4"/>
    <w:rsid w:val="009E37F8"/>
    <w:rsid w:val="009E3FBB"/>
    <w:rsid w:val="009E6D22"/>
    <w:rsid w:val="009E70A2"/>
    <w:rsid w:val="009F018D"/>
    <w:rsid w:val="009F01FD"/>
    <w:rsid w:val="009F207B"/>
    <w:rsid w:val="009F20E4"/>
    <w:rsid w:val="00A0156E"/>
    <w:rsid w:val="00A10C68"/>
    <w:rsid w:val="00A1235B"/>
    <w:rsid w:val="00A14DF7"/>
    <w:rsid w:val="00A16C84"/>
    <w:rsid w:val="00A207F7"/>
    <w:rsid w:val="00A22E19"/>
    <w:rsid w:val="00A27082"/>
    <w:rsid w:val="00A27B10"/>
    <w:rsid w:val="00A31294"/>
    <w:rsid w:val="00A3246D"/>
    <w:rsid w:val="00A32C51"/>
    <w:rsid w:val="00A342E4"/>
    <w:rsid w:val="00A36E8D"/>
    <w:rsid w:val="00A36FA7"/>
    <w:rsid w:val="00A3725C"/>
    <w:rsid w:val="00A40944"/>
    <w:rsid w:val="00A41E88"/>
    <w:rsid w:val="00A426C5"/>
    <w:rsid w:val="00A4355C"/>
    <w:rsid w:val="00A45020"/>
    <w:rsid w:val="00A45C69"/>
    <w:rsid w:val="00A46A96"/>
    <w:rsid w:val="00A47209"/>
    <w:rsid w:val="00A475B7"/>
    <w:rsid w:val="00A47AF7"/>
    <w:rsid w:val="00A47C3E"/>
    <w:rsid w:val="00A50226"/>
    <w:rsid w:val="00A50992"/>
    <w:rsid w:val="00A520EB"/>
    <w:rsid w:val="00A52CEC"/>
    <w:rsid w:val="00A60BAD"/>
    <w:rsid w:val="00A62887"/>
    <w:rsid w:val="00A66207"/>
    <w:rsid w:val="00A66962"/>
    <w:rsid w:val="00A70A5B"/>
    <w:rsid w:val="00A73339"/>
    <w:rsid w:val="00A737A1"/>
    <w:rsid w:val="00A73A8D"/>
    <w:rsid w:val="00A76E69"/>
    <w:rsid w:val="00A77C79"/>
    <w:rsid w:val="00A8051A"/>
    <w:rsid w:val="00A806AE"/>
    <w:rsid w:val="00A8571D"/>
    <w:rsid w:val="00A85A41"/>
    <w:rsid w:val="00A87334"/>
    <w:rsid w:val="00A90370"/>
    <w:rsid w:val="00A92E6D"/>
    <w:rsid w:val="00A934D5"/>
    <w:rsid w:val="00A957C4"/>
    <w:rsid w:val="00A95BED"/>
    <w:rsid w:val="00A978FC"/>
    <w:rsid w:val="00AA0F8F"/>
    <w:rsid w:val="00AA33CB"/>
    <w:rsid w:val="00AA34FC"/>
    <w:rsid w:val="00AB201E"/>
    <w:rsid w:val="00AB3F92"/>
    <w:rsid w:val="00AB42C4"/>
    <w:rsid w:val="00AB51A6"/>
    <w:rsid w:val="00AB581C"/>
    <w:rsid w:val="00AB5C96"/>
    <w:rsid w:val="00AB641B"/>
    <w:rsid w:val="00AC262B"/>
    <w:rsid w:val="00AC2B40"/>
    <w:rsid w:val="00AC2BB2"/>
    <w:rsid w:val="00AC2C3C"/>
    <w:rsid w:val="00AC3BD9"/>
    <w:rsid w:val="00AC44FA"/>
    <w:rsid w:val="00AC54D1"/>
    <w:rsid w:val="00AC5FA7"/>
    <w:rsid w:val="00AC6EBE"/>
    <w:rsid w:val="00AC77F7"/>
    <w:rsid w:val="00AD2969"/>
    <w:rsid w:val="00AD2F18"/>
    <w:rsid w:val="00AD4722"/>
    <w:rsid w:val="00AD4E50"/>
    <w:rsid w:val="00AD5143"/>
    <w:rsid w:val="00AD58C6"/>
    <w:rsid w:val="00AD640A"/>
    <w:rsid w:val="00AD7E78"/>
    <w:rsid w:val="00AE0520"/>
    <w:rsid w:val="00AE0620"/>
    <w:rsid w:val="00AE0AF7"/>
    <w:rsid w:val="00AE2270"/>
    <w:rsid w:val="00AE2C01"/>
    <w:rsid w:val="00AE35CD"/>
    <w:rsid w:val="00AE4205"/>
    <w:rsid w:val="00AE6155"/>
    <w:rsid w:val="00AE65EB"/>
    <w:rsid w:val="00AE670F"/>
    <w:rsid w:val="00AF1D94"/>
    <w:rsid w:val="00AF27F0"/>
    <w:rsid w:val="00AF316D"/>
    <w:rsid w:val="00AF3A8C"/>
    <w:rsid w:val="00AF60C5"/>
    <w:rsid w:val="00B009C6"/>
    <w:rsid w:val="00B01548"/>
    <w:rsid w:val="00B138BE"/>
    <w:rsid w:val="00B15AE2"/>
    <w:rsid w:val="00B15C1C"/>
    <w:rsid w:val="00B17A0B"/>
    <w:rsid w:val="00B17CB3"/>
    <w:rsid w:val="00B21D29"/>
    <w:rsid w:val="00B21FC5"/>
    <w:rsid w:val="00B25034"/>
    <w:rsid w:val="00B27B29"/>
    <w:rsid w:val="00B27EA3"/>
    <w:rsid w:val="00B325C7"/>
    <w:rsid w:val="00B33863"/>
    <w:rsid w:val="00B34F51"/>
    <w:rsid w:val="00B35B7F"/>
    <w:rsid w:val="00B3785E"/>
    <w:rsid w:val="00B37BA4"/>
    <w:rsid w:val="00B37D17"/>
    <w:rsid w:val="00B41628"/>
    <w:rsid w:val="00B4175E"/>
    <w:rsid w:val="00B41842"/>
    <w:rsid w:val="00B4454F"/>
    <w:rsid w:val="00B460EA"/>
    <w:rsid w:val="00B475F7"/>
    <w:rsid w:val="00B50EE7"/>
    <w:rsid w:val="00B510E1"/>
    <w:rsid w:val="00B5179B"/>
    <w:rsid w:val="00B5209B"/>
    <w:rsid w:val="00B54C25"/>
    <w:rsid w:val="00B55E71"/>
    <w:rsid w:val="00B57049"/>
    <w:rsid w:val="00B572B2"/>
    <w:rsid w:val="00B60801"/>
    <w:rsid w:val="00B617AA"/>
    <w:rsid w:val="00B617EA"/>
    <w:rsid w:val="00B6409A"/>
    <w:rsid w:val="00B6569A"/>
    <w:rsid w:val="00B6677B"/>
    <w:rsid w:val="00B71B18"/>
    <w:rsid w:val="00B72F9C"/>
    <w:rsid w:val="00B7359B"/>
    <w:rsid w:val="00B7672F"/>
    <w:rsid w:val="00B76897"/>
    <w:rsid w:val="00B76B91"/>
    <w:rsid w:val="00B77A19"/>
    <w:rsid w:val="00B800A8"/>
    <w:rsid w:val="00B83FC7"/>
    <w:rsid w:val="00B8473E"/>
    <w:rsid w:val="00B86800"/>
    <w:rsid w:val="00B869CF"/>
    <w:rsid w:val="00B86F81"/>
    <w:rsid w:val="00B929EB"/>
    <w:rsid w:val="00B941AA"/>
    <w:rsid w:val="00B94276"/>
    <w:rsid w:val="00B94618"/>
    <w:rsid w:val="00B978A9"/>
    <w:rsid w:val="00BA0FD6"/>
    <w:rsid w:val="00BA1E2C"/>
    <w:rsid w:val="00BA5336"/>
    <w:rsid w:val="00BB0BD8"/>
    <w:rsid w:val="00BB161C"/>
    <w:rsid w:val="00BB205A"/>
    <w:rsid w:val="00BB538A"/>
    <w:rsid w:val="00BB6DFC"/>
    <w:rsid w:val="00BB7F56"/>
    <w:rsid w:val="00BC1CAB"/>
    <w:rsid w:val="00BC2009"/>
    <w:rsid w:val="00BC50DB"/>
    <w:rsid w:val="00BC526C"/>
    <w:rsid w:val="00BC5AC3"/>
    <w:rsid w:val="00BC5AE6"/>
    <w:rsid w:val="00BC622A"/>
    <w:rsid w:val="00BD05E9"/>
    <w:rsid w:val="00BD48EC"/>
    <w:rsid w:val="00BD7B86"/>
    <w:rsid w:val="00BE0433"/>
    <w:rsid w:val="00BE0A78"/>
    <w:rsid w:val="00BE79F0"/>
    <w:rsid w:val="00BE7E2A"/>
    <w:rsid w:val="00BF046D"/>
    <w:rsid w:val="00BF0AD7"/>
    <w:rsid w:val="00BF46E4"/>
    <w:rsid w:val="00BF570E"/>
    <w:rsid w:val="00BF5D04"/>
    <w:rsid w:val="00BF6D2F"/>
    <w:rsid w:val="00C007D3"/>
    <w:rsid w:val="00C019E6"/>
    <w:rsid w:val="00C0357E"/>
    <w:rsid w:val="00C12B78"/>
    <w:rsid w:val="00C1305B"/>
    <w:rsid w:val="00C13563"/>
    <w:rsid w:val="00C155A7"/>
    <w:rsid w:val="00C16CCE"/>
    <w:rsid w:val="00C17E00"/>
    <w:rsid w:val="00C17F66"/>
    <w:rsid w:val="00C21C37"/>
    <w:rsid w:val="00C24035"/>
    <w:rsid w:val="00C25FC2"/>
    <w:rsid w:val="00C26045"/>
    <w:rsid w:val="00C26746"/>
    <w:rsid w:val="00C31D44"/>
    <w:rsid w:val="00C32A88"/>
    <w:rsid w:val="00C333BC"/>
    <w:rsid w:val="00C33FDE"/>
    <w:rsid w:val="00C3534F"/>
    <w:rsid w:val="00C3536F"/>
    <w:rsid w:val="00C364D5"/>
    <w:rsid w:val="00C36810"/>
    <w:rsid w:val="00C404A6"/>
    <w:rsid w:val="00C40A36"/>
    <w:rsid w:val="00C434EA"/>
    <w:rsid w:val="00C44419"/>
    <w:rsid w:val="00C4563B"/>
    <w:rsid w:val="00C45E7B"/>
    <w:rsid w:val="00C4699B"/>
    <w:rsid w:val="00C471B1"/>
    <w:rsid w:val="00C53E11"/>
    <w:rsid w:val="00C54222"/>
    <w:rsid w:val="00C55437"/>
    <w:rsid w:val="00C55C1A"/>
    <w:rsid w:val="00C6204C"/>
    <w:rsid w:val="00C62181"/>
    <w:rsid w:val="00C6316B"/>
    <w:rsid w:val="00C634A9"/>
    <w:rsid w:val="00C6376F"/>
    <w:rsid w:val="00C651B1"/>
    <w:rsid w:val="00C669EE"/>
    <w:rsid w:val="00C67E19"/>
    <w:rsid w:val="00C73315"/>
    <w:rsid w:val="00C73ACA"/>
    <w:rsid w:val="00C741A3"/>
    <w:rsid w:val="00C74DD6"/>
    <w:rsid w:val="00C76BE3"/>
    <w:rsid w:val="00C76E42"/>
    <w:rsid w:val="00C772FF"/>
    <w:rsid w:val="00C801AF"/>
    <w:rsid w:val="00C80256"/>
    <w:rsid w:val="00C81696"/>
    <w:rsid w:val="00C87CA5"/>
    <w:rsid w:val="00C93228"/>
    <w:rsid w:val="00C9355B"/>
    <w:rsid w:val="00C94239"/>
    <w:rsid w:val="00C95D76"/>
    <w:rsid w:val="00CA068B"/>
    <w:rsid w:val="00CA0F79"/>
    <w:rsid w:val="00CA3A38"/>
    <w:rsid w:val="00CA62E0"/>
    <w:rsid w:val="00CA7F35"/>
    <w:rsid w:val="00CB23A7"/>
    <w:rsid w:val="00CB27FE"/>
    <w:rsid w:val="00CB6AD1"/>
    <w:rsid w:val="00CB6BC0"/>
    <w:rsid w:val="00CC1B7C"/>
    <w:rsid w:val="00CC314F"/>
    <w:rsid w:val="00CC3468"/>
    <w:rsid w:val="00CC50DE"/>
    <w:rsid w:val="00CC66CA"/>
    <w:rsid w:val="00CC727F"/>
    <w:rsid w:val="00CD3A7F"/>
    <w:rsid w:val="00CD6EB8"/>
    <w:rsid w:val="00CE3BEA"/>
    <w:rsid w:val="00CE5BB0"/>
    <w:rsid w:val="00CE5E4B"/>
    <w:rsid w:val="00CF08D4"/>
    <w:rsid w:val="00CF0FFF"/>
    <w:rsid w:val="00CF15C3"/>
    <w:rsid w:val="00CF2B6F"/>
    <w:rsid w:val="00CF3BC4"/>
    <w:rsid w:val="00CF6340"/>
    <w:rsid w:val="00D017ED"/>
    <w:rsid w:val="00D02AD9"/>
    <w:rsid w:val="00D049D1"/>
    <w:rsid w:val="00D059F5"/>
    <w:rsid w:val="00D07496"/>
    <w:rsid w:val="00D07BFC"/>
    <w:rsid w:val="00D10B3A"/>
    <w:rsid w:val="00D135F8"/>
    <w:rsid w:val="00D14B89"/>
    <w:rsid w:val="00D153B1"/>
    <w:rsid w:val="00D1617A"/>
    <w:rsid w:val="00D16B61"/>
    <w:rsid w:val="00D224FE"/>
    <w:rsid w:val="00D229BA"/>
    <w:rsid w:val="00D24C02"/>
    <w:rsid w:val="00D2723E"/>
    <w:rsid w:val="00D31D20"/>
    <w:rsid w:val="00D372FF"/>
    <w:rsid w:val="00D46E89"/>
    <w:rsid w:val="00D47415"/>
    <w:rsid w:val="00D51CD8"/>
    <w:rsid w:val="00D55A5F"/>
    <w:rsid w:val="00D616AD"/>
    <w:rsid w:val="00D624D6"/>
    <w:rsid w:val="00D63084"/>
    <w:rsid w:val="00D63F91"/>
    <w:rsid w:val="00D6493E"/>
    <w:rsid w:val="00D72783"/>
    <w:rsid w:val="00D73C01"/>
    <w:rsid w:val="00D74637"/>
    <w:rsid w:val="00D763E2"/>
    <w:rsid w:val="00D80DD3"/>
    <w:rsid w:val="00D82F24"/>
    <w:rsid w:val="00D834EE"/>
    <w:rsid w:val="00D84A25"/>
    <w:rsid w:val="00D855AE"/>
    <w:rsid w:val="00D86C12"/>
    <w:rsid w:val="00D87F31"/>
    <w:rsid w:val="00D909E2"/>
    <w:rsid w:val="00D92175"/>
    <w:rsid w:val="00D97D00"/>
    <w:rsid w:val="00DA0045"/>
    <w:rsid w:val="00DA1124"/>
    <w:rsid w:val="00DA24C7"/>
    <w:rsid w:val="00DA2BE7"/>
    <w:rsid w:val="00DA3BFE"/>
    <w:rsid w:val="00DA453B"/>
    <w:rsid w:val="00DA5B9B"/>
    <w:rsid w:val="00DA7A0C"/>
    <w:rsid w:val="00DB2DAE"/>
    <w:rsid w:val="00DB33CF"/>
    <w:rsid w:val="00DB34E4"/>
    <w:rsid w:val="00DB34F5"/>
    <w:rsid w:val="00DB4BE8"/>
    <w:rsid w:val="00DB5D51"/>
    <w:rsid w:val="00DB6D49"/>
    <w:rsid w:val="00DC38FE"/>
    <w:rsid w:val="00DC4B7C"/>
    <w:rsid w:val="00DC55B7"/>
    <w:rsid w:val="00DC7746"/>
    <w:rsid w:val="00DC79D6"/>
    <w:rsid w:val="00DC7EE4"/>
    <w:rsid w:val="00DD75A3"/>
    <w:rsid w:val="00DE02AE"/>
    <w:rsid w:val="00DE6A0C"/>
    <w:rsid w:val="00DE6C04"/>
    <w:rsid w:val="00DF1D7F"/>
    <w:rsid w:val="00DF2E07"/>
    <w:rsid w:val="00DF2F50"/>
    <w:rsid w:val="00DF445C"/>
    <w:rsid w:val="00E02FB4"/>
    <w:rsid w:val="00E05B04"/>
    <w:rsid w:val="00E06A1B"/>
    <w:rsid w:val="00E0739A"/>
    <w:rsid w:val="00E1165A"/>
    <w:rsid w:val="00E1340C"/>
    <w:rsid w:val="00E2020C"/>
    <w:rsid w:val="00E20571"/>
    <w:rsid w:val="00E207D9"/>
    <w:rsid w:val="00E21651"/>
    <w:rsid w:val="00E235F7"/>
    <w:rsid w:val="00E239D4"/>
    <w:rsid w:val="00E2405C"/>
    <w:rsid w:val="00E30245"/>
    <w:rsid w:val="00E30D82"/>
    <w:rsid w:val="00E313A8"/>
    <w:rsid w:val="00E40B22"/>
    <w:rsid w:val="00E40BD2"/>
    <w:rsid w:val="00E41AD2"/>
    <w:rsid w:val="00E42068"/>
    <w:rsid w:val="00E4307C"/>
    <w:rsid w:val="00E44F1E"/>
    <w:rsid w:val="00E4588F"/>
    <w:rsid w:val="00E46DA3"/>
    <w:rsid w:val="00E476C8"/>
    <w:rsid w:val="00E57B71"/>
    <w:rsid w:val="00E66708"/>
    <w:rsid w:val="00E67E22"/>
    <w:rsid w:val="00E72FC4"/>
    <w:rsid w:val="00E73314"/>
    <w:rsid w:val="00E76C5C"/>
    <w:rsid w:val="00E81BC9"/>
    <w:rsid w:val="00E85439"/>
    <w:rsid w:val="00E85D5D"/>
    <w:rsid w:val="00E860E0"/>
    <w:rsid w:val="00E86A1F"/>
    <w:rsid w:val="00E8778C"/>
    <w:rsid w:val="00E9008E"/>
    <w:rsid w:val="00E9579B"/>
    <w:rsid w:val="00E97275"/>
    <w:rsid w:val="00EA0A0F"/>
    <w:rsid w:val="00EA16DE"/>
    <w:rsid w:val="00EA406B"/>
    <w:rsid w:val="00EA5776"/>
    <w:rsid w:val="00EA676D"/>
    <w:rsid w:val="00EB0798"/>
    <w:rsid w:val="00EB105B"/>
    <w:rsid w:val="00EB28AE"/>
    <w:rsid w:val="00EB2F97"/>
    <w:rsid w:val="00EB34F1"/>
    <w:rsid w:val="00EB40AD"/>
    <w:rsid w:val="00EB4571"/>
    <w:rsid w:val="00EB586E"/>
    <w:rsid w:val="00EB5FC8"/>
    <w:rsid w:val="00EB74A7"/>
    <w:rsid w:val="00EC0999"/>
    <w:rsid w:val="00EC384E"/>
    <w:rsid w:val="00EC4910"/>
    <w:rsid w:val="00EC580A"/>
    <w:rsid w:val="00ED5A41"/>
    <w:rsid w:val="00ED5D05"/>
    <w:rsid w:val="00ED6B23"/>
    <w:rsid w:val="00EE00CA"/>
    <w:rsid w:val="00EE2CC3"/>
    <w:rsid w:val="00EE3577"/>
    <w:rsid w:val="00EE4912"/>
    <w:rsid w:val="00EF1963"/>
    <w:rsid w:val="00EF3C6A"/>
    <w:rsid w:val="00EF578B"/>
    <w:rsid w:val="00EF7B95"/>
    <w:rsid w:val="00F033EC"/>
    <w:rsid w:val="00F0438D"/>
    <w:rsid w:val="00F049A1"/>
    <w:rsid w:val="00F04F68"/>
    <w:rsid w:val="00F10A73"/>
    <w:rsid w:val="00F10BD8"/>
    <w:rsid w:val="00F12670"/>
    <w:rsid w:val="00F14B27"/>
    <w:rsid w:val="00F14C29"/>
    <w:rsid w:val="00F16455"/>
    <w:rsid w:val="00F20118"/>
    <w:rsid w:val="00F2020D"/>
    <w:rsid w:val="00F23105"/>
    <w:rsid w:val="00F25577"/>
    <w:rsid w:val="00F26C80"/>
    <w:rsid w:val="00F2700C"/>
    <w:rsid w:val="00F27DE1"/>
    <w:rsid w:val="00F3148D"/>
    <w:rsid w:val="00F3245D"/>
    <w:rsid w:val="00F32D36"/>
    <w:rsid w:val="00F3509E"/>
    <w:rsid w:val="00F35298"/>
    <w:rsid w:val="00F3529E"/>
    <w:rsid w:val="00F41DCE"/>
    <w:rsid w:val="00F443FD"/>
    <w:rsid w:val="00F45568"/>
    <w:rsid w:val="00F46F9A"/>
    <w:rsid w:val="00F47D14"/>
    <w:rsid w:val="00F47E37"/>
    <w:rsid w:val="00F50ADC"/>
    <w:rsid w:val="00F50B5E"/>
    <w:rsid w:val="00F53D11"/>
    <w:rsid w:val="00F53E24"/>
    <w:rsid w:val="00F563ED"/>
    <w:rsid w:val="00F56D63"/>
    <w:rsid w:val="00F62047"/>
    <w:rsid w:val="00F640B6"/>
    <w:rsid w:val="00F647EA"/>
    <w:rsid w:val="00F65B15"/>
    <w:rsid w:val="00F67A84"/>
    <w:rsid w:val="00F70540"/>
    <w:rsid w:val="00F71152"/>
    <w:rsid w:val="00F76802"/>
    <w:rsid w:val="00F80E40"/>
    <w:rsid w:val="00F83BB2"/>
    <w:rsid w:val="00F87CE2"/>
    <w:rsid w:val="00F91585"/>
    <w:rsid w:val="00F923D6"/>
    <w:rsid w:val="00F942E9"/>
    <w:rsid w:val="00F95CA6"/>
    <w:rsid w:val="00F9705F"/>
    <w:rsid w:val="00FA029A"/>
    <w:rsid w:val="00FA144A"/>
    <w:rsid w:val="00FA2018"/>
    <w:rsid w:val="00FA3338"/>
    <w:rsid w:val="00FA5B82"/>
    <w:rsid w:val="00FA639E"/>
    <w:rsid w:val="00FA7DF1"/>
    <w:rsid w:val="00FB1B89"/>
    <w:rsid w:val="00FB3817"/>
    <w:rsid w:val="00FB6EEA"/>
    <w:rsid w:val="00FC03C8"/>
    <w:rsid w:val="00FC2589"/>
    <w:rsid w:val="00FC25E4"/>
    <w:rsid w:val="00FC2874"/>
    <w:rsid w:val="00FC42B9"/>
    <w:rsid w:val="00FC4EF7"/>
    <w:rsid w:val="00FC55F2"/>
    <w:rsid w:val="00FC7D16"/>
    <w:rsid w:val="00FD33BA"/>
    <w:rsid w:val="00FD56A0"/>
    <w:rsid w:val="00FD5947"/>
    <w:rsid w:val="00FD62E3"/>
    <w:rsid w:val="00FD64E9"/>
    <w:rsid w:val="00FE1DEE"/>
    <w:rsid w:val="00FE6747"/>
    <w:rsid w:val="00FE705F"/>
    <w:rsid w:val="00FF01FE"/>
    <w:rsid w:val="00FF1448"/>
    <w:rsid w:val="00FF2126"/>
    <w:rsid w:val="00FF251F"/>
    <w:rsid w:val="00FF25D3"/>
    <w:rsid w:val="00FF4170"/>
    <w:rsid w:val="00FF59FF"/>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5E7007"/>
  <w15:docId w15:val="{9FB8A505-8DA2-46F1-8113-1A546668A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0"/>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A7F35"/>
    <w:pPr>
      <w:spacing w:before="120" w:after="180" w:line="240" w:lineRule="atLeast"/>
    </w:pPr>
    <w:rPr>
      <w:sz w:val="22"/>
      <w:lang w:eastAsia="en-US"/>
    </w:rPr>
  </w:style>
  <w:style w:type="paragraph" w:styleId="Heading1">
    <w:name w:val="heading 1"/>
    <w:basedOn w:val="Heading2"/>
    <w:next w:val="Normal"/>
    <w:link w:val="Heading1Char"/>
    <w:rsid w:val="00D97D00"/>
    <w:pPr>
      <w:outlineLvl w:val="0"/>
    </w:pPr>
  </w:style>
  <w:style w:type="paragraph" w:styleId="Heading2">
    <w:name w:val="heading 2"/>
    <w:basedOn w:val="Normal"/>
    <w:next w:val="Normal"/>
    <w:link w:val="Heading2Char"/>
    <w:qFormat/>
    <w:rsid w:val="00BC2009"/>
    <w:pPr>
      <w:keepNext/>
      <w:keepLines/>
      <w:numPr>
        <w:numId w:val="5"/>
      </w:numPr>
      <w:spacing w:before="480" w:after="120"/>
      <w:outlineLvl w:val="1"/>
    </w:pPr>
    <w:rPr>
      <w:rFonts w:ascii="Arial" w:eastAsia="Times New Roman" w:hAnsi="Arial"/>
      <w:b/>
      <w:bCs/>
      <w:sz w:val="32"/>
      <w:szCs w:val="32"/>
    </w:rPr>
  </w:style>
  <w:style w:type="paragraph" w:styleId="Heading3">
    <w:name w:val="heading 3"/>
    <w:basedOn w:val="Normal"/>
    <w:next w:val="Normal"/>
    <w:link w:val="Heading3Char"/>
    <w:qFormat/>
    <w:rsid w:val="00BC2009"/>
    <w:pPr>
      <w:keepNext/>
      <w:keepLines/>
      <w:numPr>
        <w:ilvl w:val="1"/>
        <w:numId w:val="5"/>
      </w:numPr>
      <w:spacing w:before="480" w:after="120"/>
      <w:outlineLvl w:val="2"/>
    </w:pPr>
    <w:rPr>
      <w:rFonts w:ascii="Arial" w:eastAsia="Times New Roman" w:hAnsi="Arial"/>
      <w:b/>
      <w:bCs/>
      <w:sz w:val="28"/>
      <w:szCs w:val="32"/>
    </w:rPr>
  </w:style>
  <w:style w:type="paragraph" w:styleId="Heading4">
    <w:name w:val="heading 4"/>
    <w:basedOn w:val="Normal"/>
    <w:next w:val="Normal"/>
    <w:link w:val="Heading4Char"/>
    <w:qFormat/>
    <w:rsid w:val="00C333BC"/>
    <w:pPr>
      <w:keepNext/>
      <w:keepLines/>
      <w:spacing w:before="360" w:after="120"/>
      <w:outlineLvl w:val="3"/>
    </w:pPr>
    <w:rPr>
      <w:b/>
      <w:bCs/>
      <w:i/>
      <w:szCs w:val="26"/>
    </w:rPr>
  </w:style>
  <w:style w:type="paragraph" w:styleId="Heading5">
    <w:name w:val="heading 5"/>
    <w:basedOn w:val="Normal"/>
    <w:next w:val="Normal"/>
    <w:link w:val="Heading5Char"/>
    <w:uiPriority w:val="9"/>
    <w:rsid w:val="006C57B7"/>
    <w:pPr>
      <w:keepNext/>
      <w:keepLines/>
      <w:spacing w:before="240" w:after="120"/>
      <w:ind w:left="1008" w:hanging="1008"/>
      <w:outlineLvl w:val="4"/>
    </w:pPr>
    <w:rPr>
      <w:rFonts w:eastAsia="Times New Roman"/>
      <w:b/>
      <w:bCs/>
      <w:i/>
      <w:color w:val="001523"/>
      <w:szCs w:val="26"/>
    </w:rPr>
  </w:style>
  <w:style w:type="paragraph" w:styleId="Heading6">
    <w:name w:val="heading 6"/>
    <w:basedOn w:val="Normal"/>
    <w:next w:val="Normal"/>
    <w:link w:val="Heading6Char"/>
    <w:uiPriority w:val="9"/>
    <w:rsid w:val="00B138BE"/>
    <w:pPr>
      <w:keepNext/>
      <w:keepLines/>
      <w:numPr>
        <w:ilvl w:val="5"/>
        <w:numId w:val="5"/>
      </w:numPr>
      <w:spacing w:before="240" w:after="120"/>
      <w:outlineLvl w:val="5"/>
    </w:pPr>
    <w:rPr>
      <w:rFonts w:eastAsia="Times New Roman"/>
      <w:b/>
      <w:bCs/>
      <w:i/>
      <w:szCs w:val="21"/>
    </w:rPr>
  </w:style>
  <w:style w:type="paragraph" w:styleId="Heading7">
    <w:name w:val="heading 7"/>
    <w:basedOn w:val="Normal"/>
    <w:next w:val="Normal"/>
    <w:link w:val="Heading7Char"/>
    <w:uiPriority w:val="9"/>
    <w:rsid w:val="00B138BE"/>
    <w:pPr>
      <w:keepNext/>
      <w:keepLines/>
      <w:numPr>
        <w:ilvl w:val="6"/>
        <w:numId w:val="5"/>
      </w:numPr>
      <w:spacing w:before="240" w:after="60" w:line="180" w:lineRule="atLeast"/>
      <w:outlineLvl w:val="6"/>
    </w:pPr>
    <w:rPr>
      <w:rFonts w:eastAsia="Times New Roman"/>
      <w:bCs/>
      <w:i/>
      <w:szCs w:val="22"/>
    </w:rPr>
  </w:style>
  <w:style w:type="paragraph" w:styleId="Heading8">
    <w:name w:val="heading 8"/>
    <w:basedOn w:val="Normal"/>
    <w:next w:val="Normal"/>
    <w:link w:val="Heading8Char"/>
    <w:uiPriority w:val="9"/>
    <w:semiHidden/>
    <w:unhideWhenUsed/>
    <w:qFormat/>
    <w:rsid w:val="00430AAA"/>
    <w:pPr>
      <w:keepNext/>
      <w:keepLines/>
      <w:numPr>
        <w:ilvl w:val="7"/>
        <w:numId w:val="5"/>
      </w:numPr>
      <w:spacing w:before="200" w:after="0"/>
      <w:outlineLvl w:val="7"/>
    </w:pPr>
    <w:rPr>
      <w:rFonts w:asciiTheme="majorHAnsi" w:eastAsiaTheme="majorEastAsia" w:hAnsiTheme="majorHAnsi" w:cstheme="majorBidi"/>
      <w:color w:val="0070B5" w:themeColor="text1" w:themeTint="BF"/>
      <w:sz w:val="20"/>
    </w:rPr>
  </w:style>
  <w:style w:type="paragraph" w:styleId="Heading9">
    <w:name w:val="heading 9"/>
    <w:basedOn w:val="Normal"/>
    <w:next w:val="Normal"/>
    <w:link w:val="Heading9Char"/>
    <w:uiPriority w:val="9"/>
    <w:semiHidden/>
    <w:unhideWhenUsed/>
    <w:qFormat/>
    <w:rsid w:val="00430AAA"/>
    <w:pPr>
      <w:keepNext/>
      <w:keepLines/>
      <w:numPr>
        <w:ilvl w:val="8"/>
        <w:numId w:val="5"/>
      </w:numPr>
      <w:spacing w:before="200" w:after="0"/>
      <w:outlineLvl w:val="8"/>
    </w:pPr>
    <w:rPr>
      <w:rFonts w:asciiTheme="majorHAnsi" w:eastAsiaTheme="majorEastAsia" w:hAnsiTheme="majorHAnsi" w:cstheme="majorBidi"/>
      <w:i/>
      <w:iCs/>
      <w:color w:val="0070B5"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7D00"/>
    <w:rPr>
      <w:rFonts w:ascii="Arial" w:eastAsia="Times New Roman" w:hAnsi="Arial"/>
      <w:b/>
      <w:bCs/>
      <w:sz w:val="32"/>
      <w:szCs w:val="32"/>
      <w:lang w:eastAsia="en-US"/>
    </w:rPr>
  </w:style>
  <w:style w:type="character" w:customStyle="1" w:styleId="Heading2Char">
    <w:name w:val="Heading 2 Char"/>
    <w:basedOn w:val="DefaultParagraphFont"/>
    <w:link w:val="Heading2"/>
    <w:rsid w:val="00BC2009"/>
    <w:rPr>
      <w:rFonts w:ascii="Arial" w:eastAsia="Times New Roman" w:hAnsi="Arial"/>
      <w:b/>
      <w:bCs/>
      <w:sz w:val="32"/>
      <w:szCs w:val="32"/>
      <w:lang w:eastAsia="en-US"/>
    </w:rPr>
  </w:style>
  <w:style w:type="character" w:customStyle="1" w:styleId="Heading3Char">
    <w:name w:val="Heading 3 Char"/>
    <w:basedOn w:val="DefaultParagraphFont"/>
    <w:link w:val="Heading3"/>
    <w:rsid w:val="00BC2009"/>
    <w:rPr>
      <w:rFonts w:ascii="Arial" w:eastAsia="Times New Roman" w:hAnsi="Arial"/>
      <w:b/>
      <w:bCs/>
      <w:sz w:val="28"/>
      <w:szCs w:val="32"/>
      <w:lang w:eastAsia="en-US"/>
    </w:rPr>
  </w:style>
  <w:style w:type="paragraph" w:customStyle="1" w:styleId="Figuredescription">
    <w:name w:val="Figure description"/>
    <w:basedOn w:val="Normal"/>
    <w:next w:val="Normal"/>
    <w:rsid w:val="00CA62E0"/>
    <w:pPr>
      <w:spacing w:after="240" w:line="180" w:lineRule="atLeast"/>
    </w:pPr>
    <w:rPr>
      <w:sz w:val="18"/>
    </w:rPr>
  </w:style>
  <w:style w:type="paragraph" w:customStyle="1" w:styleId="Figuretitle">
    <w:name w:val="Figure title"/>
    <w:basedOn w:val="Normal"/>
    <w:next w:val="Normal"/>
    <w:rsid w:val="00CA62E0"/>
    <w:pPr>
      <w:outlineLvl w:val="4"/>
    </w:pPr>
    <w:rPr>
      <w:b/>
    </w:rPr>
  </w:style>
  <w:style w:type="paragraph" w:styleId="DocumentMap">
    <w:name w:val="Document Map"/>
    <w:basedOn w:val="Normal"/>
    <w:link w:val="DocumentMapChar"/>
    <w:uiPriority w:val="99"/>
    <w:semiHidden/>
    <w:unhideWhenUsed/>
    <w:rsid w:val="001B5CE3"/>
    <w:pPr>
      <w:spacing w:before="0" w:after="0" w:line="240" w:lineRule="auto"/>
    </w:pPr>
    <w:rPr>
      <w:rFonts w:ascii="Tahoma" w:hAnsi="Tahoma" w:cs="Tahoma"/>
      <w:sz w:val="16"/>
      <w:szCs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character" w:customStyle="1" w:styleId="DocumentMapChar">
    <w:name w:val="Document Map Char"/>
    <w:basedOn w:val="DefaultParagraphFont"/>
    <w:link w:val="DocumentMap"/>
    <w:uiPriority w:val="99"/>
    <w:semiHidden/>
    <w:rsid w:val="001B5CE3"/>
    <w:rPr>
      <w:rFonts w:ascii="Tahoma" w:hAnsi="Tahoma" w:cs="Tahoma"/>
      <w:sz w:val="16"/>
      <w:szCs w:val="16"/>
      <w:lang w:eastAsia="en-US"/>
    </w:rPr>
  </w:style>
  <w:style w:type="paragraph" w:styleId="Date">
    <w:name w:val="Date"/>
    <w:basedOn w:val="Normal"/>
    <w:next w:val="Normal"/>
    <w:link w:val="DateChar"/>
    <w:uiPriority w:val="99"/>
    <w:rsid w:val="00F3529E"/>
    <w:pPr>
      <w:spacing w:after="0"/>
    </w:pPr>
    <w:rPr>
      <w:rFonts w:ascii="Arial" w:hAnsi="Arial"/>
      <w:sz w:val="28"/>
    </w:rPr>
  </w:style>
  <w:style w:type="character" w:customStyle="1" w:styleId="DateChar">
    <w:name w:val="Date Char"/>
    <w:basedOn w:val="DefaultParagraphFont"/>
    <w:link w:val="Date"/>
    <w:uiPriority w:val="99"/>
    <w:rsid w:val="00F3529E"/>
    <w:rPr>
      <w:rFonts w:ascii="Arial" w:hAnsi="Arial"/>
      <w:sz w:val="28"/>
      <w:szCs w:val="22"/>
      <w:lang w:eastAsia="en-US"/>
    </w:rPr>
  </w:style>
  <w:style w:type="character" w:customStyle="1" w:styleId="Heading4Char">
    <w:name w:val="Heading 4 Char"/>
    <w:basedOn w:val="DefaultParagraphFont"/>
    <w:link w:val="Heading4"/>
    <w:rsid w:val="00C333BC"/>
    <w:rPr>
      <w:b/>
      <w:bCs/>
      <w:i/>
      <w:sz w:val="22"/>
      <w:szCs w:val="26"/>
      <w:lang w:eastAsia="en-US"/>
    </w:rPr>
  </w:style>
  <w:style w:type="character" w:styleId="FollowedHyperlink">
    <w:name w:val="FollowedHyperlink"/>
    <w:basedOn w:val="DefaultParagraphFont"/>
    <w:semiHidden/>
    <w:unhideWhenUsed/>
    <w:rsid w:val="006B3CF2"/>
    <w:rPr>
      <w:color w:val="800080"/>
      <w:u w:val="single"/>
    </w:rPr>
  </w:style>
  <w:style w:type="paragraph" w:styleId="Footer">
    <w:name w:val="footer"/>
    <w:basedOn w:val="Normal"/>
    <w:link w:val="FooterChar"/>
    <w:uiPriority w:val="99"/>
    <w:rsid w:val="00B138BE"/>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257138"/>
    <w:rPr>
      <w:sz w:val="17"/>
      <w:lang w:eastAsia="en-US"/>
    </w:rPr>
  </w:style>
  <w:style w:type="paragraph" w:styleId="Header">
    <w:name w:val="header"/>
    <w:basedOn w:val="Normal"/>
    <w:link w:val="HeaderChar"/>
    <w:uiPriority w:val="99"/>
    <w:rsid w:val="00B138BE"/>
    <w:pPr>
      <w:pBdr>
        <w:bottom w:val="single" w:sz="4" w:space="3" w:color="auto"/>
      </w:pBdr>
      <w:tabs>
        <w:tab w:val="center" w:pos="4513"/>
        <w:tab w:val="right" w:pos="9026"/>
      </w:tabs>
      <w:spacing w:before="0" w:after="0" w:line="240" w:lineRule="auto"/>
      <w:jc w:val="right"/>
    </w:pPr>
    <w:rPr>
      <w:sz w:val="17"/>
    </w:rPr>
  </w:style>
  <w:style w:type="character" w:customStyle="1" w:styleId="HeaderChar">
    <w:name w:val="Header Char"/>
    <w:basedOn w:val="DefaultParagraphFont"/>
    <w:link w:val="Header"/>
    <w:uiPriority w:val="99"/>
    <w:rsid w:val="00F3148D"/>
    <w:rPr>
      <w:sz w:val="17"/>
      <w:lang w:eastAsia="en-US"/>
    </w:rPr>
  </w:style>
  <w:style w:type="paragraph" w:customStyle="1" w:styleId="HeaderNoLine">
    <w:name w:val="Header No Line"/>
    <w:basedOn w:val="Header"/>
    <w:rsid w:val="00EB74A7"/>
    <w:pPr>
      <w:pBdr>
        <w:bottom w:val="none" w:sz="0" w:space="0" w:color="auto"/>
      </w:pBdr>
      <w:spacing w:before="240" w:after="120"/>
    </w:pPr>
  </w:style>
  <w:style w:type="character" w:customStyle="1" w:styleId="Heading5Char">
    <w:name w:val="Heading 5 Char"/>
    <w:basedOn w:val="DefaultParagraphFont"/>
    <w:link w:val="Heading5"/>
    <w:uiPriority w:val="9"/>
    <w:rsid w:val="006C57B7"/>
    <w:rPr>
      <w:rFonts w:eastAsia="Times New Roman"/>
      <w:b/>
      <w:bCs/>
      <w:i/>
      <w:color w:val="001523"/>
      <w:sz w:val="22"/>
      <w:szCs w:val="26"/>
      <w:lang w:eastAsia="en-US"/>
    </w:rPr>
  </w:style>
  <w:style w:type="character" w:customStyle="1" w:styleId="Heading6Char">
    <w:name w:val="Heading 6 Char"/>
    <w:basedOn w:val="DefaultParagraphFont"/>
    <w:link w:val="Heading6"/>
    <w:uiPriority w:val="9"/>
    <w:rsid w:val="00F3148D"/>
    <w:rPr>
      <w:rFonts w:eastAsia="Times New Roman"/>
      <w:b/>
      <w:bCs/>
      <w:i/>
      <w:sz w:val="22"/>
      <w:szCs w:val="21"/>
      <w:lang w:eastAsia="en-US"/>
    </w:rPr>
  </w:style>
  <w:style w:type="character" w:customStyle="1" w:styleId="Heading7Char">
    <w:name w:val="Heading 7 Char"/>
    <w:basedOn w:val="DefaultParagraphFont"/>
    <w:link w:val="Heading7"/>
    <w:uiPriority w:val="9"/>
    <w:rsid w:val="00F3148D"/>
    <w:rPr>
      <w:rFonts w:eastAsia="Times New Roman"/>
      <w:bCs/>
      <w:i/>
      <w:sz w:val="22"/>
      <w:szCs w:val="22"/>
      <w:lang w:eastAsia="en-US"/>
    </w:rPr>
  </w:style>
  <w:style w:type="character" w:styleId="Hyperlink">
    <w:name w:val="Hyperlink"/>
    <w:aliases w:val="OECD Hyperlink"/>
    <w:basedOn w:val="DefaultParagraphFont"/>
    <w:uiPriority w:val="99"/>
    <w:unhideWhenUsed/>
    <w:rsid w:val="00B138BE"/>
    <w:rPr>
      <w:color w:val="0000FF"/>
      <w:u w:val="single"/>
    </w:rPr>
  </w:style>
  <w:style w:type="paragraph" w:customStyle="1" w:styleId="LegalCopy">
    <w:name w:val="Legal Copy"/>
    <w:basedOn w:val="Footer"/>
    <w:unhideWhenUsed/>
    <w:rsid w:val="006B3CF2"/>
  </w:style>
  <w:style w:type="paragraph" w:customStyle="1" w:styleId="LegalSubheading">
    <w:name w:val="Legal Subheading"/>
    <w:basedOn w:val="Footer"/>
    <w:unhideWhenUsed/>
    <w:rsid w:val="006B3CF2"/>
    <w:rPr>
      <w:b/>
    </w:rPr>
  </w:style>
  <w:style w:type="table" w:styleId="LightShading-Accent2">
    <w:name w:val="Light Shading Accent 2"/>
    <w:basedOn w:val="TableNormal"/>
    <w:uiPriority w:val="60"/>
    <w:rsid w:val="00F3148D"/>
    <w:rPr>
      <w:rFonts w:eastAsia="Calibri"/>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E313A8"/>
    <w:pPr>
      <w:numPr>
        <w:numId w:val="3"/>
      </w:numPr>
    </w:pPr>
  </w:style>
  <w:style w:type="paragraph" w:styleId="ListBullet2">
    <w:name w:val="List Bullet 2"/>
    <w:basedOn w:val="Normal"/>
    <w:uiPriority w:val="99"/>
    <w:qFormat/>
    <w:rsid w:val="00E313A8"/>
    <w:pPr>
      <w:numPr>
        <w:ilvl w:val="1"/>
        <w:numId w:val="3"/>
      </w:numPr>
    </w:pPr>
  </w:style>
  <w:style w:type="paragraph" w:styleId="ListBullet3">
    <w:name w:val="List Bullet 3"/>
    <w:basedOn w:val="Normal"/>
    <w:uiPriority w:val="99"/>
    <w:qFormat/>
    <w:rsid w:val="00E313A8"/>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eastAsia="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qFormat/>
    <w:rsid w:val="00E313A8"/>
    <w:pPr>
      <w:numPr>
        <w:numId w:val="4"/>
      </w:numPr>
    </w:pPr>
  </w:style>
  <w:style w:type="paragraph" w:customStyle="1" w:styleId="Numberbullet2">
    <w:name w:val="Number bullet 2"/>
    <w:basedOn w:val="ListBullet2"/>
    <w:qFormat/>
    <w:rsid w:val="00E313A8"/>
    <w:pPr>
      <w:numPr>
        <w:numId w:val="4"/>
      </w:numPr>
      <w:ind w:left="850" w:hanging="425"/>
    </w:pPr>
  </w:style>
  <w:style w:type="paragraph" w:customStyle="1" w:styleId="Numberbullet3">
    <w:name w:val="Number bullet 3"/>
    <w:basedOn w:val="ListBullet3"/>
    <w:qFormat/>
    <w:rsid w:val="00E313A8"/>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B138BE"/>
    <w:pPr>
      <w:spacing w:before="40" w:after="0"/>
      <w:ind w:left="170" w:hanging="170"/>
    </w:pPr>
    <w:rPr>
      <w:sz w:val="19"/>
    </w:rPr>
  </w:style>
  <w:style w:type="paragraph" w:styleId="Subtitle">
    <w:name w:val="Subtitle"/>
    <w:basedOn w:val="Normal"/>
    <w:next w:val="Normal"/>
    <w:link w:val="SubtitleChar"/>
    <w:uiPriority w:val="11"/>
    <w:unhideWhenUsed/>
    <w:rsid w:val="001F04D7"/>
    <w:pPr>
      <w:numPr>
        <w:ilvl w:val="1"/>
      </w:numPr>
      <w:spacing w:after="120"/>
      <w:ind w:left="170"/>
    </w:pPr>
    <w:rPr>
      <w:rFonts w:ascii="Arial" w:eastAsia="Times New Roman" w:hAnsi="Arial"/>
      <w:bCs/>
      <w:iCs/>
      <w:color w:val="006DA7"/>
      <w:sz w:val="40"/>
      <w:szCs w:val="24"/>
    </w:rPr>
  </w:style>
  <w:style w:type="character" w:customStyle="1" w:styleId="SubtitleChar">
    <w:name w:val="Subtitle Char"/>
    <w:basedOn w:val="DefaultParagraphFont"/>
    <w:link w:val="Subtitle"/>
    <w:uiPriority w:val="11"/>
    <w:rsid w:val="001F04D7"/>
    <w:rPr>
      <w:rFonts w:ascii="Arial" w:eastAsia="Times New Roman" w:hAnsi="Arial"/>
      <w:bCs/>
      <w:iCs/>
      <w:color w:val="006DA7"/>
      <w:sz w:val="40"/>
      <w:szCs w:val="24"/>
      <w:lang w:eastAsia="en-US"/>
    </w:rPr>
  </w:style>
  <w:style w:type="table" w:styleId="TableGrid">
    <w:name w:val="Table Grid"/>
    <w:basedOn w:val="TableNormal"/>
    <w:rsid w:val="00F3148D"/>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E860E0"/>
    <w:rPr>
      <w:color w:val="000000"/>
      <w:sz w:val="22"/>
      <w:szCs w:val="21"/>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Cambria" w:hAnsi="Cambria"/>
        <w:b/>
        <w:color w:val="FFFFFF"/>
        <w:sz w:val="22"/>
      </w:rPr>
      <w:tblPr/>
      <w:trPr>
        <w:tblHeader/>
      </w:tr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E860E0"/>
    <w:pPr>
      <w:keepNext/>
      <w:spacing w:before="60"/>
    </w:pPr>
    <w:rPr>
      <w:color w:val="000000"/>
      <w:sz w:val="22"/>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keepNext/>
        <w:wordWrap/>
      </w:pPr>
      <w:rPr>
        <w:rFonts w:ascii="Cambria" w:hAnsi="Cambria"/>
        <w:b/>
        <w:color w:val="FFFFFF"/>
        <w:sz w:val="22"/>
      </w:rPr>
      <w:tblPr/>
      <w:trPr>
        <w:tblHeader/>
      </w:trPr>
      <w:tcPr>
        <w:shd w:val="clear" w:color="auto" w:fill="000000"/>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styleId="Title">
    <w:name w:val="Title"/>
    <w:next w:val="Normal"/>
    <w:link w:val="TitleChar"/>
    <w:uiPriority w:val="10"/>
    <w:unhideWhenUsed/>
    <w:rsid w:val="009F20E4"/>
    <w:pPr>
      <w:spacing w:after="120"/>
      <w:contextualSpacing/>
    </w:pPr>
    <w:rPr>
      <w:rFonts w:ascii="Arial" w:eastAsia="Times New Roman" w:hAnsi="Arial"/>
      <w:color w:val="002C47"/>
      <w:spacing w:val="5"/>
      <w:kern w:val="28"/>
      <w:sz w:val="52"/>
      <w:szCs w:val="52"/>
      <w:lang w:eastAsia="en-US"/>
    </w:rPr>
  </w:style>
  <w:style w:type="character" w:customStyle="1" w:styleId="TitleChar">
    <w:name w:val="Title Char"/>
    <w:basedOn w:val="DefaultParagraphFont"/>
    <w:link w:val="Title"/>
    <w:uiPriority w:val="10"/>
    <w:rsid w:val="009F20E4"/>
    <w:rPr>
      <w:rFonts w:ascii="Arial" w:eastAsia="Times New Roman" w:hAnsi="Arial"/>
      <w:color w:val="002C47"/>
      <w:spacing w:val="5"/>
      <w:kern w:val="28"/>
      <w:sz w:val="52"/>
      <w:szCs w:val="52"/>
      <w:lang w:eastAsia="en-US"/>
    </w:rPr>
  </w:style>
  <w:style w:type="paragraph" w:styleId="TOC1">
    <w:name w:val="toc 1"/>
    <w:basedOn w:val="Normal"/>
    <w:next w:val="Normal"/>
    <w:uiPriority w:val="39"/>
    <w:unhideWhenUsed/>
    <w:rsid w:val="008D3724"/>
    <w:pPr>
      <w:keepNext/>
      <w:keepLines/>
      <w:tabs>
        <w:tab w:val="right" w:leader="underscore" w:pos="8505"/>
      </w:tabs>
      <w:spacing w:after="200"/>
    </w:pPr>
    <w:rPr>
      <w:rFonts w:ascii="Arial" w:hAnsi="Arial"/>
      <w:b/>
    </w:rPr>
  </w:style>
  <w:style w:type="paragraph" w:styleId="TOC2">
    <w:name w:val="toc 2"/>
    <w:basedOn w:val="Normal"/>
    <w:next w:val="Normal"/>
    <w:uiPriority w:val="39"/>
    <w:unhideWhenUsed/>
    <w:rsid w:val="008D3724"/>
    <w:pPr>
      <w:keepNext/>
      <w:keepLines/>
      <w:tabs>
        <w:tab w:val="right" w:leader="underscore" w:pos="8505"/>
      </w:tabs>
      <w:spacing w:after="100"/>
      <w:ind w:left="425"/>
    </w:pPr>
  </w:style>
  <w:style w:type="paragraph" w:styleId="TOC3">
    <w:name w:val="toc 3"/>
    <w:basedOn w:val="Normal"/>
    <w:next w:val="Normal"/>
    <w:uiPriority w:val="39"/>
    <w:unhideWhenUsed/>
    <w:rsid w:val="008D3724"/>
    <w:pPr>
      <w:keepNext/>
      <w:keepLines/>
      <w:tabs>
        <w:tab w:val="right" w:leader="hyphen" w:pos="8505"/>
      </w:tabs>
      <w:spacing w:after="100"/>
      <w:ind w:left="851"/>
    </w:pPr>
    <w:rPr>
      <w:sz w:val="20"/>
    </w:rPr>
  </w:style>
  <w:style w:type="paragraph" w:styleId="TOCHeading">
    <w:name w:val="TOC Heading"/>
    <w:basedOn w:val="Heading1"/>
    <w:next w:val="Normal"/>
    <w:uiPriority w:val="39"/>
    <w:semiHidden/>
    <w:unhideWhenUsed/>
    <w:qFormat/>
    <w:rsid w:val="00F3148D"/>
    <w:pPr>
      <w:framePr w:wrap="around" w:hAnchor="text"/>
      <w:spacing w:after="0" w:line="276" w:lineRule="auto"/>
      <w:outlineLvl w:val="9"/>
    </w:pPr>
    <w:rPr>
      <w:color w:val="002035"/>
      <w:sz w:val="28"/>
      <w:lang w:val="en-US"/>
    </w:rPr>
  </w:style>
  <w:style w:type="numbering" w:customStyle="1" w:styleId="NumberBullet1">
    <w:name w:val="NumberBullet1"/>
    <w:uiPriority w:val="99"/>
    <w:rsid w:val="001525B4"/>
  </w:style>
  <w:style w:type="numbering" w:customStyle="1" w:styleId="ListBullets1">
    <w:name w:val="ListBullets1"/>
    <w:uiPriority w:val="99"/>
    <w:rsid w:val="001525B4"/>
  </w:style>
  <w:style w:type="paragraph" w:styleId="FootnoteText">
    <w:name w:val="footnote text"/>
    <w:basedOn w:val="Normal"/>
    <w:link w:val="FootnoteTextChar"/>
    <w:rsid w:val="00B138BE"/>
    <w:pPr>
      <w:keepLines/>
      <w:spacing w:before="0" w:after="0"/>
    </w:pPr>
    <w:rPr>
      <w:sz w:val="20"/>
    </w:rPr>
  </w:style>
  <w:style w:type="character" w:customStyle="1" w:styleId="FootnoteTextChar">
    <w:name w:val="Footnote Text Char"/>
    <w:basedOn w:val="DefaultParagraphFont"/>
    <w:link w:val="FootnoteText"/>
    <w:rsid w:val="001525B4"/>
    <w:rPr>
      <w:lang w:eastAsia="en-US"/>
    </w:rPr>
  </w:style>
  <w:style w:type="character" w:styleId="FootnoteReference">
    <w:name w:val="footnote reference"/>
    <w:basedOn w:val="DefaultParagraphFont"/>
    <w:uiPriority w:val="99"/>
    <w:unhideWhenUsed/>
    <w:rsid w:val="001525B4"/>
    <w:rPr>
      <w:vertAlign w:val="superscript"/>
    </w:rPr>
  </w:style>
  <w:style w:type="paragraph" w:customStyle="1" w:styleId="NonTOCheading2">
    <w:name w:val="Non TOC heading 2"/>
    <w:basedOn w:val="Normal"/>
    <w:next w:val="Normal"/>
    <w:rsid w:val="008D3724"/>
    <w:pPr>
      <w:keepNext/>
      <w:keepLines/>
      <w:spacing w:before="360"/>
    </w:pPr>
    <w:rPr>
      <w:rFonts w:ascii="Arial" w:hAnsi="Arial"/>
      <w:b/>
    </w:rPr>
  </w:style>
  <w:style w:type="paragraph" w:customStyle="1" w:styleId="Quotation">
    <w:name w:val="Quotation"/>
    <w:basedOn w:val="Normal"/>
    <w:next w:val="Normal"/>
    <w:uiPriority w:val="4"/>
    <w:qFormat/>
    <w:rsid w:val="00B138BE"/>
    <w:pPr>
      <w:ind w:left="425"/>
    </w:pPr>
    <w:rPr>
      <w:sz w:val="20"/>
    </w:rPr>
  </w:style>
  <w:style w:type="paragraph" w:customStyle="1" w:styleId="Tabledescription">
    <w:name w:val="Table description"/>
    <w:basedOn w:val="Figuredescription"/>
    <w:next w:val="Normal"/>
    <w:rsid w:val="00CA62E0"/>
  </w:style>
  <w:style w:type="paragraph" w:customStyle="1" w:styleId="Tabletitle">
    <w:name w:val="Table title"/>
    <w:basedOn w:val="Normal"/>
    <w:next w:val="Normal"/>
    <w:rsid w:val="00041297"/>
    <w:pPr>
      <w:keepNext/>
      <w:outlineLvl w:val="4"/>
    </w:pPr>
    <w:rPr>
      <w:b/>
    </w:rPr>
  </w:style>
  <w:style w:type="paragraph" w:styleId="TOC4">
    <w:name w:val="toc 4"/>
    <w:basedOn w:val="Normal"/>
    <w:next w:val="Normal"/>
    <w:autoRedefine/>
    <w:uiPriority w:val="39"/>
    <w:semiHidden/>
    <w:unhideWhenUsed/>
    <w:rsid w:val="00B138BE"/>
    <w:pPr>
      <w:tabs>
        <w:tab w:val="right" w:leader="hyphen" w:pos="8505"/>
      </w:tabs>
      <w:spacing w:after="100"/>
      <w:ind w:left="1276"/>
    </w:pPr>
  </w:style>
  <w:style w:type="paragraph" w:styleId="TOC5">
    <w:name w:val="toc 5"/>
    <w:basedOn w:val="Normal"/>
    <w:next w:val="Normal"/>
    <w:autoRedefine/>
    <w:uiPriority w:val="39"/>
    <w:semiHidden/>
    <w:unhideWhenUsed/>
    <w:rsid w:val="00B138BE"/>
    <w:pPr>
      <w:tabs>
        <w:tab w:val="right" w:leader="dot" w:pos="8505"/>
      </w:tabs>
      <w:spacing w:after="100"/>
      <w:ind w:left="1701"/>
    </w:pPr>
    <w:rPr>
      <w:noProof/>
    </w:rPr>
  </w:style>
  <w:style w:type="paragraph" w:styleId="TOC6">
    <w:name w:val="toc 6"/>
    <w:basedOn w:val="Normal"/>
    <w:next w:val="Normal"/>
    <w:autoRedefine/>
    <w:uiPriority w:val="39"/>
    <w:semiHidden/>
    <w:unhideWhenUsed/>
    <w:rsid w:val="00B138BE"/>
    <w:pPr>
      <w:tabs>
        <w:tab w:val="right" w:pos="8505"/>
      </w:tabs>
      <w:spacing w:after="100"/>
      <w:ind w:left="2126"/>
    </w:pPr>
  </w:style>
  <w:style w:type="paragraph" w:styleId="EndnoteText">
    <w:name w:val="endnote text"/>
    <w:basedOn w:val="FootnoteText"/>
    <w:link w:val="EndnoteTextChar"/>
    <w:semiHidden/>
    <w:unhideWhenUsed/>
    <w:rsid w:val="00732B06"/>
    <w:rPr>
      <w:rFonts w:asciiTheme="minorHAnsi" w:hAnsiTheme="minorHAnsi" w:cstheme="minorBidi"/>
      <w:szCs w:val="22"/>
    </w:rPr>
  </w:style>
  <w:style w:type="character" w:customStyle="1" w:styleId="EndnoteTextChar">
    <w:name w:val="Endnote Text Char"/>
    <w:basedOn w:val="DefaultParagraphFont"/>
    <w:link w:val="EndnoteText"/>
    <w:semiHidden/>
    <w:rsid w:val="00732B06"/>
    <w:rPr>
      <w:rFonts w:asciiTheme="minorHAnsi" w:hAnsiTheme="minorHAnsi" w:cstheme="minorBidi"/>
      <w:szCs w:val="22"/>
      <w:lang w:eastAsia="en-US"/>
    </w:rPr>
  </w:style>
  <w:style w:type="paragraph" w:styleId="ListParagraph">
    <w:name w:val="List Paragraph"/>
    <w:basedOn w:val="Normal"/>
    <w:uiPriority w:val="34"/>
    <w:qFormat/>
    <w:rsid w:val="008D3FCE"/>
    <w:pPr>
      <w:ind w:left="720"/>
      <w:contextualSpacing/>
    </w:pPr>
  </w:style>
  <w:style w:type="character" w:customStyle="1" w:styleId="Heading8Char">
    <w:name w:val="Heading 8 Char"/>
    <w:basedOn w:val="DefaultParagraphFont"/>
    <w:link w:val="Heading8"/>
    <w:uiPriority w:val="9"/>
    <w:semiHidden/>
    <w:rsid w:val="00430AAA"/>
    <w:rPr>
      <w:rFonts w:asciiTheme="majorHAnsi" w:eastAsiaTheme="majorEastAsia" w:hAnsiTheme="majorHAnsi" w:cstheme="majorBidi"/>
      <w:color w:val="0070B5" w:themeColor="text1" w:themeTint="BF"/>
      <w:lang w:eastAsia="en-US"/>
    </w:rPr>
  </w:style>
  <w:style w:type="character" w:customStyle="1" w:styleId="Heading9Char">
    <w:name w:val="Heading 9 Char"/>
    <w:basedOn w:val="DefaultParagraphFont"/>
    <w:link w:val="Heading9"/>
    <w:uiPriority w:val="9"/>
    <w:semiHidden/>
    <w:rsid w:val="00430AAA"/>
    <w:rPr>
      <w:rFonts w:asciiTheme="majorHAnsi" w:eastAsiaTheme="majorEastAsia" w:hAnsiTheme="majorHAnsi" w:cstheme="majorBidi"/>
      <w:i/>
      <w:iCs/>
      <w:color w:val="0070B5" w:themeColor="text1" w:themeTint="BF"/>
      <w:lang w:eastAsia="en-US"/>
    </w:rPr>
  </w:style>
  <w:style w:type="character" w:styleId="CommentReference">
    <w:name w:val="annotation reference"/>
    <w:basedOn w:val="DefaultParagraphFont"/>
    <w:uiPriority w:val="99"/>
    <w:semiHidden/>
    <w:unhideWhenUsed/>
    <w:rsid w:val="00A342E4"/>
    <w:rPr>
      <w:sz w:val="16"/>
      <w:szCs w:val="16"/>
    </w:rPr>
  </w:style>
  <w:style w:type="paragraph" w:styleId="CommentText">
    <w:name w:val="annotation text"/>
    <w:basedOn w:val="Normal"/>
    <w:link w:val="CommentTextChar"/>
    <w:uiPriority w:val="99"/>
    <w:unhideWhenUsed/>
    <w:rsid w:val="00A342E4"/>
    <w:pPr>
      <w:spacing w:line="240" w:lineRule="auto"/>
    </w:pPr>
    <w:rPr>
      <w:sz w:val="20"/>
    </w:rPr>
  </w:style>
  <w:style w:type="character" w:customStyle="1" w:styleId="CommentTextChar">
    <w:name w:val="Comment Text Char"/>
    <w:basedOn w:val="DefaultParagraphFont"/>
    <w:link w:val="CommentText"/>
    <w:uiPriority w:val="99"/>
    <w:rsid w:val="00A342E4"/>
    <w:rPr>
      <w:lang w:eastAsia="en-US"/>
    </w:rPr>
  </w:style>
  <w:style w:type="paragraph" w:styleId="CommentSubject">
    <w:name w:val="annotation subject"/>
    <w:basedOn w:val="CommentText"/>
    <w:next w:val="CommentText"/>
    <w:link w:val="CommentSubjectChar"/>
    <w:uiPriority w:val="99"/>
    <w:semiHidden/>
    <w:unhideWhenUsed/>
    <w:rsid w:val="00A342E4"/>
    <w:rPr>
      <w:b/>
      <w:bCs/>
    </w:rPr>
  </w:style>
  <w:style w:type="character" w:customStyle="1" w:styleId="CommentSubjectChar">
    <w:name w:val="Comment Subject Char"/>
    <w:basedOn w:val="CommentTextChar"/>
    <w:link w:val="CommentSubject"/>
    <w:uiPriority w:val="99"/>
    <w:semiHidden/>
    <w:rsid w:val="00A342E4"/>
    <w:rPr>
      <w:b/>
      <w:bCs/>
      <w:lang w:eastAsia="en-US"/>
    </w:rPr>
  </w:style>
  <w:style w:type="table" w:styleId="LightList-Accent1">
    <w:name w:val="Light List Accent 1"/>
    <w:basedOn w:val="TableNormal"/>
    <w:uiPriority w:val="61"/>
    <w:rsid w:val="00D47415"/>
    <w:rPr>
      <w:rFonts w:asciiTheme="minorHAnsi" w:eastAsiaTheme="minorEastAsia" w:hAnsiTheme="minorHAnsi" w:cstheme="minorBidi"/>
      <w:sz w:val="22"/>
      <w:szCs w:val="22"/>
      <w:lang w:eastAsia="en-US"/>
    </w:rPr>
    <w:tblPr>
      <w:tblStyleRowBandSize w:val="1"/>
      <w:tblStyleColBandSize w:val="1"/>
      <w:tblBorders>
        <w:top w:val="single" w:sz="8" w:space="0" w:color="006EA8" w:themeColor="accent1"/>
        <w:left w:val="single" w:sz="8" w:space="0" w:color="006EA8" w:themeColor="accent1"/>
        <w:bottom w:val="single" w:sz="8" w:space="0" w:color="006EA8" w:themeColor="accent1"/>
        <w:right w:val="single" w:sz="8" w:space="0" w:color="006EA8" w:themeColor="accent1"/>
      </w:tblBorders>
    </w:tblPr>
    <w:tblStylePr w:type="firstRow">
      <w:pPr>
        <w:spacing w:before="0" w:after="0" w:line="240" w:lineRule="auto"/>
      </w:pPr>
      <w:rPr>
        <w:b/>
        <w:bCs/>
        <w:color w:val="FFFFFF" w:themeColor="background1"/>
      </w:rPr>
      <w:tblPr/>
      <w:tcPr>
        <w:shd w:val="clear" w:color="auto" w:fill="006EA8" w:themeFill="accent1"/>
      </w:tcPr>
    </w:tblStylePr>
    <w:tblStylePr w:type="lastRow">
      <w:pPr>
        <w:spacing w:before="0" w:after="0" w:line="240" w:lineRule="auto"/>
      </w:pPr>
      <w:rPr>
        <w:b/>
        <w:bCs/>
      </w:rPr>
      <w:tblPr/>
      <w:tcPr>
        <w:tcBorders>
          <w:top w:val="double" w:sz="6" w:space="0" w:color="006EA8" w:themeColor="accent1"/>
          <w:left w:val="single" w:sz="8" w:space="0" w:color="006EA8" w:themeColor="accent1"/>
          <w:bottom w:val="single" w:sz="8" w:space="0" w:color="006EA8" w:themeColor="accent1"/>
          <w:right w:val="single" w:sz="8" w:space="0" w:color="006EA8" w:themeColor="accent1"/>
        </w:tcBorders>
      </w:tcPr>
    </w:tblStylePr>
    <w:tblStylePr w:type="firstCol">
      <w:rPr>
        <w:b/>
        <w:bCs/>
      </w:rPr>
    </w:tblStylePr>
    <w:tblStylePr w:type="lastCol">
      <w:rPr>
        <w:b/>
        <w:bCs/>
      </w:rPr>
    </w:tblStylePr>
    <w:tblStylePr w:type="band1Vert">
      <w:tblPr/>
      <w:tcPr>
        <w:tcBorders>
          <w:top w:val="single" w:sz="8" w:space="0" w:color="006EA8" w:themeColor="accent1"/>
          <w:left w:val="single" w:sz="8" w:space="0" w:color="006EA8" w:themeColor="accent1"/>
          <w:bottom w:val="single" w:sz="8" w:space="0" w:color="006EA8" w:themeColor="accent1"/>
          <w:right w:val="single" w:sz="8" w:space="0" w:color="006EA8" w:themeColor="accent1"/>
        </w:tcBorders>
      </w:tcPr>
    </w:tblStylePr>
    <w:tblStylePr w:type="band1Horz">
      <w:tblPr/>
      <w:tcPr>
        <w:tcBorders>
          <w:top w:val="single" w:sz="8" w:space="0" w:color="006EA8" w:themeColor="accent1"/>
          <w:left w:val="single" w:sz="8" w:space="0" w:color="006EA8" w:themeColor="accent1"/>
          <w:bottom w:val="single" w:sz="8" w:space="0" w:color="006EA8" w:themeColor="accent1"/>
          <w:right w:val="single" w:sz="8" w:space="0" w:color="006EA8" w:themeColor="accent1"/>
        </w:tcBorders>
      </w:tcPr>
    </w:tblStylePr>
  </w:style>
  <w:style w:type="paragraph" w:styleId="TOC9">
    <w:name w:val="toc 9"/>
    <w:basedOn w:val="Normal"/>
    <w:next w:val="Normal"/>
    <w:autoRedefine/>
    <w:uiPriority w:val="39"/>
    <w:semiHidden/>
    <w:unhideWhenUsed/>
    <w:rsid w:val="008D3724"/>
    <w:pPr>
      <w:spacing w:after="100"/>
      <w:ind w:left="1760"/>
    </w:pPr>
  </w:style>
  <w:style w:type="paragraph" w:customStyle="1" w:styleId="TableTitle0">
    <w:name w:val="Table Title"/>
    <w:basedOn w:val="Normal"/>
    <w:next w:val="Normal"/>
    <w:qFormat/>
    <w:rsid w:val="00FA7DF1"/>
    <w:pPr>
      <w:spacing w:before="180"/>
    </w:pPr>
    <w:rPr>
      <w:b/>
    </w:rPr>
  </w:style>
  <w:style w:type="character" w:styleId="Strong">
    <w:name w:val="Strong"/>
    <w:basedOn w:val="DefaultParagraphFont"/>
    <w:uiPriority w:val="22"/>
    <w:qFormat/>
    <w:rsid w:val="00FA7DF1"/>
    <w:rPr>
      <w:b/>
      <w:bCs/>
    </w:rPr>
  </w:style>
  <w:style w:type="paragraph" w:customStyle="1" w:styleId="Default">
    <w:name w:val="Default"/>
    <w:rsid w:val="00AE6155"/>
    <w:pPr>
      <w:autoSpaceDE w:val="0"/>
      <w:autoSpaceDN w:val="0"/>
      <w:adjustRightInd w:val="0"/>
    </w:pPr>
    <w:rPr>
      <w:rFonts w:ascii="Times New Roman" w:hAnsi="Times New Roman"/>
      <w:color w:val="000000"/>
      <w:sz w:val="24"/>
      <w:szCs w:val="24"/>
    </w:rPr>
  </w:style>
  <w:style w:type="character" w:styleId="EndnoteReference">
    <w:name w:val="endnote reference"/>
    <w:basedOn w:val="DefaultParagraphFont"/>
    <w:uiPriority w:val="99"/>
    <w:semiHidden/>
    <w:unhideWhenUsed/>
    <w:rsid w:val="00871E49"/>
    <w:rPr>
      <w:vertAlign w:val="superscript"/>
    </w:rPr>
  </w:style>
  <w:style w:type="character" w:customStyle="1" w:styleId="fontstyle01">
    <w:name w:val="fontstyle01"/>
    <w:basedOn w:val="DefaultParagraphFont"/>
    <w:rsid w:val="002B3304"/>
    <w:rPr>
      <w:rFonts w:ascii="Cambria" w:hAnsi="Cambria" w:hint="default"/>
      <w:b w:val="0"/>
      <w:bCs w:val="0"/>
      <w:i w:val="0"/>
      <w:iCs w:val="0"/>
      <w:color w:val="000000"/>
      <w:sz w:val="22"/>
      <w:szCs w:val="22"/>
    </w:rPr>
  </w:style>
  <w:style w:type="character" w:customStyle="1" w:styleId="fontstyle21">
    <w:name w:val="fontstyle21"/>
    <w:basedOn w:val="DefaultParagraphFont"/>
    <w:rsid w:val="002B3304"/>
    <w:rPr>
      <w:rFonts w:ascii="Cambria-Bold" w:hAnsi="Cambria-Bold" w:hint="default"/>
      <w:b/>
      <w:bCs/>
      <w:i w:val="0"/>
      <w:iCs w:val="0"/>
      <w:color w:val="000000"/>
      <w:sz w:val="22"/>
      <w:szCs w:val="22"/>
    </w:rPr>
  </w:style>
  <w:style w:type="paragraph" w:styleId="Revision">
    <w:name w:val="Revision"/>
    <w:hidden/>
    <w:uiPriority w:val="99"/>
    <w:semiHidden/>
    <w:rsid w:val="002C48BF"/>
    <w:rPr>
      <w:sz w:val="22"/>
      <w:lang w:eastAsia="en-US"/>
    </w:rPr>
  </w:style>
  <w:style w:type="paragraph" w:customStyle="1" w:styleId="ListBulleta">
    <w:name w:val="List Bullet a)"/>
    <w:basedOn w:val="ListBullet"/>
    <w:uiPriority w:val="1"/>
    <w:qFormat/>
    <w:rsid w:val="005302F5"/>
    <w:pPr>
      <w:numPr>
        <w:numId w:val="6"/>
      </w:numPr>
    </w:pPr>
  </w:style>
  <w:style w:type="paragraph" w:customStyle="1" w:styleId="ListBulleti">
    <w:name w:val="List Bullet i)"/>
    <w:basedOn w:val="ListBullet"/>
    <w:uiPriority w:val="1"/>
    <w:qFormat/>
    <w:rsid w:val="005302F5"/>
    <w:pPr>
      <w:numPr>
        <w:numId w:val="7"/>
      </w:numPr>
    </w:pPr>
  </w:style>
  <w:style w:type="character" w:customStyle="1" w:styleId="Style1">
    <w:name w:val="Style1"/>
    <w:basedOn w:val="DefaultParagraphFont"/>
    <w:uiPriority w:val="1"/>
    <w:rsid w:val="005A5916"/>
    <w:rPr>
      <w:rFonts w:ascii="Cambria" w:hAnsi="Cambria"/>
      <w:sz w:val="22"/>
    </w:rPr>
  </w:style>
  <w:style w:type="paragraph" w:styleId="NormalWeb">
    <w:name w:val="Normal (Web)"/>
    <w:basedOn w:val="Normal"/>
    <w:uiPriority w:val="99"/>
    <w:unhideWhenUsed/>
    <w:rsid w:val="004B545E"/>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acthead5">
    <w:name w:val="acthead5"/>
    <w:basedOn w:val="Normal"/>
    <w:rsid w:val="00574B36"/>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harsectno">
    <w:name w:val="charsectno"/>
    <w:basedOn w:val="DefaultParagraphFont"/>
    <w:rsid w:val="00574B36"/>
  </w:style>
  <w:style w:type="paragraph" w:customStyle="1" w:styleId="subsection">
    <w:name w:val="subsection"/>
    <w:basedOn w:val="Normal"/>
    <w:rsid w:val="00574B36"/>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ragraph">
    <w:name w:val="paragraph"/>
    <w:basedOn w:val="Normal"/>
    <w:rsid w:val="00574B36"/>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FigureTitle0">
    <w:name w:val="Figure Title"/>
    <w:basedOn w:val="Normal"/>
    <w:rsid w:val="00E73314"/>
    <w:pPr>
      <w:spacing w:before="180" w:line="220" w:lineRule="atLeast"/>
    </w:pPr>
    <w:rPr>
      <w:b/>
    </w:rPr>
  </w:style>
  <w:style w:type="table" w:customStyle="1" w:styleId="TableGrid1">
    <w:name w:val="Table Grid1"/>
    <w:basedOn w:val="TableNormal"/>
    <w:next w:val="TableGrid"/>
    <w:uiPriority w:val="59"/>
    <w:rsid w:val="00E73314"/>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E73314"/>
    <w:pPr>
      <w:numPr>
        <w:numId w:val="15"/>
      </w:numPr>
      <w:tabs>
        <w:tab w:val="clear" w:pos="360"/>
        <w:tab w:val="num" w:pos="432"/>
        <w:tab w:val="num" w:pos="720"/>
        <w:tab w:val="left" w:pos="1440"/>
      </w:tabs>
      <w:spacing w:before="0" w:after="240" w:line="240" w:lineRule="auto"/>
      <w:contextualSpacing/>
    </w:pPr>
    <w:rPr>
      <w:rFonts w:ascii="Times New Roman" w:eastAsia="Times New Roman" w:hAnsi="Times New Roman"/>
      <w:sz w:val="24"/>
      <w:szCs w:val="24"/>
      <w:lang w:eastAsia="en-AU"/>
    </w:rPr>
  </w:style>
  <w:style w:type="paragraph" w:styleId="BodyText">
    <w:name w:val="Body Text"/>
    <w:basedOn w:val="Normal"/>
    <w:link w:val="BodyTextChar"/>
    <w:rsid w:val="00E73314"/>
    <w:pPr>
      <w:numPr>
        <w:numId w:val="17"/>
      </w:numPr>
      <w:spacing w:before="0" w:after="240" w:line="240" w:lineRule="auto"/>
    </w:pPr>
    <w:rPr>
      <w:rFonts w:ascii="Times New Roman" w:eastAsia="Times New Roman" w:hAnsi="Times New Roman"/>
      <w:sz w:val="24"/>
      <w:lang w:eastAsia="en-AU"/>
    </w:rPr>
  </w:style>
  <w:style w:type="character" w:customStyle="1" w:styleId="BodyTextChar">
    <w:name w:val="Body Text Char"/>
    <w:basedOn w:val="DefaultParagraphFont"/>
    <w:link w:val="BodyText"/>
    <w:rsid w:val="00E73314"/>
    <w:rPr>
      <w:rFonts w:ascii="Times New Roman" w:eastAsia="Times New Roman" w:hAnsi="Times New Roman"/>
      <w:sz w:val="24"/>
    </w:rPr>
  </w:style>
  <w:style w:type="table" w:customStyle="1" w:styleId="TableTGAblue1">
    <w:name w:val="Table TGA blue1"/>
    <w:basedOn w:val="TableNormal"/>
    <w:uiPriority w:val="99"/>
    <w:qFormat/>
    <w:rsid w:val="00E73314"/>
    <w:rPr>
      <w:szCs w:val="21"/>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006DA7"/>
      </w:tcPr>
    </w:tblStylePr>
  </w:style>
  <w:style w:type="paragraph" w:customStyle="1" w:styleId="ActionBullet">
    <w:name w:val="Action Bullet"/>
    <w:basedOn w:val="Normal"/>
    <w:uiPriority w:val="99"/>
    <w:rsid w:val="00E73314"/>
    <w:pPr>
      <w:numPr>
        <w:numId w:val="18"/>
      </w:numPr>
      <w:tabs>
        <w:tab w:val="clear" w:pos="360"/>
        <w:tab w:val="num" w:pos="757"/>
        <w:tab w:val="left" w:pos="1440"/>
      </w:tabs>
      <w:spacing w:before="0" w:after="240" w:line="240" w:lineRule="auto"/>
      <w:ind w:left="737" w:hanging="340"/>
    </w:pPr>
    <w:rPr>
      <w:rFonts w:ascii="Times New Roman" w:eastAsia="Times New Roman" w:hAnsi="Times New Roman"/>
      <w:i/>
      <w:iCs/>
      <w:sz w:val="24"/>
      <w:szCs w:val="24"/>
      <w:lang w:eastAsia="en-AU"/>
    </w:rPr>
  </w:style>
  <w:style w:type="table" w:customStyle="1" w:styleId="TableTGAblue2">
    <w:name w:val="Table TGA blue2"/>
    <w:basedOn w:val="TableNormal"/>
    <w:uiPriority w:val="99"/>
    <w:qFormat/>
    <w:rsid w:val="00E73314"/>
    <w:rPr>
      <w:szCs w:val="21"/>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006DA7"/>
      </w:tcPr>
    </w:tblStylePr>
  </w:style>
  <w:style w:type="character" w:styleId="UnresolvedMention">
    <w:name w:val="Unresolved Mention"/>
    <w:basedOn w:val="DefaultParagraphFont"/>
    <w:uiPriority w:val="99"/>
    <w:semiHidden/>
    <w:unhideWhenUsed/>
    <w:rsid w:val="00E44F1E"/>
    <w:rPr>
      <w:color w:val="605E5C"/>
      <w:shd w:val="clear" w:color="auto" w:fill="E1DFDD"/>
    </w:rPr>
  </w:style>
  <w:style w:type="paragraph" w:styleId="TOC8">
    <w:name w:val="toc 8"/>
    <w:basedOn w:val="Normal"/>
    <w:next w:val="Normal"/>
    <w:autoRedefine/>
    <w:uiPriority w:val="39"/>
    <w:semiHidden/>
    <w:unhideWhenUsed/>
    <w:rsid w:val="00AC5FA7"/>
    <w:pPr>
      <w:spacing w:after="100"/>
      <w:ind w:left="1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786088">
      <w:bodyDiv w:val="1"/>
      <w:marLeft w:val="0"/>
      <w:marRight w:val="0"/>
      <w:marTop w:val="0"/>
      <w:marBottom w:val="0"/>
      <w:divBdr>
        <w:top w:val="none" w:sz="0" w:space="0" w:color="auto"/>
        <w:left w:val="none" w:sz="0" w:space="0" w:color="auto"/>
        <w:bottom w:val="none" w:sz="0" w:space="0" w:color="auto"/>
        <w:right w:val="none" w:sz="0" w:space="0" w:color="auto"/>
      </w:divBdr>
    </w:div>
    <w:div w:id="236133604">
      <w:bodyDiv w:val="1"/>
      <w:marLeft w:val="0"/>
      <w:marRight w:val="0"/>
      <w:marTop w:val="0"/>
      <w:marBottom w:val="0"/>
      <w:divBdr>
        <w:top w:val="none" w:sz="0" w:space="0" w:color="auto"/>
        <w:left w:val="none" w:sz="0" w:space="0" w:color="auto"/>
        <w:bottom w:val="none" w:sz="0" w:space="0" w:color="auto"/>
        <w:right w:val="none" w:sz="0" w:space="0" w:color="auto"/>
      </w:divBdr>
      <w:divsChild>
        <w:div w:id="1439183926">
          <w:marLeft w:val="0"/>
          <w:marRight w:val="0"/>
          <w:marTop w:val="0"/>
          <w:marBottom w:val="0"/>
          <w:divBdr>
            <w:top w:val="none" w:sz="0" w:space="0" w:color="auto"/>
            <w:left w:val="none" w:sz="0" w:space="0" w:color="auto"/>
            <w:bottom w:val="none" w:sz="0" w:space="0" w:color="auto"/>
            <w:right w:val="none" w:sz="0" w:space="0" w:color="auto"/>
          </w:divBdr>
        </w:div>
      </w:divsChild>
    </w:div>
    <w:div w:id="553199268">
      <w:bodyDiv w:val="1"/>
      <w:marLeft w:val="0"/>
      <w:marRight w:val="0"/>
      <w:marTop w:val="0"/>
      <w:marBottom w:val="0"/>
      <w:divBdr>
        <w:top w:val="none" w:sz="0" w:space="0" w:color="auto"/>
        <w:left w:val="none" w:sz="0" w:space="0" w:color="auto"/>
        <w:bottom w:val="none" w:sz="0" w:space="0" w:color="auto"/>
        <w:right w:val="none" w:sz="0" w:space="0" w:color="auto"/>
      </w:divBdr>
    </w:div>
    <w:div w:id="848642115">
      <w:bodyDiv w:val="1"/>
      <w:marLeft w:val="0"/>
      <w:marRight w:val="0"/>
      <w:marTop w:val="0"/>
      <w:marBottom w:val="0"/>
      <w:divBdr>
        <w:top w:val="none" w:sz="0" w:space="0" w:color="auto"/>
        <w:left w:val="none" w:sz="0" w:space="0" w:color="auto"/>
        <w:bottom w:val="none" w:sz="0" w:space="0" w:color="auto"/>
        <w:right w:val="none" w:sz="0" w:space="0" w:color="auto"/>
      </w:divBdr>
    </w:div>
    <w:div w:id="943348303">
      <w:bodyDiv w:val="1"/>
      <w:marLeft w:val="0"/>
      <w:marRight w:val="0"/>
      <w:marTop w:val="0"/>
      <w:marBottom w:val="0"/>
      <w:divBdr>
        <w:top w:val="none" w:sz="0" w:space="0" w:color="auto"/>
        <w:left w:val="none" w:sz="0" w:space="0" w:color="auto"/>
        <w:bottom w:val="none" w:sz="0" w:space="0" w:color="auto"/>
        <w:right w:val="none" w:sz="0" w:space="0" w:color="auto"/>
      </w:divBdr>
    </w:div>
    <w:div w:id="989166881">
      <w:bodyDiv w:val="1"/>
      <w:marLeft w:val="0"/>
      <w:marRight w:val="0"/>
      <w:marTop w:val="0"/>
      <w:marBottom w:val="0"/>
      <w:divBdr>
        <w:top w:val="none" w:sz="0" w:space="0" w:color="auto"/>
        <w:left w:val="none" w:sz="0" w:space="0" w:color="auto"/>
        <w:bottom w:val="none" w:sz="0" w:space="0" w:color="auto"/>
        <w:right w:val="none" w:sz="0" w:space="0" w:color="auto"/>
      </w:divBdr>
    </w:div>
    <w:div w:id="1171066873">
      <w:bodyDiv w:val="1"/>
      <w:marLeft w:val="0"/>
      <w:marRight w:val="0"/>
      <w:marTop w:val="0"/>
      <w:marBottom w:val="0"/>
      <w:divBdr>
        <w:top w:val="none" w:sz="0" w:space="0" w:color="auto"/>
        <w:left w:val="none" w:sz="0" w:space="0" w:color="auto"/>
        <w:bottom w:val="none" w:sz="0" w:space="0" w:color="auto"/>
        <w:right w:val="none" w:sz="0" w:space="0" w:color="auto"/>
      </w:divBdr>
    </w:div>
    <w:div w:id="1218779523">
      <w:bodyDiv w:val="1"/>
      <w:marLeft w:val="0"/>
      <w:marRight w:val="0"/>
      <w:marTop w:val="0"/>
      <w:marBottom w:val="0"/>
      <w:divBdr>
        <w:top w:val="none" w:sz="0" w:space="0" w:color="auto"/>
        <w:left w:val="none" w:sz="0" w:space="0" w:color="auto"/>
        <w:bottom w:val="none" w:sz="0" w:space="0" w:color="auto"/>
        <w:right w:val="none" w:sz="0" w:space="0" w:color="auto"/>
      </w:divBdr>
    </w:div>
    <w:div w:id="1461454495">
      <w:bodyDiv w:val="1"/>
      <w:marLeft w:val="0"/>
      <w:marRight w:val="0"/>
      <w:marTop w:val="0"/>
      <w:marBottom w:val="0"/>
      <w:divBdr>
        <w:top w:val="none" w:sz="0" w:space="0" w:color="auto"/>
        <w:left w:val="none" w:sz="0" w:space="0" w:color="auto"/>
        <w:bottom w:val="none" w:sz="0" w:space="0" w:color="auto"/>
        <w:right w:val="none" w:sz="0" w:space="0" w:color="auto"/>
      </w:divBdr>
    </w:div>
    <w:div w:id="1647196541">
      <w:bodyDiv w:val="1"/>
      <w:marLeft w:val="0"/>
      <w:marRight w:val="0"/>
      <w:marTop w:val="0"/>
      <w:marBottom w:val="0"/>
      <w:divBdr>
        <w:top w:val="none" w:sz="0" w:space="0" w:color="auto"/>
        <w:left w:val="none" w:sz="0" w:space="0" w:color="auto"/>
        <w:bottom w:val="none" w:sz="0" w:space="0" w:color="auto"/>
        <w:right w:val="none" w:sz="0" w:space="0" w:color="auto"/>
      </w:divBdr>
    </w:div>
    <w:div w:id="1658873431">
      <w:bodyDiv w:val="1"/>
      <w:marLeft w:val="0"/>
      <w:marRight w:val="0"/>
      <w:marTop w:val="0"/>
      <w:marBottom w:val="0"/>
      <w:divBdr>
        <w:top w:val="none" w:sz="0" w:space="0" w:color="auto"/>
        <w:left w:val="none" w:sz="0" w:space="0" w:color="auto"/>
        <w:bottom w:val="none" w:sz="0" w:space="0" w:color="auto"/>
        <w:right w:val="none" w:sz="0" w:space="0" w:color="auto"/>
      </w:divBdr>
    </w:div>
    <w:div w:id="1791514913">
      <w:bodyDiv w:val="1"/>
      <w:marLeft w:val="0"/>
      <w:marRight w:val="0"/>
      <w:marTop w:val="0"/>
      <w:marBottom w:val="0"/>
      <w:divBdr>
        <w:top w:val="none" w:sz="0" w:space="0" w:color="auto"/>
        <w:left w:val="none" w:sz="0" w:space="0" w:color="auto"/>
        <w:bottom w:val="none" w:sz="0" w:space="0" w:color="auto"/>
        <w:right w:val="none" w:sz="0" w:space="0" w:color="auto"/>
      </w:divBdr>
    </w:div>
    <w:div w:id="1795444495">
      <w:bodyDiv w:val="1"/>
      <w:marLeft w:val="0"/>
      <w:marRight w:val="0"/>
      <w:marTop w:val="0"/>
      <w:marBottom w:val="0"/>
      <w:divBdr>
        <w:top w:val="none" w:sz="0" w:space="0" w:color="auto"/>
        <w:left w:val="none" w:sz="0" w:space="0" w:color="auto"/>
        <w:bottom w:val="none" w:sz="0" w:space="0" w:color="auto"/>
        <w:right w:val="none" w:sz="0" w:space="0" w:color="auto"/>
      </w:divBdr>
    </w:div>
    <w:div w:id="1946495416">
      <w:bodyDiv w:val="1"/>
      <w:marLeft w:val="0"/>
      <w:marRight w:val="0"/>
      <w:marTop w:val="0"/>
      <w:marBottom w:val="0"/>
      <w:divBdr>
        <w:top w:val="none" w:sz="0" w:space="0" w:color="auto"/>
        <w:left w:val="none" w:sz="0" w:space="0" w:color="auto"/>
        <w:bottom w:val="none" w:sz="0" w:space="0" w:color="auto"/>
        <w:right w:val="none" w:sz="0" w:space="0" w:color="auto"/>
      </w:divBdr>
    </w:div>
    <w:div w:id="214310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tga.gov.au/publication/scheduling-handbook-guidance-amending-poisons-standard"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tga.gov.au/publication/ahmac-scheduling-policy-framework-medicines-and-chemicals" TargetMode="Externa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tga.copyright@tga.gov.au"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mic\AppData\Local\Hewlett-Packard\HP%20TRIM\TEMP\HPTRIM.7372\R14%201178772%20%20Template%20%23011%20-%20Minutes%20-%20ACMS.DOTX" TargetMode="External"/></Relationships>
</file>

<file path=word/theme/theme1.xml><?xml version="1.0" encoding="utf-8"?>
<a:theme xmlns:a="http://schemas.openxmlformats.org/drawingml/2006/main" name="TGA">
  <a:themeElements>
    <a:clrScheme name="TGA Theme">
      <a:dk1>
        <a:srgbClr val="002C47"/>
      </a:dk1>
      <a:lt1>
        <a:srgbClr val="FFFFFF"/>
      </a:lt1>
      <a:dk2>
        <a:srgbClr val="002C47"/>
      </a:dk2>
      <a:lt2>
        <a:srgbClr val="FFFFFF"/>
      </a:lt2>
      <a:accent1>
        <a:srgbClr val="006EA8"/>
      </a:accent1>
      <a:accent2>
        <a:srgbClr val="A5ABB2"/>
      </a:accent2>
      <a:accent3>
        <a:srgbClr val="016665"/>
      </a:accent3>
      <a:accent4>
        <a:srgbClr val="B3C95F"/>
      </a:accent4>
      <a:accent5>
        <a:srgbClr val="274520"/>
      </a:accent5>
      <a:accent6>
        <a:srgbClr val="9A86B7"/>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9E82D-5896-489A-ADE3-E2CC387FF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R14 1178772  Template #011 - Minutes - ACMS.DOTX</Template>
  <TotalTime>3416</TotalTime>
  <Pages>12</Pages>
  <Words>3054</Words>
  <Characters>17414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amendments to the Poisons Standard in relation to New Chemical Entities (NCEs) and Delegate-only decisions</dc:title>
  <dc:creator>Therapeutic Goods Administration</dc:creator>
  <dc:description/>
  <cp:lastModifiedBy>PITKIN, Brendan</cp:lastModifiedBy>
  <cp:revision>149</cp:revision>
  <cp:lastPrinted>2020-05-01T05:17:00Z</cp:lastPrinted>
  <dcterms:created xsi:type="dcterms:W3CDTF">2021-12-21T00:27:00Z</dcterms:created>
  <dcterms:modified xsi:type="dcterms:W3CDTF">2022-04-13T00:43:00Z</dcterms:modified>
</cp:coreProperties>
</file>