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24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5660C" w14:paraId="487E857D" w14:textId="77777777" w:rsidTr="00EB4571">
        <w:tc>
          <w:tcPr>
            <w:tcW w:w="8720" w:type="dxa"/>
          </w:tcPr>
          <w:p w14:paraId="158C7559" w14:textId="5ECA0141" w:rsidR="0025660C" w:rsidRPr="00077548" w:rsidRDefault="00BD05E9" w:rsidP="00694998">
            <w:pPr>
              <w:pStyle w:val="Title"/>
              <w:spacing w:before="360"/>
            </w:pPr>
            <w:r>
              <w:t>Notifi</w:t>
            </w:r>
            <w:r w:rsidR="00CC66CA">
              <w:t>c</w:t>
            </w:r>
            <w:r>
              <w:t>ation</w:t>
            </w:r>
            <w:r w:rsidRPr="00597B50">
              <w:t xml:space="preserve"> </w:t>
            </w:r>
            <w:r w:rsidR="00597B50" w:rsidRPr="00597B50">
              <w:t xml:space="preserve">of </w:t>
            </w:r>
            <w:r w:rsidR="00842746">
              <w:t>amendments</w:t>
            </w:r>
            <w:r w:rsidR="00AD2969">
              <w:t xml:space="preserve"> </w:t>
            </w:r>
            <w:r w:rsidR="00842746">
              <w:t xml:space="preserve">to the </w:t>
            </w:r>
            <w:r w:rsidR="00597B50" w:rsidRPr="00597B50">
              <w:t>Poisons Standard</w:t>
            </w:r>
            <w:r w:rsidR="00AD2969">
              <w:t xml:space="preserve"> in relatio</w:t>
            </w:r>
            <w:r w:rsidR="00B37BA4">
              <w:t>n to New Chemical Entities (NCE</w:t>
            </w:r>
            <w:r w:rsidR="00AD2969">
              <w:t>s</w:t>
            </w:r>
            <w:r w:rsidR="00B37BA4">
              <w:t>)</w:t>
            </w:r>
            <w:r w:rsidR="0075678F">
              <w:t xml:space="preserve"> and Delegate-only </w:t>
            </w:r>
            <w:r w:rsidR="006A70C4">
              <w:t>decisions</w:t>
            </w:r>
          </w:p>
        </w:tc>
      </w:tr>
      <w:tr w:rsidR="0025660C" w14:paraId="3393FE2A" w14:textId="77777777" w:rsidTr="00EB4571">
        <w:trPr>
          <w:trHeight w:val="810"/>
        </w:trPr>
        <w:tc>
          <w:tcPr>
            <w:tcW w:w="8720" w:type="dxa"/>
          </w:tcPr>
          <w:p w14:paraId="38D3E20E" w14:textId="50963393" w:rsidR="0025660C" w:rsidRPr="00077548" w:rsidRDefault="00FE6040" w:rsidP="00ED6B23">
            <w:pPr>
              <w:pStyle w:val="Subtitle"/>
              <w:tabs>
                <w:tab w:val="left" w:pos="5310"/>
              </w:tabs>
              <w:ind w:left="0"/>
            </w:pPr>
            <w:r w:rsidRPr="00FE6040">
              <w:t>24</w:t>
            </w:r>
            <w:r w:rsidR="006A70C4" w:rsidRPr="00FE6040">
              <w:t xml:space="preserve"> </w:t>
            </w:r>
            <w:r w:rsidR="00B4289C" w:rsidRPr="00FE6040">
              <w:t>January</w:t>
            </w:r>
            <w:r w:rsidR="006A70C4" w:rsidRPr="00FE6040">
              <w:t xml:space="preserve"> 202</w:t>
            </w:r>
            <w:r w:rsidR="00B4289C" w:rsidRPr="00FE6040">
              <w:t>2</w:t>
            </w:r>
          </w:p>
        </w:tc>
      </w:tr>
    </w:tbl>
    <w:p w14:paraId="6D852DDD" w14:textId="3F8D50F0" w:rsidR="0025660C" w:rsidRDefault="0025660C" w:rsidP="0025660C">
      <w:pPr>
        <w:sectPr w:rsidR="0025660C" w:rsidSect="00E57B71">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361" w:left="1418" w:header="851" w:footer="768" w:gutter="0"/>
          <w:cols w:space="708"/>
          <w:titlePg/>
          <w:docGrid w:linePitch="360"/>
        </w:sectPr>
      </w:pPr>
    </w:p>
    <w:p w14:paraId="30F6686F" w14:textId="02FB7BF9" w:rsidR="007907BF" w:rsidRPr="005D4EA1" w:rsidRDefault="007907BF" w:rsidP="007907BF">
      <w:pPr>
        <w:pStyle w:val="LegalSubheading"/>
        <w:pageBreakBefore/>
      </w:pPr>
      <w:r w:rsidRPr="00691723">
        <w:lastRenderedPageBreak/>
        <w:t>Copyright</w:t>
      </w:r>
    </w:p>
    <w:p w14:paraId="781131BA" w14:textId="2A38622A" w:rsidR="007907BF" w:rsidRDefault="007907BF" w:rsidP="007907BF">
      <w:pPr>
        <w:pStyle w:val="LegalCopy"/>
      </w:pPr>
      <w:r w:rsidRPr="009401F6">
        <w:t>© Commonwealth of Australia 20</w:t>
      </w:r>
      <w:r w:rsidR="0075678F">
        <w:t>2</w:t>
      </w:r>
      <w:r w:rsidR="00B4289C">
        <w:t>2</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9401F6">
          <w:rPr>
            <w:rStyle w:val="Hyperlink"/>
            <w:rFonts w:cs="Arial"/>
          </w:rPr>
          <w:t>tga.copyright@tga.gov.au</w:t>
        </w:r>
      </w:hyperlink>
      <w:r w:rsidRPr="009401F6">
        <w:t>&gt;</w:t>
      </w:r>
    </w:p>
    <w:p w14:paraId="48F61410" w14:textId="22E93990" w:rsidR="0025660C" w:rsidRPr="00766888" w:rsidRDefault="00597B50" w:rsidP="00ED6B23">
      <w:pPr>
        <w:pStyle w:val="LegalCopy"/>
        <w:tabs>
          <w:tab w:val="clear" w:pos="4513"/>
          <w:tab w:val="clear" w:pos="9026"/>
          <w:tab w:val="left" w:pos="2027"/>
        </w:tabs>
        <w:spacing w:before="12000"/>
      </w:pPr>
      <w:r>
        <w:lastRenderedPageBreak/>
        <w:tab/>
      </w:r>
    </w:p>
    <w:bookmarkStart w:id="0" w:name="_Toc323740419" w:displacedByCustomXml="next"/>
    <w:bookmarkStart w:id="1" w:name="_Toc328388475" w:displacedByCustomXml="next"/>
    <w:bookmarkStart w:id="2" w:name="_Toc323740418" w:displacedByCustomXml="next"/>
    <w:sdt>
      <w:sdtPr>
        <w:rPr>
          <w:rFonts w:ascii="Arial" w:hAnsi="Arial"/>
          <w:b/>
          <w:sz w:val="20"/>
        </w:rPr>
        <w:id w:val="21514559"/>
        <w:docPartObj>
          <w:docPartGallery w:val="Table of Contents"/>
          <w:docPartUnique/>
        </w:docPartObj>
      </w:sdtPr>
      <w:sdtEndPr>
        <w:rPr>
          <w:rFonts w:ascii="Cambria" w:hAnsi="Cambria"/>
          <w:b w:val="0"/>
        </w:rPr>
      </w:sdtEndPr>
      <w:sdtContent>
        <w:p w14:paraId="79997605" w14:textId="77777777" w:rsidR="00441972" w:rsidRDefault="0025660C">
          <w:pPr>
            <w:pStyle w:val="TOC2"/>
            <w:tabs>
              <w:tab w:val="left" w:pos="851"/>
            </w:tabs>
            <w:rPr>
              <w:rFonts w:asciiTheme="majorHAnsi" w:hAnsiTheme="majorHAnsi" w:cstheme="majorHAnsi"/>
              <w:sz w:val="28"/>
              <w:szCs w:val="28"/>
            </w:rPr>
          </w:pPr>
          <w:r w:rsidRPr="005D16DC">
            <w:rPr>
              <w:rFonts w:asciiTheme="majorHAnsi" w:hAnsiTheme="majorHAnsi" w:cstheme="majorHAnsi"/>
              <w:sz w:val="28"/>
              <w:szCs w:val="28"/>
            </w:rPr>
            <w:t>Contents</w:t>
          </w:r>
        </w:p>
        <w:p w14:paraId="66BAF973" w14:textId="6FFCAE1A" w:rsidR="00BD520E" w:rsidRDefault="008D3724">
          <w:pPr>
            <w:pStyle w:val="TOC2"/>
            <w:tabs>
              <w:tab w:val="left" w:pos="851"/>
            </w:tabs>
            <w:rPr>
              <w:rFonts w:asciiTheme="minorHAnsi" w:eastAsiaTheme="minorEastAsia" w:hAnsiTheme="minorHAnsi" w:cstheme="minorBidi"/>
              <w:noProof/>
              <w:szCs w:val="22"/>
              <w:lang w:eastAsia="en-AU"/>
            </w:rPr>
          </w:pPr>
          <w:r>
            <w:rPr>
              <w:sz w:val="32"/>
            </w:rPr>
            <w:fldChar w:fldCharType="begin"/>
          </w:r>
          <w:r>
            <w:rPr>
              <w:sz w:val="32"/>
            </w:rPr>
            <w:instrText xml:space="preserve"> TOC \o "1-3" \h \z \u </w:instrText>
          </w:r>
          <w:r>
            <w:rPr>
              <w:sz w:val="32"/>
            </w:rPr>
            <w:fldChar w:fldCharType="separate"/>
          </w:r>
          <w:hyperlink w:anchor="_Toc93916037" w:history="1">
            <w:r w:rsidR="00BD520E" w:rsidRPr="002D6C6A">
              <w:rPr>
                <w:rStyle w:val="Hyperlink"/>
                <w:noProof/>
              </w:rPr>
              <w:t>1</w:t>
            </w:r>
            <w:r w:rsidR="00BD520E">
              <w:rPr>
                <w:rFonts w:asciiTheme="minorHAnsi" w:eastAsiaTheme="minorEastAsia" w:hAnsiTheme="minorHAnsi" w:cstheme="minorBidi"/>
                <w:noProof/>
                <w:szCs w:val="22"/>
                <w:lang w:eastAsia="en-AU"/>
              </w:rPr>
              <w:tab/>
            </w:r>
            <w:r w:rsidR="00BD520E" w:rsidRPr="002D6C6A">
              <w:rPr>
                <w:rStyle w:val="Hyperlink"/>
                <w:noProof/>
              </w:rPr>
              <w:t>Notice of Decisions to amend the current Poisons Standard</w:t>
            </w:r>
            <w:r w:rsidR="00BD520E">
              <w:rPr>
                <w:noProof/>
                <w:webHidden/>
              </w:rPr>
              <w:tab/>
            </w:r>
            <w:r w:rsidR="00BD520E">
              <w:rPr>
                <w:noProof/>
                <w:webHidden/>
              </w:rPr>
              <w:fldChar w:fldCharType="begin"/>
            </w:r>
            <w:r w:rsidR="00BD520E">
              <w:rPr>
                <w:noProof/>
                <w:webHidden/>
              </w:rPr>
              <w:instrText xml:space="preserve"> PAGEREF _Toc93916037 \h </w:instrText>
            </w:r>
            <w:r w:rsidR="00BD520E">
              <w:rPr>
                <w:noProof/>
                <w:webHidden/>
              </w:rPr>
            </w:r>
            <w:r w:rsidR="00BD520E">
              <w:rPr>
                <w:noProof/>
                <w:webHidden/>
              </w:rPr>
              <w:fldChar w:fldCharType="separate"/>
            </w:r>
            <w:r w:rsidR="00BD520E">
              <w:rPr>
                <w:noProof/>
                <w:webHidden/>
              </w:rPr>
              <w:t>4</w:t>
            </w:r>
            <w:r w:rsidR="00BD520E">
              <w:rPr>
                <w:noProof/>
                <w:webHidden/>
              </w:rPr>
              <w:fldChar w:fldCharType="end"/>
            </w:r>
          </w:hyperlink>
        </w:p>
        <w:p w14:paraId="2E00A4B1" w14:textId="4C4A78D0" w:rsidR="00BD520E" w:rsidRDefault="00BD520E">
          <w:pPr>
            <w:pStyle w:val="TOC2"/>
            <w:tabs>
              <w:tab w:val="left" w:pos="851"/>
            </w:tabs>
            <w:rPr>
              <w:rFonts w:asciiTheme="minorHAnsi" w:eastAsiaTheme="minorEastAsia" w:hAnsiTheme="minorHAnsi" w:cstheme="minorBidi"/>
              <w:noProof/>
              <w:szCs w:val="22"/>
              <w:lang w:eastAsia="en-AU"/>
            </w:rPr>
          </w:pPr>
          <w:hyperlink w:anchor="_Toc93916038" w:history="1">
            <w:r w:rsidRPr="002D6C6A">
              <w:rPr>
                <w:rStyle w:val="Hyperlink"/>
                <w:noProof/>
              </w:rPr>
              <w:t>2</w:t>
            </w:r>
            <w:r>
              <w:rPr>
                <w:rFonts w:asciiTheme="minorHAnsi" w:eastAsiaTheme="minorEastAsia" w:hAnsiTheme="minorHAnsi" w:cstheme="minorBidi"/>
                <w:noProof/>
                <w:szCs w:val="22"/>
                <w:lang w:eastAsia="en-AU"/>
              </w:rPr>
              <w:tab/>
            </w:r>
            <w:r w:rsidRPr="002D6C6A">
              <w:rPr>
                <w:rStyle w:val="Hyperlink"/>
                <w:noProof/>
              </w:rPr>
              <w:t>Amendments to the Poison Standard in relation to New Chemical Entities (NCEs)</w:t>
            </w:r>
            <w:r>
              <w:rPr>
                <w:noProof/>
                <w:webHidden/>
              </w:rPr>
              <w:tab/>
            </w:r>
            <w:r>
              <w:rPr>
                <w:noProof/>
                <w:webHidden/>
              </w:rPr>
              <w:fldChar w:fldCharType="begin"/>
            </w:r>
            <w:r>
              <w:rPr>
                <w:noProof/>
                <w:webHidden/>
              </w:rPr>
              <w:instrText xml:space="preserve"> PAGEREF _Toc93916038 \h </w:instrText>
            </w:r>
            <w:r>
              <w:rPr>
                <w:noProof/>
                <w:webHidden/>
              </w:rPr>
            </w:r>
            <w:r>
              <w:rPr>
                <w:noProof/>
                <w:webHidden/>
              </w:rPr>
              <w:fldChar w:fldCharType="separate"/>
            </w:r>
            <w:r>
              <w:rPr>
                <w:noProof/>
                <w:webHidden/>
              </w:rPr>
              <w:t>5</w:t>
            </w:r>
            <w:r>
              <w:rPr>
                <w:noProof/>
                <w:webHidden/>
              </w:rPr>
              <w:fldChar w:fldCharType="end"/>
            </w:r>
          </w:hyperlink>
        </w:p>
        <w:p w14:paraId="69BAF410" w14:textId="7375F409" w:rsidR="00BD520E" w:rsidRDefault="00BD520E">
          <w:pPr>
            <w:pStyle w:val="TOC3"/>
            <w:tabs>
              <w:tab w:val="left" w:pos="1701"/>
            </w:tabs>
            <w:rPr>
              <w:rFonts w:asciiTheme="minorHAnsi" w:eastAsiaTheme="minorEastAsia" w:hAnsiTheme="minorHAnsi" w:cstheme="minorBidi"/>
              <w:noProof/>
              <w:sz w:val="22"/>
              <w:szCs w:val="22"/>
              <w:lang w:eastAsia="en-AU"/>
            </w:rPr>
          </w:pPr>
          <w:hyperlink w:anchor="_Toc93916039" w:history="1">
            <w:r w:rsidRPr="002D6C6A">
              <w:rPr>
                <w:rStyle w:val="Hyperlink"/>
                <w:noProof/>
              </w:rPr>
              <w:t>2.1</w:t>
            </w:r>
            <w:r>
              <w:rPr>
                <w:rFonts w:asciiTheme="minorHAnsi" w:eastAsiaTheme="minorEastAsia" w:hAnsiTheme="minorHAnsi" w:cstheme="minorBidi"/>
                <w:noProof/>
                <w:sz w:val="22"/>
                <w:szCs w:val="22"/>
                <w:lang w:eastAsia="en-AU"/>
              </w:rPr>
              <w:tab/>
            </w:r>
            <w:r w:rsidRPr="002D6C6A">
              <w:rPr>
                <w:rStyle w:val="Hyperlink"/>
                <w:noProof/>
              </w:rPr>
              <w:t>Infigratinib</w:t>
            </w:r>
            <w:r>
              <w:rPr>
                <w:noProof/>
                <w:webHidden/>
              </w:rPr>
              <w:tab/>
            </w:r>
            <w:r>
              <w:rPr>
                <w:noProof/>
                <w:webHidden/>
              </w:rPr>
              <w:fldChar w:fldCharType="begin"/>
            </w:r>
            <w:r>
              <w:rPr>
                <w:noProof/>
                <w:webHidden/>
              </w:rPr>
              <w:instrText xml:space="preserve"> PAGEREF _Toc93916039 \h </w:instrText>
            </w:r>
            <w:r>
              <w:rPr>
                <w:noProof/>
                <w:webHidden/>
              </w:rPr>
            </w:r>
            <w:r>
              <w:rPr>
                <w:noProof/>
                <w:webHidden/>
              </w:rPr>
              <w:fldChar w:fldCharType="separate"/>
            </w:r>
            <w:r>
              <w:rPr>
                <w:noProof/>
                <w:webHidden/>
              </w:rPr>
              <w:t>5</w:t>
            </w:r>
            <w:r>
              <w:rPr>
                <w:noProof/>
                <w:webHidden/>
              </w:rPr>
              <w:fldChar w:fldCharType="end"/>
            </w:r>
          </w:hyperlink>
        </w:p>
        <w:p w14:paraId="4431FAE1" w14:textId="537F61D5" w:rsidR="00BD520E" w:rsidRDefault="00BD520E">
          <w:pPr>
            <w:pStyle w:val="TOC3"/>
            <w:tabs>
              <w:tab w:val="left" w:pos="1701"/>
            </w:tabs>
            <w:rPr>
              <w:rFonts w:asciiTheme="minorHAnsi" w:eastAsiaTheme="minorEastAsia" w:hAnsiTheme="minorHAnsi" w:cstheme="minorBidi"/>
              <w:noProof/>
              <w:sz w:val="22"/>
              <w:szCs w:val="22"/>
              <w:lang w:eastAsia="en-AU"/>
            </w:rPr>
          </w:pPr>
          <w:hyperlink w:anchor="_Toc93916040" w:history="1">
            <w:r w:rsidRPr="002D6C6A">
              <w:rPr>
                <w:rStyle w:val="Hyperlink"/>
                <w:noProof/>
              </w:rPr>
              <w:t>2.2</w:t>
            </w:r>
            <w:r>
              <w:rPr>
                <w:rFonts w:asciiTheme="minorHAnsi" w:eastAsiaTheme="minorEastAsia" w:hAnsiTheme="minorHAnsi" w:cstheme="minorBidi"/>
                <w:noProof/>
                <w:sz w:val="22"/>
                <w:szCs w:val="22"/>
                <w:lang w:eastAsia="en-AU"/>
              </w:rPr>
              <w:tab/>
            </w:r>
            <w:r w:rsidRPr="002D6C6A">
              <w:rPr>
                <w:rStyle w:val="Hyperlink"/>
                <w:noProof/>
              </w:rPr>
              <w:t>Ponesimod</w:t>
            </w:r>
            <w:r>
              <w:rPr>
                <w:noProof/>
                <w:webHidden/>
              </w:rPr>
              <w:tab/>
            </w:r>
            <w:r>
              <w:rPr>
                <w:noProof/>
                <w:webHidden/>
              </w:rPr>
              <w:fldChar w:fldCharType="begin"/>
            </w:r>
            <w:r>
              <w:rPr>
                <w:noProof/>
                <w:webHidden/>
              </w:rPr>
              <w:instrText xml:space="preserve"> PAGEREF _Toc93916040 \h </w:instrText>
            </w:r>
            <w:r>
              <w:rPr>
                <w:noProof/>
                <w:webHidden/>
              </w:rPr>
            </w:r>
            <w:r>
              <w:rPr>
                <w:noProof/>
                <w:webHidden/>
              </w:rPr>
              <w:fldChar w:fldCharType="separate"/>
            </w:r>
            <w:r>
              <w:rPr>
                <w:noProof/>
                <w:webHidden/>
              </w:rPr>
              <w:t>5</w:t>
            </w:r>
            <w:r>
              <w:rPr>
                <w:noProof/>
                <w:webHidden/>
              </w:rPr>
              <w:fldChar w:fldCharType="end"/>
            </w:r>
          </w:hyperlink>
        </w:p>
        <w:p w14:paraId="4C726740" w14:textId="76D29335" w:rsidR="00BD520E" w:rsidRDefault="00BD520E">
          <w:pPr>
            <w:pStyle w:val="TOC3"/>
            <w:tabs>
              <w:tab w:val="left" w:pos="1701"/>
            </w:tabs>
            <w:rPr>
              <w:rFonts w:asciiTheme="minorHAnsi" w:eastAsiaTheme="minorEastAsia" w:hAnsiTheme="minorHAnsi" w:cstheme="minorBidi"/>
              <w:noProof/>
              <w:sz w:val="22"/>
              <w:szCs w:val="22"/>
              <w:lang w:eastAsia="en-AU"/>
            </w:rPr>
          </w:pPr>
          <w:hyperlink w:anchor="_Toc93916041" w:history="1">
            <w:r w:rsidRPr="002D6C6A">
              <w:rPr>
                <w:rStyle w:val="Hyperlink"/>
                <w:noProof/>
              </w:rPr>
              <w:t>2.3</w:t>
            </w:r>
            <w:r>
              <w:rPr>
                <w:rFonts w:asciiTheme="minorHAnsi" w:eastAsiaTheme="minorEastAsia" w:hAnsiTheme="minorHAnsi" w:cstheme="minorBidi"/>
                <w:noProof/>
                <w:sz w:val="22"/>
                <w:szCs w:val="22"/>
                <w:lang w:eastAsia="en-AU"/>
              </w:rPr>
              <w:tab/>
            </w:r>
            <w:r w:rsidRPr="002D6C6A">
              <w:rPr>
                <w:rStyle w:val="Hyperlink"/>
                <w:noProof/>
              </w:rPr>
              <w:t>Selumetinib</w:t>
            </w:r>
            <w:r>
              <w:rPr>
                <w:noProof/>
                <w:webHidden/>
              </w:rPr>
              <w:tab/>
            </w:r>
            <w:r>
              <w:rPr>
                <w:noProof/>
                <w:webHidden/>
              </w:rPr>
              <w:fldChar w:fldCharType="begin"/>
            </w:r>
            <w:r>
              <w:rPr>
                <w:noProof/>
                <w:webHidden/>
              </w:rPr>
              <w:instrText xml:space="preserve"> PAGEREF _Toc93916041 \h </w:instrText>
            </w:r>
            <w:r>
              <w:rPr>
                <w:noProof/>
                <w:webHidden/>
              </w:rPr>
            </w:r>
            <w:r>
              <w:rPr>
                <w:noProof/>
                <w:webHidden/>
              </w:rPr>
              <w:fldChar w:fldCharType="separate"/>
            </w:r>
            <w:r>
              <w:rPr>
                <w:noProof/>
                <w:webHidden/>
              </w:rPr>
              <w:t>5</w:t>
            </w:r>
            <w:r>
              <w:rPr>
                <w:noProof/>
                <w:webHidden/>
              </w:rPr>
              <w:fldChar w:fldCharType="end"/>
            </w:r>
          </w:hyperlink>
        </w:p>
        <w:p w14:paraId="5BEFD019" w14:textId="7242E141" w:rsidR="00BD520E" w:rsidRDefault="00BD520E">
          <w:pPr>
            <w:pStyle w:val="TOC3"/>
            <w:tabs>
              <w:tab w:val="left" w:pos="1701"/>
            </w:tabs>
            <w:rPr>
              <w:rFonts w:asciiTheme="minorHAnsi" w:eastAsiaTheme="minorEastAsia" w:hAnsiTheme="minorHAnsi" w:cstheme="minorBidi"/>
              <w:noProof/>
              <w:sz w:val="22"/>
              <w:szCs w:val="22"/>
              <w:lang w:eastAsia="en-AU"/>
            </w:rPr>
          </w:pPr>
          <w:hyperlink w:anchor="_Toc93916042" w:history="1">
            <w:r w:rsidRPr="002D6C6A">
              <w:rPr>
                <w:rStyle w:val="Hyperlink"/>
                <w:noProof/>
              </w:rPr>
              <w:t>2.4</w:t>
            </w:r>
            <w:r>
              <w:rPr>
                <w:rFonts w:asciiTheme="minorHAnsi" w:eastAsiaTheme="minorEastAsia" w:hAnsiTheme="minorHAnsi" w:cstheme="minorBidi"/>
                <w:noProof/>
                <w:sz w:val="22"/>
                <w:szCs w:val="22"/>
                <w:lang w:eastAsia="en-AU"/>
              </w:rPr>
              <w:tab/>
            </w:r>
            <w:r w:rsidRPr="002D6C6A">
              <w:rPr>
                <w:rStyle w:val="Hyperlink"/>
                <w:noProof/>
              </w:rPr>
              <w:t>Sotorasib</w:t>
            </w:r>
            <w:r>
              <w:rPr>
                <w:noProof/>
                <w:webHidden/>
              </w:rPr>
              <w:tab/>
            </w:r>
            <w:r>
              <w:rPr>
                <w:noProof/>
                <w:webHidden/>
              </w:rPr>
              <w:fldChar w:fldCharType="begin"/>
            </w:r>
            <w:r>
              <w:rPr>
                <w:noProof/>
                <w:webHidden/>
              </w:rPr>
              <w:instrText xml:space="preserve"> PAGEREF _Toc93916042 \h </w:instrText>
            </w:r>
            <w:r>
              <w:rPr>
                <w:noProof/>
                <w:webHidden/>
              </w:rPr>
            </w:r>
            <w:r>
              <w:rPr>
                <w:noProof/>
                <w:webHidden/>
              </w:rPr>
              <w:fldChar w:fldCharType="separate"/>
            </w:r>
            <w:r>
              <w:rPr>
                <w:noProof/>
                <w:webHidden/>
              </w:rPr>
              <w:t>6</w:t>
            </w:r>
            <w:r>
              <w:rPr>
                <w:noProof/>
                <w:webHidden/>
              </w:rPr>
              <w:fldChar w:fldCharType="end"/>
            </w:r>
          </w:hyperlink>
        </w:p>
        <w:p w14:paraId="1A0F44B9" w14:textId="5C0FE957" w:rsidR="00BD520E" w:rsidRDefault="00BD520E">
          <w:pPr>
            <w:pStyle w:val="TOC3"/>
            <w:tabs>
              <w:tab w:val="left" w:pos="1701"/>
            </w:tabs>
            <w:rPr>
              <w:rFonts w:asciiTheme="minorHAnsi" w:eastAsiaTheme="minorEastAsia" w:hAnsiTheme="minorHAnsi" w:cstheme="minorBidi"/>
              <w:noProof/>
              <w:sz w:val="22"/>
              <w:szCs w:val="22"/>
              <w:lang w:eastAsia="en-AU"/>
            </w:rPr>
          </w:pPr>
          <w:hyperlink w:anchor="_Toc93916043" w:history="1">
            <w:r w:rsidRPr="002D6C6A">
              <w:rPr>
                <w:rStyle w:val="Hyperlink"/>
                <w:noProof/>
              </w:rPr>
              <w:t>2.5</w:t>
            </w:r>
            <w:r>
              <w:rPr>
                <w:rFonts w:asciiTheme="minorHAnsi" w:eastAsiaTheme="minorEastAsia" w:hAnsiTheme="minorHAnsi" w:cstheme="minorBidi"/>
                <w:noProof/>
                <w:sz w:val="22"/>
                <w:szCs w:val="22"/>
                <w:lang w:eastAsia="en-AU"/>
              </w:rPr>
              <w:tab/>
            </w:r>
            <w:r w:rsidRPr="002D6C6A">
              <w:rPr>
                <w:rStyle w:val="Hyperlink"/>
                <w:noProof/>
              </w:rPr>
              <w:t>Molnupiravir</w:t>
            </w:r>
            <w:r>
              <w:rPr>
                <w:noProof/>
                <w:webHidden/>
              </w:rPr>
              <w:tab/>
            </w:r>
            <w:r>
              <w:rPr>
                <w:noProof/>
                <w:webHidden/>
              </w:rPr>
              <w:fldChar w:fldCharType="begin"/>
            </w:r>
            <w:r>
              <w:rPr>
                <w:noProof/>
                <w:webHidden/>
              </w:rPr>
              <w:instrText xml:space="preserve"> PAGEREF _Toc93916043 \h </w:instrText>
            </w:r>
            <w:r>
              <w:rPr>
                <w:noProof/>
                <w:webHidden/>
              </w:rPr>
            </w:r>
            <w:r>
              <w:rPr>
                <w:noProof/>
                <w:webHidden/>
              </w:rPr>
              <w:fldChar w:fldCharType="separate"/>
            </w:r>
            <w:r>
              <w:rPr>
                <w:noProof/>
                <w:webHidden/>
              </w:rPr>
              <w:t>6</w:t>
            </w:r>
            <w:r>
              <w:rPr>
                <w:noProof/>
                <w:webHidden/>
              </w:rPr>
              <w:fldChar w:fldCharType="end"/>
            </w:r>
          </w:hyperlink>
        </w:p>
        <w:p w14:paraId="56CC276D" w14:textId="7AAA6E5B" w:rsidR="00BD520E" w:rsidRDefault="00BD520E">
          <w:pPr>
            <w:pStyle w:val="TOC3"/>
            <w:tabs>
              <w:tab w:val="left" w:pos="1701"/>
            </w:tabs>
            <w:rPr>
              <w:rFonts w:asciiTheme="minorHAnsi" w:eastAsiaTheme="minorEastAsia" w:hAnsiTheme="minorHAnsi" w:cstheme="minorBidi"/>
              <w:noProof/>
              <w:sz w:val="22"/>
              <w:szCs w:val="22"/>
              <w:lang w:eastAsia="en-AU"/>
            </w:rPr>
          </w:pPr>
          <w:hyperlink w:anchor="_Toc93916044" w:history="1">
            <w:r w:rsidRPr="002D6C6A">
              <w:rPr>
                <w:rStyle w:val="Hyperlink"/>
                <w:noProof/>
              </w:rPr>
              <w:t>2.6</w:t>
            </w:r>
            <w:r>
              <w:rPr>
                <w:rFonts w:asciiTheme="minorHAnsi" w:eastAsiaTheme="minorEastAsia" w:hAnsiTheme="minorHAnsi" w:cstheme="minorBidi"/>
                <w:noProof/>
                <w:sz w:val="22"/>
                <w:szCs w:val="22"/>
                <w:lang w:eastAsia="en-AU"/>
              </w:rPr>
              <w:tab/>
            </w:r>
            <w:r w:rsidRPr="002D6C6A">
              <w:rPr>
                <w:rStyle w:val="Hyperlink"/>
                <w:noProof/>
              </w:rPr>
              <w:t>Selinexor</w:t>
            </w:r>
            <w:r>
              <w:rPr>
                <w:noProof/>
                <w:webHidden/>
              </w:rPr>
              <w:tab/>
            </w:r>
            <w:r>
              <w:rPr>
                <w:noProof/>
                <w:webHidden/>
              </w:rPr>
              <w:fldChar w:fldCharType="begin"/>
            </w:r>
            <w:r>
              <w:rPr>
                <w:noProof/>
                <w:webHidden/>
              </w:rPr>
              <w:instrText xml:space="preserve"> PAGEREF _Toc93916044 \h </w:instrText>
            </w:r>
            <w:r>
              <w:rPr>
                <w:noProof/>
                <w:webHidden/>
              </w:rPr>
            </w:r>
            <w:r>
              <w:rPr>
                <w:noProof/>
                <w:webHidden/>
              </w:rPr>
              <w:fldChar w:fldCharType="separate"/>
            </w:r>
            <w:r>
              <w:rPr>
                <w:noProof/>
                <w:webHidden/>
              </w:rPr>
              <w:t>6</w:t>
            </w:r>
            <w:r>
              <w:rPr>
                <w:noProof/>
                <w:webHidden/>
              </w:rPr>
              <w:fldChar w:fldCharType="end"/>
            </w:r>
          </w:hyperlink>
        </w:p>
        <w:p w14:paraId="71115F9B" w14:textId="467897C8" w:rsidR="00BD520E" w:rsidRDefault="00BD520E">
          <w:pPr>
            <w:pStyle w:val="TOC3"/>
            <w:tabs>
              <w:tab w:val="left" w:pos="1701"/>
            </w:tabs>
            <w:rPr>
              <w:rFonts w:asciiTheme="minorHAnsi" w:eastAsiaTheme="minorEastAsia" w:hAnsiTheme="minorHAnsi" w:cstheme="minorBidi"/>
              <w:noProof/>
              <w:sz w:val="22"/>
              <w:szCs w:val="22"/>
              <w:lang w:eastAsia="en-AU"/>
            </w:rPr>
          </w:pPr>
          <w:hyperlink w:anchor="_Toc93916045" w:history="1">
            <w:r w:rsidRPr="002D6C6A">
              <w:rPr>
                <w:rStyle w:val="Hyperlink"/>
                <w:noProof/>
              </w:rPr>
              <w:t>2.7</w:t>
            </w:r>
            <w:r>
              <w:rPr>
                <w:rFonts w:asciiTheme="minorHAnsi" w:eastAsiaTheme="minorEastAsia" w:hAnsiTheme="minorHAnsi" w:cstheme="minorBidi"/>
                <w:noProof/>
                <w:sz w:val="22"/>
                <w:szCs w:val="22"/>
                <w:lang w:eastAsia="en-AU"/>
              </w:rPr>
              <w:tab/>
            </w:r>
            <w:r w:rsidRPr="002D6C6A">
              <w:rPr>
                <w:rStyle w:val="Hyperlink"/>
                <w:noProof/>
              </w:rPr>
              <w:t>Tepotinib</w:t>
            </w:r>
            <w:r>
              <w:rPr>
                <w:noProof/>
                <w:webHidden/>
              </w:rPr>
              <w:tab/>
            </w:r>
            <w:r>
              <w:rPr>
                <w:noProof/>
                <w:webHidden/>
              </w:rPr>
              <w:fldChar w:fldCharType="begin"/>
            </w:r>
            <w:r>
              <w:rPr>
                <w:noProof/>
                <w:webHidden/>
              </w:rPr>
              <w:instrText xml:space="preserve"> PAGEREF _Toc93916045 \h </w:instrText>
            </w:r>
            <w:r>
              <w:rPr>
                <w:noProof/>
                <w:webHidden/>
              </w:rPr>
            </w:r>
            <w:r>
              <w:rPr>
                <w:noProof/>
                <w:webHidden/>
              </w:rPr>
              <w:fldChar w:fldCharType="separate"/>
            </w:r>
            <w:r>
              <w:rPr>
                <w:noProof/>
                <w:webHidden/>
              </w:rPr>
              <w:t>6</w:t>
            </w:r>
            <w:r>
              <w:rPr>
                <w:noProof/>
                <w:webHidden/>
              </w:rPr>
              <w:fldChar w:fldCharType="end"/>
            </w:r>
          </w:hyperlink>
        </w:p>
        <w:p w14:paraId="428DA370" w14:textId="5E3EF773" w:rsidR="00BD520E" w:rsidRDefault="00BD520E">
          <w:pPr>
            <w:pStyle w:val="TOC3"/>
            <w:tabs>
              <w:tab w:val="left" w:pos="1701"/>
            </w:tabs>
            <w:rPr>
              <w:rFonts w:asciiTheme="minorHAnsi" w:eastAsiaTheme="minorEastAsia" w:hAnsiTheme="minorHAnsi" w:cstheme="minorBidi"/>
              <w:noProof/>
              <w:sz w:val="22"/>
              <w:szCs w:val="22"/>
              <w:lang w:eastAsia="en-AU"/>
            </w:rPr>
          </w:pPr>
          <w:hyperlink w:anchor="_Toc93916046" w:history="1">
            <w:r w:rsidRPr="002D6C6A">
              <w:rPr>
                <w:rStyle w:val="Hyperlink"/>
                <w:noProof/>
              </w:rPr>
              <w:t>2.8</w:t>
            </w:r>
            <w:r>
              <w:rPr>
                <w:rFonts w:asciiTheme="minorHAnsi" w:eastAsiaTheme="minorEastAsia" w:hAnsiTheme="minorHAnsi" w:cstheme="minorBidi"/>
                <w:noProof/>
                <w:sz w:val="22"/>
                <w:szCs w:val="22"/>
                <w:lang w:eastAsia="en-AU"/>
              </w:rPr>
              <w:tab/>
            </w:r>
            <w:r w:rsidRPr="002D6C6A">
              <w:rPr>
                <w:rStyle w:val="Hyperlink"/>
                <w:noProof/>
              </w:rPr>
              <w:t>Nirmatrelvir</w:t>
            </w:r>
            <w:r>
              <w:rPr>
                <w:noProof/>
                <w:webHidden/>
              </w:rPr>
              <w:tab/>
            </w:r>
            <w:r>
              <w:rPr>
                <w:noProof/>
                <w:webHidden/>
              </w:rPr>
              <w:fldChar w:fldCharType="begin"/>
            </w:r>
            <w:r>
              <w:rPr>
                <w:noProof/>
                <w:webHidden/>
              </w:rPr>
              <w:instrText xml:space="preserve"> PAGEREF _Toc93916046 \h </w:instrText>
            </w:r>
            <w:r>
              <w:rPr>
                <w:noProof/>
                <w:webHidden/>
              </w:rPr>
            </w:r>
            <w:r>
              <w:rPr>
                <w:noProof/>
                <w:webHidden/>
              </w:rPr>
              <w:fldChar w:fldCharType="separate"/>
            </w:r>
            <w:r>
              <w:rPr>
                <w:noProof/>
                <w:webHidden/>
              </w:rPr>
              <w:t>7</w:t>
            </w:r>
            <w:r>
              <w:rPr>
                <w:noProof/>
                <w:webHidden/>
              </w:rPr>
              <w:fldChar w:fldCharType="end"/>
            </w:r>
          </w:hyperlink>
        </w:p>
        <w:p w14:paraId="4EC3C957" w14:textId="19B60D0D" w:rsidR="00BD520E" w:rsidRDefault="00BD520E">
          <w:pPr>
            <w:pStyle w:val="TOC2"/>
            <w:tabs>
              <w:tab w:val="left" w:pos="851"/>
            </w:tabs>
            <w:rPr>
              <w:rFonts w:asciiTheme="minorHAnsi" w:eastAsiaTheme="minorEastAsia" w:hAnsiTheme="minorHAnsi" w:cstheme="minorBidi"/>
              <w:noProof/>
              <w:szCs w:val="22"/>
              <w:lang w:eastAsia="en-AU"/>
            </w:rPr>
          </w:pPr>
          <w:hyperlink w:anchor="_Toc93916047" w:history="1">
            <w:r w:rsidRPr="002D6C6A">
              <w:rPr>
                <w:rStyle w:val="Hyperlink"/>
                <w:noProof/>
              </w:rPr>
              <w:t>3</w:t>
            </w:r>
            <w:r>
              <w:rPr>
                <w:rFonts w:asciiTheme="minorHAnsi" w:eastAsiaTheme="minorEastAsia" w:hAnsiTheme="minorHAnsi" w:cstheme="minorBidi"/>
                <w:noProof/>
                <w:szCs w:val="22"/>
                <w:lang w:eastAsia="en-AU"/>
              </w:rPr>
              <w:tab/>
            </w:r>
            <w:r w:rsidRPr="002D6C6A">
              <w:rPr>
                <w:rStyle w:val="Hyperlink"/>
                <w:noProof/>
              </w:rPr>
              <w:t>Amendments to the Poisons Standard made as delegate-only decisions</w:t>
            </w:r>
            <w:r>
              <w:rPr>
                <w:noProof/>
                <w:webHidden/>
              </w:rPr>
              <w:tab/>
            </w:r>
            <w:r>
              <w:rPr>
                <w:noProof/>
                <w:webHidden/>
              </w:rPr>
              <w:fldChar w:fldCharType="begin"/>
            </w:r>
            <w:r>
              <w:rPr>
                <w:noProof/>
                <w:webHidden/>
              </w:rPr>
              <w:instrText xml:space="preserve"> PAGEREF _Toc93916047 \h </w:instrText>
            </w:r>
            <w:r>
              <w:rPr>
                <w:noProof/>
                <w:webHidden/>
              </w:rPr>
            </w:r>
            <w:r>
              <w:rPr>
                <w:noProof/>
                <w:webHidden/>
              </w:rPr>
              <w:fldChar w:fldCharType="separate"/>
            </w:r>
            <w:r>
              <w:rPr>
                <w:noProof/>
                <w:webHidden/>
              </w:rPr>
              <w:t>8</w:t>
            </w:r>
            <w:r>
              <w:rPr>
                <w:noProof/>
                <w:webHidden/>
              </w:rPr>
              <w:fldChar w:fldCharType="end"/>
            </w:r>
          </w:hyperlink>
        </w:p>
        <w:p w14:paraId="480FFDA6" w14:textId="7AD3A372" w:rsidR="00BD520E" w:rsidRDefault="00BD520E">
          <w:pPr>
            <w:pStyle w:val="TOC3"/>
            <w:tabs>
              <w:tab w:val="left" w:pos="1701"/>
            </w:tabs>
            <w:rPr>
              <w:rFonts w:asciiTheme="minorHAnsi" w:eastAsiaTheme="minorEastAsia" w:hAnsiTheme="minorHAnsi" w:cstheme="minorBidi"/>
              <w:noProof/>
              <w:sz w:val="22"/>
              <w:szCs w:val="22"/>
              <w:lang w:eastAsia="en-AU"/>
            </w:rPr>
          </w:pPr>
          <w:hyperlink w:anchor="_Toc93916048" w:history="1">
            <w:r w:rsidRPr="002D6C6A">
              <w:rPr>
                <w:rStyle w:val="Hyperlink"/>
                <w:noProof/>
              </w:rPr>
              <w:t>3.1</w:t>
            </w:r>
            <w:r>
              <w:rPr>
                <w:rFonts w:asciiTheme="minorHAnsi" w:eastAsiaTheme="minorEastAsia" w:hAnsiTheme="minorHAnsi" w:cstheme="minorBidi"/>
                <w:noProof/>
                <w:sz w:val="22"/>
                <w:szCs w:val="22"/>
                <w:lang w:eastAsia="en-AU"/>
              </w:rPr>
              <w:tab/>
            </w:r>
            <w:r w:rsidRPr="002D6C6A">
              <w:rPr>
                <w:rStyle w:val="Hyperlink"/>
                <w:noProof/>
              </w:rPr>
              <w:t>Final decision in relation to gliptins</w:t>
            </w:r>
            <w:r>
              <w:rPr>
                <w:noProof/>
                <w:webHidden/>
              </w:rPr>
              <w:tab/>
            </w:r>
            <w:r>
              <w:rPr>
                <w:noProof/>
                <w:webHidden/>
              </w:rPr>
              <w:fldChar w:fldCharType="begin"/>
            </w:r>
            <w:r>
              <w:rPr>
                <w:noProof/>
                <w:webHidden/>
              </w:rPr>
              <w:instrText xml:space="preserve"> PAGEREF _Toc93916048 \h </w:instrText>
            </w:r>
            <w:r>
              <w:rPr>
                <w:noProof/>
                <w:webHidden/>
              </w:rPr>
            </w:r>
            <w:r>
              <w:rPr>
                <w:noProof/>
                <w:webHidden/>
              </w:rPr>
              <w:fldChar w:fldCharType="separate"/>
            </w:r>
            <w:r>
              <w:rPr>
                <w:noProof/>
                <w:webHidden/>
              </w:rPr>
              <w:t>8</w:t>
            </w:r>
            <w:r>
              <w:rPr>
                <w:noProof/>
                <w:webHidden/>
              </w:rPr>
              <w:fldChar w:fldCharType="end"/>
            </w:r>
          </w:hyperlink>
        </w:p>
        <w:p w14:paraId="2882AA7D" w14:textId="311F9338" w:rsidR="00BD520E" w:rsidRDefault="00BD520E">
          <w:pPr>
            <w:pStyle w:val="TOC3"/>
            <w:tabs>
              <w:tab w:val="left" w:pos="1701"/>
            </w:tabs>
            <w:rPr>
              <w:rFonts w:asciiTheme="minorHAnsi" w:eastAsiaTheme="minorEastAsia" w:hAnsiTheme="minorHAnsi" w:cstheme="minorBidi"/>
              <w:noProof/>
              <w:sz w:val="22"/>
              <w:szCs w:val="22"/>
              <w:lang w:eastAsia="en-AU"/>
            </w:rPr>
          </w:pPr>
          <w:hyperlink w:anchor="_Toc93916049" w:history="1">
            <w:r w:rsidRPr="002D6C6A">
              <w:rPr>
                <w:rStyle w:val="Hyperlink"/>
                <w:noProof/>
              </w:rPr>
              <w:t>3.2</w:t>
            </w:r>
            <w:r>
              <w:rPr>
                <w:rFonts w:asciiTheme="minorHAnsi" w:eastAsiaTheme="minorEastAsia" w:hAnsiTheme="minorHAnsi" w:cstheme="minorBidi"/>
                <w:noProof/>
                <w:sz w:val="22"/>
                <w:szCs w:val="22"/>
                <w:lang w:eastAsia="en-AU"/>
              </w:rPr>
              <w:tab/>
            </w:r>
            <w:r w:rsidRPr="002D6C6A">
              <w:rPr>
                <w:rStyle w:val="Hyperlink"/>
                <w:noProof/>
              </w:rPr>
              <w:t>Final decision in relation to isotianil</w:t>
            </w:r>
            <w:r>
              <w:rPr>
                <w:noProof/>
                <w:webHidden/>
              </w:rPr>
              <w:tab/>
            </w:r>
            <w:r>
              <w:rPr>
                <w:noProof/>
                <w:webHidden/>
              </w:rPr>
              <w:fldChar w:fldCharType="begin"/>
            </w:r>
            <w:r>
              <w:rPr>
                <w:noProof/>
                <w:webHidden/>
              </w:rPr>
              <w:instrText xml:space="preserve"> PAGEREF _Toc93916049 \h </w:instrText>
            </w:r>
            <w:r>
              <w:rPr>
                <w:noProof/>
                <w:webHidden/>
              </w:rPr>
            </w:r>
            <w:r>
              <w:rPr>
                <w:noProof/>
                <w:webHidden/>
              </w:rPr>
              <w:fldChar w:fldCharType="separate"/>
            </w:r>
            <w:r>
              <w:rPr>
                <w:noProof/>
                <w:webHidden/>
              </w:rPr>
              <w:t>9</w:t>
            </w:r>
            <w:r>
              <w:rPr>
                <w:noProof/>
                <w:webHidden/>
              </w:rPr>
              <w:fldChar w:fldCharType="end"/>
            </w:r>
          </w:hyperlink>
        </w:p>
        <w:p w14:paraId="37D34771" w14:textId="7765770A" w:rsidR="00BD520E" w:rsidRDefault="00BD520E">
          <w:pPr>
            <w:pStyle w:val="TOC3"/>
            <w:tabs>
              <w:tab w:val="left" w:pos="1701"/>
            </w:tabs>
            <w:rPr>
              <w:rFonts w:asciiTheme="minorHAnsi" w:eastAsiaTheme="minorEastAsia" w:hAnsiTheme="minorHAnsi" w:cstheme="minorBidi"/>
              <w:noProof/>
              <w:sz w:val="22"/>
              <w:szCs w:val="22"/>
              <w:lang w:eastAsia="en-AU"/>
            </w:rPr>
          </w:pPr>
          <w:hyperlink w:anchor="_Toc93916050" w:history="1">
            <w:r w:rsidRPr="002D6C6A">
              <w:rPr>
                <w:rStyle w:val="Hyperlink"/>
                <w:noProof/>
              </w:rPr>
              <w:t>3.3</w:t>
            </w:r>
            <w:r>
              <w:rPr>
                <w:rFonts w:asciiTheme="minorHAnsi" w:eastAsiaTheme="minorEastAsia" w:hAnsiTheme="minorHAnsi" w:cstheme="minorBidi"/>
                <w:noProof/>
                <w:sz w:val="22"/>
                <w:szCs w:val="22"/>
                <w:lang w:eastAsia="en-AU"/>
              </w:rPr>
              <w:tab/>
            </w:r>
            <w:r w:rsidRPr="002D6C6A">
              <w:rPr>
                <w:rStyle w:val="Hyperlink"/>
                <w:noProof/>
              </w:rPr>
              <w:t>Final decision in relation to chromium trichloride hexahydrate</w:t>
            </w:r>
            <w:r>
              <w:rPr>
                <w:noProof/>
                <w:webHidden/>
              </w:rPr>
              <w:tab/>
            </w:r>
            <w:r>
              <w:rPr>
                <w:noProof/>
                <w:webHidden/>
              </w:rPr>
              <w:fldChar w:fldCharType="begin"/>
            </w:r>
            <w:r>
              <w:rPr>
                <w:noProof/>
                <w:webHidden/>
              </w:rPr>
              <w:instrText xml:space="preserve"> PAGEREF _Toc93916050 \h </w:instrText>
            </w:r>
            <w:r>
              <w:rPr>
                <w:noProof/>
                <w:webHidden/>
              </w:rPr>
            </w:r>
            <w:r>
              <w:rPr>
                <w:noProof/>
                <w:webHidden/>
              </w:rPr>
              <w:fldChar w:fldCharType="separate"/>
            </w:r>
            <w:r>
              <w:rPr>
                <w:noProof/>
                <w:webHidden/>
              </w:rPr>
              <w:t>11</w:t>
            </w:r>
            <w:r>
              <w:rPr>
                <w:noProof/>
                <w:webHidden/>
              </w:rPr>
              <w:fldChar w:fldCharType="end"/>
            </w:r>
          </w:hyperlink>
        </w:p>
        <w:p w14:paraId="3F687F36" w14:textId="0206712A" w:rsidR="00BD520E" w:rsidRDefault="00BD520E">
          <w:pPr>
            <w:pStyle w:val="TOC3"/>
            <w:tabs>
              <w:tab w:val="left" w:pos="1701"/>
            </w:tabs>
            <w:rPr>
              <w:rFonts w:asciiTheme="minorHAnsi" w:eastAsiaTheme="minorEastAsia" w:hAnsiTheme="minorHAnsi" w:cstheme="minorBidi"/>
              <w:noProof/>
              <w:sz w:val="22"/>
              <w:szCs w:val="22"/>
              <w:lang w:eastAsia="en-AU"/>
            </w:rPr>
          </w:pPr>
          <w:hyperlink w:anchor="_Toc93916051" w:history="1">
            <w:r w:rsidRPr="002D6C6A">
              <w:rPr>
                <w:rStyle w:val="Hyperlink"/>
                <w:noProof/>
              </w:rPr>
              <w:t>3.4</w:t>
            </w:r>
            <w:r>
              <w:rPr>
                <w:rFonts w:asciiTheme="minorHAnsi" w:eastAsiaTheme="minorEastAsia" w:hAnsiTheme="minorHAnsi" w:cstheme="minorBidi"/>
                <w:noProof/>
                <w:sz w:val="22"/>
                <w:szCs w:val="22"/>
                <w:lang w:eastAsia="en-AU"/>
              </w:rPr>
              <w:tab/>
            </w:r>
            <w:r w:rsidRPr="002D6C6A">
              <w:rPr>
                <w:rStyle w:val="Hyperlink"/>
                <w:noProof/>
              </w:rPr>
              <w:t>Final decision in relation to metobromuron</w:t>
            </w:r>
            <w:r>
              <w:rPr>
                <w:noProof/>
                <w:webHidden/>
              </w:rPr>
              <w:tab/>
            </w:r>
            <w:r>
              <w:rPr>
                <w:noProof/>
                <w:webHidden/>
              </w:rPr>
              <w:fldChar w:fldCharType="begin"/>
            </w:r>
            <w:r>
              <w:rPr>
                <w:noProof/>
                <w:webHidden/>
              </w:rPr>
              <w:instrText xml:space="preserve"> PAGEREF _Toc93916051 \h </w:instrText>
            </w:r>
            <w:r>
              <w:rPr>
                <w:noProof/>
                <w:webHidden/>
              </w:rPr>
            </w:r>
            <w:r>
              <w:rPr>
                <w:noProof/>
                <w:webHidden/>
              </w:rPr>
              <w:fldChar w:fldCharType="separate"/>
            </w:r>
            <w:r>
              <w:rPr>
                <w:noProof/>
                <w:webHidden/>
              </w:rPr>
              <w:t>12</w:t>
            </w:r>
            <w:r>
              <w:rPr>
                <w:noProof/>
                <w:webHidden/>
              </w:rPr>
              <w:fldChar w:fldCharType="end"/>
            </w:r>
          </w:hyperlink>
        </w:p>
        <w:p w14:paraId="26E50732" w14:textId="35C4D9AF" w:rsidR="00BD520E" w:rsidRDefault="00BD520E">
          <w:pPr>
            <w:pStyle w:val="TOC3"/>
            <w:tabs>
              <w:tab w:val="left" w:pos="1701"/>
            </w:tabs>
            <w:rPr>
              <w:rFonts w:asciiTheme="minorHAnsi" w:eastAsiaTheme="minorEastAsia" w:hAnsiTheme="minorHAnsi" w:cstheme="minorBidi"/>
              <w:noProof/>
              <w:sz w:val="22"/>
              <w:szCs w:val="22"/>
              <w:lang w:eastAsia="en-AU"/>
            </w:rPr>
          </w:pPr>
          <w:hyperlink w:anchor="_Toc93916052" w:history="1">
            <w:r w:rsidRPr="002D6C6A">
              <w:rPr>
                <w:rStyle w:val="Hyperlink"/>
                <w:noProof/>
              </w:rPr>
              <w:t>3.5</w:t>
            </w:r>
            <w:r>
              <w:rPr>
                <w:rFonts w:asciiTheme="minorHAnsi" w:eastAsiaTheme="minorEastAsia" w:hAnsiTheme="minorHAnsi" w:cstheme="minorBidi"/>
                <w:noProof/>
                <w:sz w:val="22"/>
                <w:szCs w:val="22"/>
                <w:lang w:eastAsia="en-AU"/>
              </w:rPr>
              <w:tab/>
            </w:r>
            <w:r w:rsidRPr="002D6C6A">
              <w:rPr>
                <w:rStyle w:val="Hyperlink"/>
                <w:noProof/>
              </w:rPr>
              <w:t>Final decision in relation to kinetin</w:t>
            </w:r>
            <w:r>
              <w:rPr>
                <w:noProof/>
                <w:webHidden/>
              </w:rPr>
              <w:tab/>
            </w:r>
            <w:r>
              <w:rPr>
                <w:noProof/>
                <w:webHidden/>
              </w:rPr>
              <w:fldChar w:fldCharType="begin"/>
            </w:r>
            <w:r>
              <w:rPr>
                <w:noProof/>
                <w:webHidden/>
              </w:rPr>
              <w:instrText xml:space="preserve"> PAGEREF _Toc93916052 \h </w:instrText>
            </w:r>
            <w:r>
              <w:rPr>
                <w:noProof/>
                <w:webHidden/>
              </w:rPr>
            </w:r>
            <w:r>
              <w:rPr>
                <w:noProof/>
                <w:webHidden/>
              </w:rPr>
              <w:fldChar w:fldCharType="separate"/>
            </w:r>
            <w:r>
              <w:rPr>
                <w:noProof/>
                <w:webHidden/>
              </w:rPr>
              <w:t>14</w:t>
            </w:r>
            <w:r>
              <w:rPr>
                <w:noProof/>
                <w:webHidden/>
              </w:rPr>
              <w:fldChar w:fldCharType="end"/>
            </w:r>
          </w:hyperlink>
        </w:p>
        <w:p w14:paraId="3B51D511" w14:textId="671081B7" w:rsidR="00BD520E" w:rsidRDefault="00BD520E">
          <w:pPr>
            <w:pStyle w:val="TOC3"/>
            <w:tabs>
              <w:tab w:val="left" w:pos="1701"/>
            </w:tabs>
            <w:rPr>
              <w:rFonts w:asciiTheme="minorHAnsi" w:eastAsiaTheme="minorEastAsia" w:hAnsiTheme="minorHAnsi" w:cstheme="minorBidi"/>
              <w:noProof/>
              <w:sz w:val="22"/>
              <w:szCs w:val="22"/>
              <w:lang w:eastAsia="en-AU"/>
            </w:rPr>
          </w:pPr>
          <w:hyperlink w:anchor="_Toc93916053" w:history="1">
            <w:r w:rsidRPr="002D6C6A">
              <w:rPr>
                <w:rStyle w:val="Hyperlink"/>
                <w:noProof/>
              </w:rPr>
              <w:t>3.6</w:t>
            </w:r>
            <w:r>
              <w:rPr>
                <w:rFonts w:asciiTheme="minorHAnsi" w:eastAsiaTheme="minorEastAsia" w:hAnsiTheme="minorHAnsi" w:cstheme="minorBidi"/>
                <w:noProof/>
                <w:sz w:val="22"/>
                <w:szCs w:val="22"/>
                <w:lang w:eastAsia="en-AU"/>
              </w:rPr>
              <w:tab/>
            </w:r>
            <w:r w:rsidRPr="002D6C6A">
              <w:rPr>
                <w:rStyle w:val="Hyperlink"/>
                <w:noProof/>
              </w:rPr>
              <w:t>Final decision in relation to iron compounds</w:t>
            </w:r>
            <w:r>
              <w:rPr>
                <w:noProof/>
                <w:webHidden/>
              </w:rPr>
              <w:tab/>
            </w:r>
            <w:r>
              <w:rPr>
                <w:noProof/>
                <w:webHidden/>
              </w:rPr>
              <w:fldChar w:fldCharType="begin"/>
            </w:r>
            <w:r>
              <w:rPr>
                <w:noProof/>
                <w:webHidden/>
              </w:rPr>
              <w:instrText xml:space="preserve"> PAGEREF _Toc93916053 \h </w:instrText>
            </w:r>
            <w:r>
              <w:rPr>
                <w:noProof/>
                <w:webHidden/>
              </w:rPr>
            </w:r>
            <w:r>
              <w:rPr>
                <w:noProof/>
                <w:webHidden/>
              </w:rPr>
              <w:fldChar w:fldCharType="separate"/>
            </w:r>
            <w:r>
              <w:rPr>
                <w:noProof/>
                <w:webHidden/>
              </w:rPr>
              <w:t>15</w:t>
            </w:r>
            <w:r>
              <w:rPr>
                <w:noProof/>
                <w:webHidden/>
              </w:rPr>
              <w:fldChar w:fldCharType="end"/>
            </w:r>
          </w:hyperlink>
        </w:p>
        <w:p w14:paraId="4D67C717" w14:textId="434B4BF8" w:rsidR="00BD520E" w:rsidRDefault="00BD520E">
          <w:pPr>
            <w:pStyle w:val="TOC3"/>
            <w:tabs>
              <w:tab w:val="left" w:pos="1701"/>
            </w:tabs>
            <w:rPr>
              <w:rFonts w:asciiTheme="minorHAnsi" w:eastAsiaTheme="minorEastAsia" w:hAnsiTheme="minorHAnsi" w:cstheme="minorBidi"/>
              <w:noProof/>
              <w:sz w:val="22"/>
              <w:szCs w:val="22"/>
              <w:lang w:eastAsia="en-AU"/>
            </w:rPr>
          </w:pPr>
          <w:hyperlink w:anchor="_Toc93916054" w:history="1">
            <w:r w:rsidRPr="002D6C6A">
              <w:rPr>
                <w:rStyle w:val="Hyperlink"/>
                <w:noProof/>
              </w:rPr>
              <w:t>3.7</w:t>
            </w:r>
            <w:r>
              <w:rPr>
                <w:rFonts w:asciiTheme="minorHAnsi" w:eastAsiaTheme="minorEastAsia" w:hAnsiTheme="minorHAnsi" w:cstheme="minorBidi"/>
                <w:noProof/>
                <w:sz w:val="22"/>
                <w:szCs w:val="22"/>
                <w:lang w:eastAsia="en-AU"/>
              </w:rPr>
              <w:tab/>
            </w:r>
            <w:r w:rsidRPr="002D6C6A">
              <w:rPr>
                <w:rStyle w:val="Hyperlink"/>
                <w:noProof/>
              </w:rPr>
              <w:t>Final decision in relation to rescalure</w:t>
            </w:r>
            <w:r>
              <w:rPr>
                <w:noProof/>
                <w:webHidden/>
              </w:rPr>
              <w:tab/>
            </w:r>
            <w:r>
              <w:rPr>
                <w:noProof/>
                <w:webHidden/>
              </w:rPr>
              <w:fldChar w:fldCharType="begin"/>
            </w:r>
            <w:r>
              <w:rPr>
                <w:noProof/>
                <w:webHidden/>
              </w:rPr>
              <w:instrText xml:space="preserve"> PAGEREF _Toc93916054 \h </w:instrText>
            </w:r>
            <w:r>
              <w:rPr>
                <w:noProof/>
                <w:webHidden/>
              </w:rPr>
            </w:r>
            <w:r>
              <w:rPr>
                <w:noProof/>
                <w:webHidden/>
              </w:rPr>
              <w:fldChar w:fldCharType="separate"/>
            </w:r>
            <w:r>
              <w:rPr>
                <w:noProof/>
                <w:webHidden/>
              </w:rPr>
              <w:t>17</w:t>
            </w:r>
            <w:r>
              <w:rPr>
                <w:noProof/>
                <w:webHidden/>
              </w:rPr>
              <w:fldChar w:fldCharType="end"/>
            </w:r>
          </w:hyperlink>
        </w:p>
        <w:p w14:paraId="214D95FF" w14:textId="4E93CB4F" w:rsidR="00BD520E" w:rsidRDefault="00BD520E">
          <w:pPr>
            <w:pStyle w:val="TOC3"/>
            <w:tabs>
              <w:tab w:val="left" w:pos="1701"/>
            </w:tabs>
            <w:rPr>
              <w:rFonts w:asciiTheme="minorHAnsi" w:eastAsiaTheme="minorEastAsia" w:hAnsiTheme="minorHAnsi" w:cstheme="minorBidi"/>
              <w:noProof/>
              <w:sz w:val="22"/>
              <w:szCs w:val="22"/>
              <w:lang w:eastAsia="en-AU"/>
            </w:rPr>
          </w:pPr>
          <w:hyperlink w:anchor="_Toc93916055" w:history="1">
            <w:r w:rsidRPr="002D6C6A">
              <w:rPr>
                <w:rStyle w:val="Hyperlink"/>
                <w:noProof/>
              </w:rPr>
              <w:t>3.8</w:t>
            </w:r>
            <w:r>
              <w:rPr>
                <w:rFonts w:asciiTheme="minorHAnsi" w:eastAsiaTheme="minorEastAsia" w:hAnsiTheme="minorHAnsi" w:cstheme="minorBidi"/>
                <w:noProof/>
                <w:sz w:val="22"/>
                <w:szCs w:val="22"/>
                <w:lang w:eastAsia="en-AU"/>
              </w:rPr>
              <w:tab/>
            </w:r>
            <w:r w:rsidRPr="002D6C6A">
              <w:rPr>
                <w:rStyle w:val="Hyperlink"/>
                <w:noProof/>
              </w:rPr>
              <w:t>Final decision in relation to fluoxapiprolin</w:t>
            </w:r>
            <w:r>
              <w:rPr>
                <w:noProof/>
                <w:webHidden/>
              </w:rPr>
              <w:tab/>
            </w:r>
            <w:r>
              <w:rPr>
                <w:noProof/>
                <w:webHidden/>
              </w:rPr>
              <w:fldChar w:fldCharType="begin"/>
            </w:r>
            <w:r>
              <w:rPr>
                <w:noProof/>
                <w:webHidden/>
              </w:rPr>
              <w:instrText xml:space="preserve"> PAGEREF _Toc93916055 \h </w:instrText>
            </w:r>
            <w:r>
              <w:rPr>
                <w:noProof/>
                <w:webHidden/>
              </w:rPr>
            </w:r>
            <w:r>
              <w:rPr>
                <w:noProof/>
                <w:webHidden/>
              </w:rPr>
              <w:fldChar w:fldCharType="separate"/>
            </w:r>
            <w:r>
              <w:rPr>
                <w:noProof/>
                <w:webHidden/>
              </w:rPr>
              <w:t>18</w:t>
            </w:r>
            <w:r>
              <w:rPr>
                <w:noProof/>
                <w:webHidden/>
              </w:rPr>
              <w:fldChar w:fldCharType="end"/>
            </w:r>
          </w:hyperlink>
        </w:p>
        <w:p w14:paraId="38802CE8" w14:textId="0C183261" w:rsidR="00BD520E" w:rsidRDefault="00BD520E">
          <w:pPr>
            <w:pStyle w:val="TOC3"/>
            <w:tabs>
              <w:tab w:val="left" w:pos="1701"/>
            </w:tabs>
            <w:rPr>
              <w:rFonts w:asciiTheme="minorHAnsi" w:eastAsiaTheme="minorEastAsia" w:hAnsiTheme="minorHAnsi" w:cstheme="minorBidi"/>
              <w:noProof/>
              <w:sz w:val="22"/>
              <w:szCs w:val="22"/>
              <w:lang w:eastAsia="en-AU"/>
            </w:rPr>
          </w:pPr>
          <w:hyperlink w:anchor="_Toc93916056" w:history="1">
            <w:r w:rsidRPr="002D6C6A">
              <w:rPr>
                <w:rStyle w:val="Hyperlink"/>
                <w:noProof/>
              </w:rPr>
              <w:t>3.9</w:t>
            </w:r>
            <w:r>
              <w:rPr>
                <w:rFonts w:asciiTheme="minorHAnsi" w:eastAsiaTheme="minorEastAsia" w:hAnsiTheme="minorHAnsi" w:cstheme="minorBidi"/>
                <w:noProof/>
                <w:sz w:val="22"/>
                <w:szCs w:val="22"/>
                <w:lang w:eastAsia="en-AU"/>
              </w:rPr>
              <w:tab/>
            </w:r>
            <w:r w:rsidRPr="002D6C6A">
              <w:rPr>
                <w:rStyle w:val="Hyperlink"/>
                <w:noProof/>
              </w:rPr>
              <w:t>Final decision in relation to disodium manganese EDTA</w:t>
            </w:r>
            <w:r>
              <w:rPr>
                <w:noProof/>
                <w:webHidden/>
              </w:rPr>
              <w:tab/>
            </w:r>
            <w:r>
              <w:rPr>
                <w:noProof/>
                <w:webHidden/>
              </w:rPr>
              <w:fldChar w:fldCharType="begin"/>
            </w:r>
            <w:r>
              <w:rPr>
                <w:noProof/>
                <w:webHidden/>
              </w:rPr>
              <w:instrText xml:space="preserve"> PAGEREF _Toc93916056 \h </w:instrText>
            </w:r>
            <w:r>
              <w:rPr>
                <w:noProof/>
                <w:webHidden/>
              </w:rPr>
            </w:r>
            <w:r>
              <w:rPr>
                <w:noProof/>
                <w:webHidden/>
              </w:rPr>
              <w:fldChar w:fldCharType="separate"/>
            </w:r>
            <w:r>
              <w:rPr>
                <w:noProof/>
                <w:webHidden/>
              </w:rPr>
              <w:t>20</w:t>
            </w:r>
            <w:r>
              <w:rPr>
                <w:noProof/>
                <w:webHidden/>
              </w:rPr>
              <w:fldChar w:fldCharType="end"/>
            </w:r>
          </w:hyperlink>
        </w:p>
        <w:p w14:paraId="28478EE2" w14:textId="309A44FF" w:rsidR="00BD520E" w:rsidRDefault="00BD520E">
          <w:pPr>
            <w:pStyle w:val="TOC3"/>
            <w:tabs>
              <w:tab w:val="left" w:pos="1701"/>
            </w:tabs>
            <w:rPr>
              <w:rFonts w:asciiTheme="minorHAnsi" w:eastAsiaTheme="minorEastAsia" w:hAnsiTheme="minorHAnsi" w:cstheme="minorBidi"/>
              <w:noProof/>
              <w:sz w:val="22"/>
              <w:szCs w:val="22"/>
              <w:lang w:eastAsia="en-AU"/>
            </w:rPr>
          </w:pPr>
          <w:hyperlink w:anchor="_Toc93916057" w:history="1">
            <w:r w:rsidRPr="002D6C6A">
              <w:rPr>
                <w:rStyle w:val="Hyperlink"/>
                <w:noProof/>
              </w:rPr>
              <w:t>3.10</w:t>
            </w:r>
            <w:r>
              <w:rPr>
                <w:rFonts w:asciiTheme="minorHAnsi" w:eastAsiaTheme="minorEastAsia" w:hAnsiTheme="minorHAnsi" w:cstheme="minorBidi"/>
                <w:noProof/>
                <w:sz w:val="22"/>
                <w:szCs w:val="22"/>
                <w:lang w:eastAsia="en-AU"/>
              </w:rPr>
              <w:tab/>
            </w:r>
            <w:r w:rsidRPr="002D6C6A">
              <w:rPr>
                <w:rStyle w:val="Hyperlink"/>
                <w:noProof/>
              </w:rPr>
              <w:t>Final decision in relation to deutetrabenazine</w:t>
            </w:r>
            <w:r>
              <w:rPr>
                <w:noProof/>
                <w:webHidden/>
              </w:rPr>
              <w:tab/>
            </w:r>
            <w:r>
              <w:rPr>
                <w:noProof/>
                <w:webHidden/>
              </w:rPr>
              <w:fldChar w:fldCharType="begin"/>
            </w:r>
            <w:r>
              <w:rPr>
                <w:noProof/>
                <w:webHidden/>
              </w:rPr>
              <w:instrText xml:space="preserve"> PAGEREF _Toc93916057 \h </w:instrText>
            </w:r>
            <w:r>
              <w:rPr>
                <w:noProof/>
                <w:webHidden/>
              </w:rPr>
            </w:r>
            <w:r>
              <w:rPr>
                <w:noProof/>
                <w:webHidden/>
              </w:rPr>
              <w:fldChar w:fldCharType="separate"/>
            </w:r>
            <w:r>
              <w:rPr>
                <w:noProof/>
                <w:webHidden/>
              </w:rPr>
              <w:t>21</w:t>
            </w:r>
            <w:r>
              <w:rPr>
                <w:noProof/>
                <w:webHidden/>
              </w:rPr>
              <w:fldChar w:fldCharType="end"/>
            </w:r>
          </w:hyperlink>
        </w:p>
        <w:p w14:paraId="7DF331EE" w14:textId="5C413C55" w:rsidR="0025660C" w:rsidRDefault="008D3724" w:rsidP="00821AF4">
          <w:pPr>
            <w:pStyle w:val="TOC3"/>
            <w:tabs>
              <w:tab w:val="left" w:pos="1701"/>
            </w:tabs>
          </w:pPr>
          <w:r>
            <w:rPr>
              <w:sz w:val="32"/>
            </w:rPr>
            <w:fldChar w:fldCharType="end"/>
          </w:r>
        </w:p>
      </w:sdtContent>
    </w:sdt>
    <w:p w14:paraId="2406A85A" w14:textId="6E00845B" w:rsidR="00AD2969" w:rsidRDefault="00AD2969">
      <w:pPr>
        <w:spacing w:before="0" w:after="0" w:line="240" w:lineRule="auto"/>
      </w:pPr>
      <w:bookmarkStart w:id="3" w:name="_Final_decision_in_2"/>
      <w:bookmarkEnd w:id="3"/>
      <w:bookmarkEnd w:id="2"/>
      <w:bookmarkEnd w:id="1"/>
      <w:bookmarkEnd w:id="0"/>
      <w:r>
        <w:br w:type="page"/>
      </w:r>
    </w:p>
    <w:p w14:paraId="532A39DA" w14:textId="2BC46C37" w:rsidR="00393CC3" w:rsidRPr="00393CC3" w:rsidRDefault="00393CC3" w:rsidP="00393CC3">
      <w:pPr>
        <w:pStyle w:val="Heading2"/>
      </w:pPr>
      <w:bookmarkStart w:id="4" w:name="_Toc93916037"/>
      <w:r w:rsidRPr="00393CC3">
        <w:lastRenderedPageBreak/>
        <w:t xml:space="preserve">Notice of </w:t>
      </w:r>
      <w:r>
        <w:t>D</w:t>
      </w:r>
      <w:r w:rsidRPr="00393CC3">
        <w:t>ecisions to amend the current Poisons Standard</w:t>
      </w:r>
      <w:bookmarkEnd w:id="4"/>
    </w:p>
    <w:p w14:paraId="15FA3996" w14:textId="64F42B0E" w:rsidR="00393CC3" w:rsidRDefault="00393CC3" w:rsidP="00393CC3">
      <w:r>
        <w:t xml:space="preserve">This </w:t>
      </w:r>
      <w:r w:rsidRPr="00393CC3">
        <w:t>web publication constitutes a notice for the purposes of regulation 42ZCZX of the </w:t>
      </w:r>
      <w:r w:rsidRPr="00393CC3">
        <w:rPr>
          <w:i/>
          <w:iCs/>
        </w:rPr>
        <w:t>Therapeutic Goods Regulations 1990</w:t>
      </w:r>
      <w:r w:rsidRPr="00393CC3">
        <w:t> (the</w:t>
      </w:r>
      <w:r>
        <w:t xml:space="preserve"> </w:t>
      </w:r>
      <w:r w:rsidRPr="00393CC3">
        <w:t>Regulations). In accordance with regulations 42ZCZX, this notice publishes the:</w:t>
      </w:r>
    </w:p>
    <w:p w14:paraId="3B7FFDB8" w14:textId="56D4023A" w:rsidR="00393CC3" w:rsidRDefault="00393CC3" w:rsidP="00393CC3">
      <w:pPr>
        <w:pStyle w:val="ListBullet"/>
      </w:pPr>
      <w:r>
        <w:t xml:space="preserve">decisions made by a delegate of the Secretary pursuant to regulations </w:t>
      </w:r>
      <w:proofErr w:type="gramStart"/>
      <w:r>
        <w:t>42ZCZU;</w:t>
      </w:r>
      <w:proofErr w:type="gramEnd"/>
    </w:p>
    <w:p w14:paraId="38354799" w14:textId="77777777" w:rsidR="00393CC3" w:rsidRDefault="00393CC3" w:rsidP="00393CC3">
      <w:pPr>
        <w:pStyle w:val="ListBullet"/>
      </w:pPr>
      <w:r>
        <w:t>reasons for those final decisions; and</w:t>
      </w:r>
    </w:p>
    <w:p w14:paraId="57862A34" w14:textId="6F47A424" w:rsidR="00393CC3" w:rsidRDefault="00393CC3" w:rsidP="00393CC3">
      <w:pPr>
        <w:pStyle w:val="ListBullet"/>
      </w:pPr>
      <w:r>
        <w:t>date of effect of those decisions.</w:t>
      </w:r>
    </w:p>
    <w:p w14:paraId="2A70E008" w14:textId="77777777" w:rsidR="00393CC3" w:rsidRDefault="00393CC3">
      <w:pPr>
        <w:spacing w:before="0" w:after="0" w:line="240" w:lineRule="auto"/>
      </w:pPr>
      <w:r>
        <w:br w:type="page"/>
      </w:r>
    </w:p>
    <w:p w14:paraId="47068968" w14:textId="331F6C30" w:rsidR="00E76C5C" w:rsidRDefault="0027115A" w:rsidP="00B76897">
      <w:pPr>
        <w:pStyle w:val="Heading2"/>
      </w:pPr>
      <w:bookmarkStart w:id="5" w:name="_Toc93916038"/>
      <w:r>
        <w:lastRenderedPageBreak/>
        <w:t>A</w:t>
      </w:r>
      <w:r w:rsidR="00BD05E9">
        <w:t xml:space="preserve">mendments </w:t>
      </w:r>
      <w:r w:rsidR="00842746">
        <w:t>to the</w:t>
      </w:r>
      <w:r w:rsidR="00AD2969" w:rsidRPr="00AD2969">
        <w:t xml:space="preserve"> </w:t>
      </w:r>
      <w:r w:rsidR="00AD2969">
        <w:t>Poison Standard</w:t>
      </w:r>
      <w:r w:rsidR="00AD2969" w:rsidRPr="00AD2969">
        <w:t xml:space="preserve"> </w:t>
      </w:r>
      <w:r w:rsidR="00AD2969">
        <w:t xml:space="preserve">in relation to </w:t>
      </w:r>
      <w:r w:rsidR="008E2C70">
        <w:t xml:space="preserve">New Chemical </w:t>
      </w:r>
      <w:r w:rsidR="00B6569A">
        <w:t>Entities (NCE</w:t>
      </w:r>
      <w:r w:rsidR="008E2C70">
        <w:t>s)</w:t>
      </w:r>
      <w:bookmarkEnd w:id="5"/>
      <w:r w:rsidR="008E2C70">
        <w:t xml:space="preserve"> </w:t>
      </w:r>
    </w:p>
    <w:p w14:paraId="72531197" w14:textId="28ED1D30" w:rsidR="00935659" w:rsidRDefault="00935659" w:rsidP="00935659">
      <w:r>
        <w:t>The NCEs listed below will be included in the new Poisons Standard</w:t>
      </w:r>
      <w:r w:rsidR="0075678F">
        <w:t xml:space="preserve"> that will come into effect on </w:t>
      </w:r>
      <w:r w:rsidR="00900E78" w:rsidRPr="007C4782">
        <w:rPr>
          <w:b/>
          <w:bCs/>
        </w:rPr>
        <w:t>1</w:t>
      </w:r>
      <w:r w:rsidR="0075678F" w:rsidRPr="007C4782">
        <w:rPr>
          <w:b/>
          <w:bCs/>
        </w:rPr>
        <w:t xml:space="preserve"> </w:t>
      </w:r>
      <w:r w:rsidR="00900E78" w:rsidRPr="007C4782">
        <w:rPr>
          <w:b/>
          <w:bCs/>
        </w:rPr>
        <w:t>February</w:t>
      </w:r>
      <w:r w:rsidR="0075678F" w:rsidRPr="007C4782">
        <w:rPr>
          <w:b/>
          <w:bCs/>
        </w:rPr>
        <w:t xml:space="preserve"> 20</w:t>
      </w:r>
      <w:r w:rsidR="00900E78" w:rsidRPr="007C4782">
        <w:rPr>
          <w:b/>
          <w:bCs/>
        </w:rPr>
        <w:t>22</w:t>
      </w:r>
      <w:r w:rsidR="00900E78">
        <w:t>.</w:t>
      </w:r>
    </w:p>
    <w:p w14:paraId="78D99D79" w14:textId="11BC6B5E" w:rsidR="008E2C70" w:rsidRDefault="00900E78" w:rsidP="00974CC8">
      <w:pPr>
        <w:pStyle w:val="Heading3"/>
        <w:spacing w:before="240"/>
        <w:ind w:left="578" w:hanging="578"/>
      </w:pPr>
      <w:bookmarkStart w:id="6" w:name="_Toc93916039"/>
      <w:proofErr w:type="spellStart"/>
      <w:r>
        <w:t>Infigratinib</w:t>
      </w:r>
      <w:bookmarkEnd w:id="6"/>
      <w:proofErr w:type="spellEnd"/>
    </w:p>
    <w:tbl>
      <w:tblPr>
        <w:tblStyle w:val="TableGrid"/>
        <w:tblW w:w="0" w:type="auto"/>
        <w:tblInd w:w="421" w:type="dxa"/>
        <w:tblLook w:val="04A0" w:firstRow="1" w:lastRow="0" w:firstColumn="1" w:lastColumn="0" w:noHBand="0" w:noVBand="1"/>
      </w:tblPr>
      <w:tblGrid>
        <w:gridCol w:w="8639"/>
      </w:tblGrid>
      <w:tr w:rsidR="008E2C70" w14:paraId="41FE3882" w14:textId="77777777" w:rsidTr="00694998">
        <w:tc>
          <w:tcPr>
            <w:tcW w:w="8639" w:type="dxa"/>
          </w:tcPr>
          <w:p w14:paraId="73E34A77" w14:textId="77777777" w:rsidR="00935659" w:rsidRPr="00935659" w:rsidRDefault="00935659" w:rsidP="00974CC8">
            <w:pPr>
              <w:spacing w:after="120"/>
              <w:rPr>
                <w:b/>
              </w:rPr>
            </w:pPr>
            <w:r w:rsidRPr="00935659">
              <w:rPr>
                <w:b/>
              </w:rPr>
              <w:t>Recommendation</w:t>
            </w:r>
          </w:p>
          <w:p w14:paraId="71ACA419" w14:textId="2FAEE61F" w:rsidR="00935659" w:rsidRPr="00935659" w:rsidRDefault="0075678F" w:rsidP="00974CC8">
            <w:pPr>
              <w:spacing w:after="120"/>
            </w:pPr>
            <w:r>
              <w:rPr>
                <w:rStyle w:val="Strong"/>
                <w:rFonts w:ascii="&amp;quot" w:hAnsi="&amp;quot"/>
                <w:color w:val="000000"/>
                <w:szCs w:val="22"/>
              </w:rPr>
              <w:t xml:space="preserve">Schedule </w:t>
            </w:r>
            <w:r w:rsidR="00900E78">
              <w:rPr>
                <w:rStyle w:val="Strong"/>
                <w:rFonts w:ascii="&amp;quot" w:hAnsi="&amp;quot"/>
                <w:color w:val="000000"/>
                <w:szCs w:val="22"/>
              </w:rPr>
              <w:t>4</w:t>
            </w:r>
            <w:r w:rsidR="00935659" w:rsidRPr="00935659">
              <w:rPr>
                <w:rStyle w:val="Strong"/>
                <w:rFonts w:ascii="&amp;quot" w:hAnsi="&amp;quot"/>
                <w:color w:val="000000"/>
                <w:szCs w:val="22"/>
              </w:rPr>
              <w:t xml:space="preserve"> - New Entry</w:t>
            </w:r>
          </w:p>
          <w:p w14:paraId="07205071" w14:textId="6180FCC8" w:rsidR="00935659" w:rsidRPr="00900E78" w:rsidRDefault="00900E78" w:rsidP="00974CC8">
            <w:pPr>
              <w:spacing w:after="120"/>
              <w:rPr>
                <w:rFonts w:ascii="&amp;quot" w:hAnsi="&amp;quot"/>
                <w:color w:val="00B050"/>
                <w:szCs w:val="22"/>
              </w:rPr>
            </w:pPr>
            <w:r w:rsidRPr="00900E78">
              <w:rPr>
                <w:rFonts w:ascii="&amp;quot" w:hAnsi="&amp;quot"/>
                <w:color w:val="00B050"/>
                <w:szCs w:val="22"/>
              </w:rPr>
              <w:t>I</w:t>
            </w:r>
            <w:r w:rsidRPr="00900E78">
              <w:rPr>
                <w:color w:val="00B050"/>
              </w:rPr>
              <w:t>NFIGRATINIB</w:t>
            </w:r>
          </w:p>
          <w:p w14:paraId="7DBAAE2D" w14:textId="77777777" w:rsidR="00935659" w:rsidRPr="006C6FB2" w:rsidRDefault="00935659" w:rsidP="00974CC8">
            <w:pPr>
              <w:spacing w:after="120"/>
            </w:pPr>
            <w:r w:rsidRPr="006C6FB2">
              <w:rPr>
                <w:rStyle w:val="Strong"/>
                <w:rFonts w:ascii="&amp;quot" w:hAnsi="&amp;quot"/>
                <w:color w:val="000000"/>
                <w:szCs w:val="22"/>
              </w:rPr>
              <w:t>Index - New Entry</w:t>
            </w:r>
          </w:p>
          <w:p w14:paraId="7DB8FE36" w14:textId="185F8D31" w:rsidR="00935659" w:rsidRPr="00900E78" w:rsidRDefault="00900E78" w:rsidP="00974CC8">
            <w:pPr>
              <w:spacing w:after="120"/>
              <w:rPr>
                <w:rFonts w:ascii="&amp;quot" w:hAnsi="&amp;quot"/>
                <w:color w:val="00B050"/>
                <w:szCs w:val="22"/>
              </w:rPr>
            </w:pPr>
            <w:r w:rsidRPr="00900E78">
              <w:rPr>
                <w:rStyle w:val="Strong"/>
                <w:color w:val="00B050"/>
              </w:rPr>
              <w:t>INFIGRATINIB</w:t>
            </w:r>
          </w:p>
          <w:p w14:paraId="274CA261" w14:textId="6385D527" w:rsidR="008E2C70" w:rsidRPr="00900E78" w:rsidRDefault="0075678F" w:rsidP="00974CC8">
            <w:pPr>
              <w:spacing w:after="120"/>
              <w:rPr>
                <w:rFonts w:ascii="&amp;quot" w:hAnsi="&amp;quot"/>
                <w:color w:val="00B050"/>
                <w:szCs w:val="22"/>
              </w:rPr>
            </w:pPr>
            <w:r w:rsidRPr="00900E78">
              <w:rPr>
                <w:rFonts w:ascii="&amp;quot" w:hAnsi="&amp;quot"/>
                <w:color w:val="00B050"/>
                <w:szCs w:val="22"/>
              </w:rPr>
              <w:t xml:space="preserve">Schedule </w:t>
            </w:r>
            <w:r w:rsidR="00900E78" w:rsidRPr="00900E78">
              <w:rPr>
                <w:rFonts w:ascii="&amp;quot" w:hAnsi="&amp;quot"/>
                <w:color w:val="00B050"/>
                <w:szCs w:val="22"/>
              </w:rPr>
              <w:t>4</w:t>
            </w:r>
          </w:p>
        </w:tc>
      </w:tr>
    </w:tbl>
    <w:p w14:paraId="5360ADC0" w14:textId="4F9EE164" w:rsidR="0075678F" w:rsidRDefault="00900E78" w:rsidP="00974CC8">
      <w:pPr>
        <w:pStyle w:val="Heading3"/>
        <w:numPr>
          <w:ilvl w:val="1"/>
          <w:numId w:val="23"/>
        </w:numPr>
        <w:spacing w:before="120" w:line="220" w:lineRule="atLeast"/>
        <w:ind w:left="578" w:hanging="578"/>
      </w:pPr>
      <w:bookmarkStart w:id="7" w:name="_Toc93916040"/>
      <w:proofErr w:type="spellStart"/>
      <w:r>
        <w:t>Ponesimod</w:t>
      </w:r>
      <w:bookmarkEnd w:id="7"/>
      <w:proofErr w:type="spellEnd"/>
    </w:p>
    <w:tbl>
      <w:tblPr>
        <w:tblStyle w:val="TableGrid"/>
        <w:tblW w:w="0" w:type="auto"/>
        <w:tblInd w:w="421" w:type="dxa"/>
        <w:tblLook w:val="04A0" w:firstRow="1" w:lastRow="0" w:firstColumn="1" w:lastColumn="0" w:noHBand="0" w:noVBand="1"/>
      </w:tblPr>
      <w:tblGrid>
        <w:gridCol w:w="8639"/>
      </w:tblGrid>
      <w:tr w:rsidR="0075678F" w14:paraId="1272A757" w14:textId="77777777" w:rsidTr="00694998">
        <w:tc>
          <w:tcPr>
            <w:tcW w:w="8639" w:type="dxa"/>
          </w:tcPr>
          <w:p w14:paraId="3EF674FE" w14:textId="77777777" w:rsidR="0075678F" w:rsidRPr="00935659" w:rsidRDefault="0075678F" w:rsidP="00974CC8">
            <w:pPr>
              <w:spacing w:after="120"/>
              <w:rPr>
                <w:b/>
              </w:rPr>
            </w:pPr>
            <w:r w:rsidRPr="00935659">
              <w:rPr>
                <w:b/>
              </w:rPr>
              <w:t>Recommendation</w:t>
            </w:r>
          </w:p>
          <w:p w14:paraId="0FF310BD" w14:textId="413056D6" w:rsidR="0075678F" w:rsidRPr="00935659" w:rsidRDefault="0075678F" w:rsidP="00974CC8">
            <w:pPr>
              <w:spacing w:after="120"/>
            </w:pPr>
            <w:r>
              <w:rPr>
                <w:rStyle w:val="Strong"/>
                <w:rFonts w:ascii="&amp;quot" w:hAnsi="&amp;quot"/>
                <w:color w:val="000000"/>
                <w:szCs w:val="22"/>
              </w:rPr>
              <w:t xml:space="preserve">Schedule </w:t>
            </w:r>
            <w:r w:rsidR="00900E78">
              <w:rPr>
                <w:rStyle w:val="Strong"/>
                <w:rFonts w:ascii="&amp;quot" w:hAnsi="&amp;quot"/>
                <w:color w:val="000000"/>
                <w:szCs w:val="22"/>
              </w:rPr>
              <w:t>4</w:t>
            </w:r>
            <w:r w:rsidRPr="00935659">
              <w:rPr>
                <w:rStyle w:val="Strong"/>
                <w:rFonts w:ascii="&amp;quot" w:hAnsi="&amp;quot"/>
                <w:color w:val="000000"/>
                <w:szCs w:val="22"/>
              </w:rPr>
              <w:t xml:space="preserve"> - New Entry</w:t>
            </w:r>
          </w:p>
          <w:p w14:paraId="7AD5DBAD" w14:textId="3675B4BD" w:rsidR="0075678F" w:rsidRDefault="00900E78" w:rsidP="00974CC8">
            <w:pPr>
              <w:spacing w:after="120"/>
              <w:rPr>
                <w:color w:val="00B050"/>
              </w:rPr>
            </w:pPr>
            <w:r w:rsidRPr="00900E78">
              <w:rPr>
                <w:rFonts w:ascii="&amp;quot" w:hAnsi="&amp;quot"/>
                <w:color w:val="00B050"/>
                <w:szCs w:val="22"/>
              </w:rPr>
              <w:t>P</w:t>
            </w:r>
            <w:r w:rsidRPr="00900E78">
              <w:rPr>
                <w:color w:val="00B050"/>
              </w:rPr>
              <w:t>ONESIMOD</w:t>
            </w:r>
          </w:p>
          <w:p w14:paraId="5CA38808" w14:textId="6ABD548A" w:rsidR="00643E67" w:rsidRPr="0077463F" w:rsidRDefault="00643E67" w:rsidP="00974CC8">
            <w:pPr>
              <w:spacing w:after="120"/>
              <w:rPr>
                <w:rFonts w:ascii="&amp;quot" w:hAnsi="&amp;quot"/>
                <w:b/>
                <w:bCs/>
                <w:szCs w:val="22"/>
              </w:rPr>
            </w:pPr>
            <w:r w:rsidRPr="0077463F">
              <w:rPr>
                <w:rFonts w:ascii="&amp;quot" w:hAnsi="&amp;quot"/>
                <w:b/>
                <w:bCs/>
              </w:rPr>
              <w:t xml:space="preserve">Appendix L </w:t>
            </w:r>
            <w:r w:rsidRPr="0077463F">
              <w:rPr>
                <w:rFonts w:ascii="&amp;quot" w:hAnsi="&amp;quot" w:hint="eastAsia"/>
                <w:b/>
                <w:bCs/>
              </w:rPr>
              <w:t>–</w:t>
            </w:r>
            <w:r w:rsidRPr="0077463F">
              <w:rPr>
                <w:rFonts w:ascii="&amp;quot" w:hAnsi="&amp;quot"/>
                <w:b/>
                <w:bCs/>
              </w:rPr>
              <w:t xml:space="preserve"> New Entry</w:t>
            </w:r>
          </w:p>
          <w:p w14:paraId="4E278938" w14:textId="2F55C3DE" w:rsidR="00643E67" w:rsidRPr="006D26BE" w:rsidRDefault="00643E67" w:rsidP="00974CC8">
            <w:pPr>
              <w:spacing w:after="120"/>
              <w:rPr>
                <w:rStyle w:val="Strong"/>
                <w:rFonts w:ascii="&amp;quot" w:hAnsi="&amp;quot"/>
                <w:b w:val="0"/>
                <w:bCs w:val="0"/>
                <w:color w:val="00B050"/>
                <w:szCs w:val="22"/>
              </w:rPr>
            </w:pPr>
            <w:r w:rsidRPr="006D26BE">
              <w:rPr>
                <w:rStyle w:val="Strong"/>
                <w:rFonts w:ascii="&amp;quot" w:hAnsi="&amp;quot"/>
                <w:b w:val="0"/>
                <w:bCs w:val="0"/>
                <w:color w:val="00B050"/>
                <w:szCs w:val="22"/>
              </w:rPr>
              <w:t xml:space="preserve">PONESIMOD </w:t>
            </w:r>
            <w:r w:rsidRPr="006D26BE">
              <w:rPr>
                <w:rStyle w:val="Strong"/>
                <w:rFonts w:ascii="&amp;quot" w:hAnsi="&amp;quot" w:hint="eastAsia"/>
                <w:b w:val="0"/>
                <w:bCs w:val="0"/>
                <w:color w:val="00B050"/>
                <w:szCs w:val="22"/>
              </w:rPr>
              <w:t>–</w:t>
            </w:r>
            <w:r w:rsidRPr="006D26BE">
              <w:rPr>
                <w:rStyle w:val="Strong"/>
                <w:rFonts w:ascii="&amp;quot" w:hAnsi="&amp;quot"/>
                <w:b w:val="0"/>
                <w:bCs w:val="0"/>
                <w:color w:val="00B050"/>
                <w:szCs w:val="22"/>
              </w:rPr>
              <w:t xml:space="preserve"> Warning statement 76 (</w:t>
            </w:r>
            <w:r w:rsidRPr="006D26BE">
              <w:rPr>
                <w:rFonts w:ascii="&amp;quot" w:hAnsi="&amp;quot"/>
                <w:bCs/>
                <w:color w:val="00B050"/>
                <w:szCs w:val="22"/>
              </w:rPr>
              <w:t>Do not become pregnant during use or within (Insert number of months as per approved Product Information) month(s) of stopping treatment.)</w:t>
            </w:r>
          </w:p>
          <w:p w14:paraId="795984D0" w14:textId="784A1C2B" w:rsidR="0075678F" w:rsidRPr="006C6FB2" w:rsidRDefault="0075678F" w:rsidP="00974CC8">
            <w:pPr>
              <w:spacing w:after="120"/>
            </w:pPr>
            <w:r w:rsidRPr="006C6FB2">
              <w:rPr>
                <w:rStyle w:val="Strong"/>
                <w:rFonts w:ascii="&amp;quot" w:hAnsi="&amp;quot"/>
                <w:color w:val="000000"/>
                <w:szCs w:val="22"/>
              </w:rPr>
              <w:t>Index - New Entry</w:t>
            </w:r>
          </w:p>
          <w:p w14:paraId="7A492143" w14:textId="6248544B" w:rsidR="0075678F" w:rsidRPr="00900E78" w:rsidRDefault="00900E78" w:rsidP="00974CC8">
            <w:pPr>
              <w:spacing w:after="120"/>
              <w:rPr>
                <w:rFonts w:ascii="&amp;quot" w:hAnsi="&amp;quot"/>
                <w:color w:val="00B050"/>
                <w:szCs w:val="22"/>
              </w:rPr>
            </w:pPr>
            <w:r w:rsidRPr="00900E78">
              <w:rPr>
                <w:rStyle w:val="Strong"/>
                <w:color w:val="00B050"/>
              </w:rPr>
              <w:t>PONESIMOD</w:t>
            </w:r>
          </w:p>
          <w:p w14:paraId="6937883E" w14:textId="76D85E8C" w:rsidR="0075678F" w:rsidRPr="00900E78" w:rsidRDefault="0075678F" w:rsidP="00974CC8">
            <w:pPr>
              <w:spacing w:after="120"/>
              <w:rPr>
                <w:rFonts w:ascii="&amp;quot" w:hAnsi="&amp;quot"/>
                <w:color w:val="00B050"/>
                <w:szCs w:val="22"/>
              </w:rPr>
            </w:pPr>
            <w:r w:rsidRPr="00900E78">
              <w:rPr>
                <w:rFonts w:ascii="&amp;quot" w:hAnsi="&amp;quot"/>
                <w:color w:val="00B050"/>
                <w:szCs w:val="22"/>
              </w:rPr>
              <w:t xml:space="preserve">Schedule </w:t>
            </w:r>
            <w:r w:rsidR="00900E78" w:rsidRPr="00900E78">
              <w:rPr>
                <w:rFonts w:ascii="&amp;quot" w:hAnsi="&amp;quot"/>
                <w:color w:val="00B050"/>
                <w:szCs w:val="22"/>
              </w:rPr>
              <w:t>4</w:t>
            </w:r>
            <w:r w:rsidR="00643E67">
              <w:rPr>
                <w:rFonts w:ascii="&amp;quot" w:hAnsi="&amp;quot"/>
                <w:color w:val="00B050"/>
                <w:szCs w:val="22"/>
              </w:rPr>
              <w:br/>
              <w:t>Appendix L, Part 2</w:t>
            </w:r>
          </w:p>
        </w:tc>
      </w:tr>
    </w:tbl>
    <w:p w14:paraId="3C3CEEA7" w14:textId="2D15F77A" w:rsidR="00900E78" w:rsidRDefault="001F7B5C" w:rsidP="00974CC8">
      <w:pPr>
        <w:pStyle w:val="Heading3"/>
        <w:numPr>
          <w:ilvl w:val="1"/>
          <w:numId w:val="23"/>
        </w:numPr>
        <w:spacing w:before="120" w:line="220" w:lineRule="atLeast"/>
        <w:ind w:left="578" w:hanging="578"/>
      </w:pPr>
      <w:bookmarkStart w:id="8" w:name="_Toc93916041"/>
      <w:proofErr w:type="spellStart"/>
      <w:r>
        <w:t>Selumetin</w:t>
      </w:r>
      <w:r w:rsidR="00900E78">
        <w:t>ib</w:t>
      </w:r>
      <w:bookmarkEnd w:id="8"/>
      <w:proofErr w:type="spellEnd"/>
    </w:p>
    <w:tbl>
      <w:tblPr>
        <w:tblStyle w:val="TableGrid"/>
        <w:tblW w:w="0" w:type="auto"/>
        <w:tblInd w:w="421" w:type="dxa"/>
        <w:tblLook w:val="04A0" w:firstRow="1" w:lastRow="0" w:firstColumn="1" w:lastColumn="0" w:noHBand="0" w:noVBand="1"/>
      </w:tblPr>
      <w:tblGrid>
        <w:gridCol w:w="8639"/>
      </w:tblGrid>
      <w:tr w:rsidR="00900E78" w14:paraId="64308C4D" w14:textId="77777777" w:rsidTr="00694998">
        <w:tc>
          <w:tcPr>
            <w:tcW w:w="8639" w:type="dxa"/>
          </w:tcPr>
          <w:p w14:paraId="089C47AD" w14:textId="77777777" w:rsidR="00900E78" w:rsidRPr="00935659" w:rsidRDefault="00900E78" w:rsidP="00974CC8">
            <w:pPr>
              <w:spacing w:after="120"/>
              <w:rPr>
                <w:b/>
              </w:rPr>
            </w:pPr>
            <w:r w:rsidRPr="00935659">
              <w:rPr>
                <w:b/>
              </w:rPr>
              <w:t>Recommendation</w:t>
            </w:r>
          </w:p>
          <w:p w14:paraId="6E766481" w14:textId="77777777" w:rsidR="00900E78" w:rsidRPr="00935659" w:rsidRDefault="00900E78" w:rsidP="00974CC8">
            <w:pPr>
              <w:spacing w:after="120"/>
            </w:pPr>
            <w:r>
              <w:rPr>
                <w:rStyle w:val="Strong"/>
                <w:rFonts w:ascii="&amp;quot" w:hAnsi="&amp;quot"/>
                <w:color w:val="000000"/>
                <w:szCs w:val="22"/>
              </w:rPr>
              <w:t>Schedule 4</w:t>
            </w:r>
            <w:r w:rsidRPr="00935659">
              <w:rPr>
                <w:rStyle w:val="Strong"/>
                <w:rFonts w:ascii="&amp;quot" w:hAnsi="&amp;quot"/>
                <w:color w:val="000000"/>
                <w:szCs w:val="22"/>
              </w:rPr>
              <w:t xml:space="preserve"> - New Entry</w:t>
            </w:r>
          </w:p>
          <w:p w14:paraId="4EFA8C98" w14:textId="61CB079A" w:rsidR="00900E78" w:rsidRPr="00900E78" w:rsidRDefault="001F7B5C" w:rsidP="00974CC8">
            <w:pPr>
              <w:spacing w:after="120"/>
              <w:rPr>
                <w:rFonts w:ascii="&amp;quot" w:hAnsi="&amp;quot"/>
                <w:color w:val="00B050"/>
                <w:szCs w:val="22"/>
              </w:rPr>
            </w:pPr>
            <w:r>
              <w:rPr>
                <w:rFonts w:ascii="&amp;quot" w:hAnsi="&amp;quot"/>
                <w:color w:val="00B050"/>
                <w:szCs w:val="22"/>
              </w:rPr>
              <w:t>SELUMET</w:t>
            </w:r>
            <w:r w:rsidR="00900E78" w:rsidRPr="00900E78">
              <w:rPr>
                <w:color w:val="00B050"/>
              </w:rPr>
              <w:t>INIB</w:t>
            </w:r>
          </w:p>
          <w:p w14:paraId="4C824DCA" w14:textId="451B8B78" w:rsidR="00643E67" w:rsidRDefault="00643E67" w:rsidP="00974CC8">
            <w:pPr>
              <w:spacing w:after="120"/>
              <w:rPr>
                <w:rStyle w:val="Strong"/>
                <w:rFonts w:ascii="&amp;quot" w:hAnsi="&amp;quot"/>
                <w:color w:val="000000"/>
                <w:szCs w:val="22"/>
              </w:rPr>
            </w:pPr>
            <w:r>
              <w:rPr>
                <w:rStyle w:val="Strong"/>
                <w:rFonts w:ascii="&amp;quot" w:hAnsi="&amp;quot"/>
                <w:color w:val="000000"/>
                <w:szCs w:val="22"/>
              </w:rPr>
              <w:t>Appendix L – New Entry</w:t>
            </w:r>
          </w:p>
          <w:p w14:paraId="4CC25D20" w14:textId="4252E352" w:rsidR="00643E67" w:rsidRPr="006D26BE" w:rsidRDefault="00643E67" w:rsidP="00974CC8">
            <w:pPr>
              <w:spacing w:after="120"/>
              <w:rPr>
                <w:rStyle w:val="Strong"/>
                <w:rFonts w:ascii="&amp;quot" w:hAnsi="&amp;quot"/>
                <w:b w:val="0"/>
                <w:bCs w:val="0"/>
                <w:color w:val="00B050"/>
                <w:szCs w:val="22"/>
              </w:rPr>
            </w:pPr>
            <w:r w:rsidRPr="006D26BE">
              <w:rPr>
                <w:rStyle w:val="Strong"/>
                <w:rFonts w:ascii="&amp;quot" w:hAnsi="&amp;quot"/>
                <w:b w:val="0"/>
                <w:bCs w:val="0"/>
                <w:color w:val="00B050"/>
                <w:szCs w:val="22"/>
              </w:rPr>
              <w:t>SELUMETINIB</w:t>
            </w:r>
            <w:r w:rsidRPr="006D26BE">
              <w:rPr>
                <w:rStyle w:val="Strong"/>
                <w:rFonts w:ascii="&amp;quot" w:hAnsi="&amp;quot"/>
                <w:color w:val="00B050"/>
                <w:szCs w:val="22"/>
              </w:rPr>
              <w:t xml:space="preserve"> – </w:t>
            </w:r>
            <w:r w:rsidRPr="006D26BE">
              <w:rPr>
                <w:rStyle w:val="Strong"/>
                <w:rFonts w:ascii="&amp;quot" w:hAnsi="&amp;quot"/>
                <w:b w:val="0"/>
                <w:bCs w:val="0"/>
                <w:color w:val="00B050"/>
                <w:szCs w:val="22"/>
              </w:rPr>
              <w:t>Warning statement 76 (</w:t>
            </w:r>
            <w:r w:rsidRPr="006D26BE">
              <w:rPr>
                <w:rFonts w:ascii="&amp;quot" w:hAnsi="&amp;quot"/>
                <w:color w:val="00B050"/>
                <w:szCs w:val="22"/>
              </w:rPr>
              <w:t>Do not become pregnant during use or within (Insert number of months as per approved Product Information) month(s) of stopping treatment.)</w:t>
            </w:r>
          </w:p>
          <w:p w14:paraId="7CF07410" w14:textId="6AB8BEF3" w:rsidR="00900E78" w:rsidRPr="006C6FB2" w:rsidRDefault="00900E78" w:rsidP="00974CC8">
            <w:pPr>
              <w:spacing w:after="120"/>
            </w:pPr>
            <w:r w:rsidRPr="006C6FB2">
              <w:rPr>
                <w:rStyle w:val="Strong"/>
                <w:rFonts w:ascii="&amp;quot" w:hAnsi="&amp;quot"/>
                <w:color w:val="000000"/>
                <w:szCs w:val="22"/>
              </w:rPr>
              <w:t>Index - New Entry</w:t>
            </w:r>
          </w:p>
          <w:p w14:paraId="2FA189A4" w14:textId="7AF45B7A" w:rsidR="00900E78" w:rsidRPr="00900E78" w:rsidRDefault="001F7B5C" w:rsidP="00974CC8">
            <w:pPr>
              <w:spacing w:after="120"/>
              <w:rPr>
                <w:rFonts w:ascii="&amp;quot" w:hAnsi="&amp;quot"/>
                <w:color w:val="00B050"/>
                <w:szCs w:val="22"/>
              </w:rPr>
            </w:pPr>
            <w:r>
              <w:rPr>
                <w:rStyle w:val="Strong"/>
                <w:color w:val="00B050"/>
              </w:rPr>
              <w:t>SELUME</w:t>
            </w:r>
            <w:r w:rsidR="00900E78" w:rsidRPr="00900E78">
              <w:rPr>
                <w:rStyle w:val="Strong"/>
                <w:color w:val="00B050"/>
              </w:rPr>
              <w:t>TINIB</w:t>
            </w:r>
          </w:p>
          <w:p w14:paraId="632A2DEB" w14:textId="355F045B" w:rsidR="00900E78" w:rsidRPr="00900E78" w:rsidRDefault="00900E78" w:rsidP="00974CC8">
            <w:pPr>
              <w:spacing w:after="120"/>
              <w:rPr>
                <w:rFonts w:ascii="&amp;quot" w:hAnsi="&amp;quot"/>
                <w:color w:val="00B050"/>
                <w:szCs w:val="22"/>
              </w:rPr>
            </w:pPr>
            <w:r w:rsidRPr="00900E78">
              <w:rPr>
                <w:rFonts w:ascii="&amp;quot" w:hAnsi="&amp;quot"/>
                <w:color w:val="00B050"/>
                <w:szCs w:val="22"/>
              </w:rPr>
              <w:t>Schedule 4</w:t>
            </w:r>
            <w:r w:rsidR="00643E67">
              <w:rPr>
                <w:rFonts w:ascii="&amp;quot" w:hAnsi="&amp;quot"/>
                <w:color w:val="00B050"/>
                <w:szCs w:val="22"/>
              </w:rPr>
              <w:br/>
              <w:t>Appendix L, Part 2</w:t>
            </w:r>
          </w:p>
        </w:tc>
      </w:tr>
    </w:tbl>
    <w:p w14:paraId="527C9321" w14:textId="293B3C34" w:rsidR="001F7B5C" w:rsidRDefault="001F7B5C" w:rsidP="00A45BE1">
      <w:pPr>
        <w:pStyle w:val="Heading3"/>
        <w:numPr>
          <w:ilvl w:val="1"/>
          <w:numId w:val="23"/>
        </w:numPr>
        <w:spacing w:before="240" w:line="220" w:lineRule="atLeast"/>
      </w:pPr>
      <w:bookmarkStart w:id="9" w:name="_Toc89268430"/>
      <w:bookmarkStart w:id="10" w:name="_Toc89268431"/>
      <w:bookmarkStart w:id="11" w:name="_Toc89268432"/>
      <w:bookmarkStart w:id="12" w:name="_Toc93916042"/>
      <w:bookmarkEnd w:id="9"/>
      <w:bookmarkEnd w:id="10"/>
      <w:bookmarkEnd w:id="11"/>
      <w:proofErr w:type="spellStart"/>
      <w:r>
        <w:lastRenderedPageBreak/>
        <w:t>Sotorasib</w:t>
      </w:r>
      <w:bookmarkEnd w:id="12"/>
      <w:proofErr w:type="spellEnd"/>
    </w:p>
    <w:tbl>
      <w:tblPr>
        <w:tblStyle w:val="TableGrid"/>
        <w:tblW w:w="0" w:type="auto"/>
        <w:tblInd w:w="421" w:type="dxa"/>
        <w:tblLook w:val="04A0" w:firstRow="1" w:lastRow="0" w:firstColumn="1" w:lastColumn="0" w:noHBand="0" w:noVBand="1"/>
      </w:tblPr>
      <w:tblGrid>
        <w:gridCol w:w="8639"/>
      </w:tblGrid>
      <w:tr w:rsidR="001F7B5C" w14:paraId="673EE19E" w14:textId="77777777" w:rsidTr="00694998">
        <w:tc>
          <w:tcPr>
            <w:tcW w:w="8639" w:type="dxa"/>
          </w:tcPr>
          <w:p w14:paraId="10254483" w14:textId="77777777" w:rsidR="001F7B5C" w:rsidRPr="00935659" w:rsidRDefault="001F7B5C" w:rsidP="00974CC8">
            <w:pPr>
              <w:spacing w:after="120"/>
              <w:rPr>
                <w:b/>
              </w:rPr>
            </w:pPr>
            <w:r w:rsidRPr="00935659">
              <w:rPr>
                <w:b/>
              </w:rPr>
              <w:t>Recommendation</w:t>
            </w:r>
          </w:p>
          <w:p w14:paraId="00C2222C" w14:textId="77777777" w:rsidR="001F7B5C" w:rsidRPr="00935659" w:rsidRDefault="001F7B5C" w:rsidP="00974CC8">
            <w:pPr>
              <w:spacing w:after="120"/>
            </w:pPr>
            <w:r>
              <w:rPr>
                <w:rStyle w:val="Strong"/>
                <w:rFonts w:ascii="&amp;quot" w:hAnsi="&amp;quot"/>
                <w:color w:val="000000"/>
                <w:szCs w:val="22"/>
              </w:rPr>
              <w:t>Schedule 4</w:t>
            </w:r>
            <w:r w:rsidRPr="00935659">
              <w:rPr>
                <w:rStyle w:val="Strong"/>
                <w:rFonts w:ascii="&amp;quot" w:hAnsi="&amp;quot"/>
                <w:color w:val="000000"/>
                <w:szCs w:val="22"/>
              </w:rPr>
              <w:t xml:space="preserve"> - New Entry</w:t>
            </w:r>
          </w:p>
          <w:p w14:paraId="32A59786" w14:textId="3F822725" w:rsidR="001F7B5C" w:rsidRPr="00900E78" w:rsidRDefault="001F7B5C" w:rsidP="00974CC8">
            <w:pPr>
              <w:spacing w:after="120"/>
              <w:rPr>
                <w:rFonts w:ascii="&amp;quot" w:hAnsi="&amp;quot"/>
                <w:color w:val="00B050"/>
                <w:szCs w:val="22"/>
              </w:rPr>
            </w:pPr>
            <w:r>
              <w:rPr>
                <w:rFonts w:ascii="&amp;quot" w:hAnsi="&amp;quot"/>
                <w:color w:val="00B050"/>
                <w:szCs w:val="22"/>
              </w:rPr>
              <w:t>SOTORAS</w:t>
            </w:r>
            <w:r w:rsidRPr="00900E78">
              <w:rPr>
                <w:color w:val="00B050"/>
              </w:rPr>
              <w:t>IB</w:t>
            </w:r>
          </w:p>
          <w:p w14:paraId="15B2C999" w14:textId="77777777" w:rsidR="001F7B5C" w:rsidRPr="006C6FB2" w:rsidRDefault="001F7B5C" w:rsidP="00974CC8">
            <w:pPr>
              <w:spacing w:after="120"/>
            </w:pPr>
            <w:r w:rsidRPr="006C6FB2">
              <w:rPr>
                <w:rStyle w:val="Strong"/>
                <w:rFonts w:ascii="&amp;quot" w:hAnsi="&amp;quot"/>
                <w:color w:val="000000"/>
                <w:szCs w:val="22"/>
              </w:rPr>
              <w:t>Index - New Entry</w:t>
            </w:r>
          </w:p>
          <w:p w14:paraId="06ECB05D" w14:textId="19C4503C" w:rsidR="001F7B5C" w:rsidRPr="00900E78" w:rsidRDefault="001F7B5C" w:rsidP="00974CC8">
            <w:pPr>
              <w:spacing w:after="120"/>
              <w:rPr>
                <w:rFonts w:ascii="&amp;quot" w:hAnsi="&amp;quot"/>
                <w:color w:val="00B050"/>
                <w:szCs w:val="22"/>
              </w:rPr>
            </w:pPr>
            <w:r>
              <w:rPr>
                <w:rStyle w:val="Strong"/>
                <w:color w:val="00B050"/>
              </w:rPr>
              <w:t>SOTORAS</w:t>
            </w:r>
            <w:r w:rsidRPr="00900E78">
              <w:rPr>
                <w:rStyle w:val="Strong"/>
                <w:color w:val="00B050"/>
              </w:rPr>
              <w:t>IB</w:t>
            </w:r>
          </w:p>
          <w:p w14:paraId="41369D57" w14:textId="77777777" w:rsidR="001F7B5C" w:rsidRPr="00900E78" w:rsidRDefault="001F7B5C" w:rsidP="00974CC8">
            <w:pPr>
              <w:spacing w:after="120"/>
              <w:rPr>
                <w:rFonts w:ascii="&amp;quot" w:hAnsi="&amp;quot"/>
                <w:color w:val="00B050"/>
                <w:szCs w:val="22"/>
              </w:rPr>
            </w:pPr>
            <w:r w:rsidRPr="00900E78">
              <w:rPr>
                <w:rFonts w:ascii="&amp;quot" w:hAnsi="&amp;quot"/>
                <w:color w:val="00B050"/>
                <w:szCs w:val="22"/>
              </w:rPr>
              <w:t>Schedule 4</w:t>
            </w:r>
          </w:p>
        </w:tc>
      </w:tr>
    </w:tbl>
    <w:p w14:paraId="5F97BBEE" w14:textId="41253740" w:rsidR="00DD068A" w:rsidRDefault="00DD068A" w:rsidP="00A45BE1">
      <w:pPr>
        <w:pStyle w:val="Heading3"/>
        <w:numPr>
          <w:ilvl w:val="1"/>
          <w:numId w:val="23"/>
        </w:numPr>
        <w:spacing w:before="240" w:line="220" w:lineRule="atLeast"/>
      </w:pPr>
      <w:bookmarkStart w:id="13" w:name="_Toc93916043"/>
      <w:proofErr w:type="spellStart"/>
      <w:r>
        <w:t>Molnupiravir</w:t>
      </w:r>
      <w:bookmarkEnd w:id="13"/>
      <w:proofErr w:type="spellEnd"/>
    </w:p>
    <w:tbl>
      <w:tblPr>
        <w:tblStyle w:val="TableGrid"/>
        <w:tblW w:w="0" w:type="auto"/>
        <w:tblInd w:w="421" w:type="dxa"/>
        <w:tblLook w:val="04A0" w:firstRow="1" w:lastRow="0" w:firstColumn="1" w:lastColumn="0" w:noHBand="0" w:noVBand="1"/>
      </w:tblPr>
      <w:tblGrid>
        <w:gridCol w:w="8639"/>
      </w:tblGrid>
      <w:tr w:rsidR="00DD068A" w14:paraId="2D60955C" w14:textId="77777777" w:rsidTr="008F6881">
        <w:tc>
          <w:tcPr>
            <w:tcW w:w="8639" w:type="dxa"/>
          </w:tcPr>
          <w:p w14:paraId="5B1170AD" w14:textId="77777777" w:rsidR="00DD068A" w:rsidRPr="00935659" w:rsidRDefault="00DD068A" w:rsidP="00974CC8">
            <w:pPr>
              <w:spacing w:after="120"/>
              <w:rPr>
                <w:b/>
              </w:rPr>
            </w:pPr>
            <w:r w:rsidRPr="00935659">
              <w:rPr>
                <w:b/>
              </w:rPr>
              <w:t>Recommendation</w:t>
            </w:r>
          </w:p>
          <w:p w14:paraId="471C872C" w14:textId="77777777" w:rsidR="00DD068A" w:rsidRPr="00935659" w:rsidRDefault="00DD068A" w:rsidP="00974CC8">
            <w:pPr>
              <w:spacing w:after="120"/>
            </w:pPr>
            <w:r>
              <w:rPr>
                <w:rStyle w:val="Strong"/>
                <w:rFonts w:ascii="&amp;quot" w:hAnsi="&amp;quot"/>
                <w:color w:val="000000"/>
                <w:szCs w:val="22"/>
              </w:rPr>
              <w:t>Schedule 4</w:t>
            </w:r>
            <w:r w:rsidRPr="00935659">
              <w:rPr>
                <w:rStyle w:val="Strong"/>
                <w:rFonts w:ascii="&amp;quot" w:hAnsi="&amp;quot"/>
                <w:color w:val="000000"/>
                <w:szCs w:val="22"/>
              </w:rPr>
              <w:t xml:space="preserve"> - New Entry</w:t>
            </w:r>
          </w:p>
          <w:p w14:paraId="2C7A7329" w14:textId="24650F4F" w:rsidR="00DD068A" w:rsidRPr="00900E78" w:rsidRDefault="00DD068A" w:rsidP="00974CC8">
            <w:pPr>
              <w:spacing w:after="120"/>
              <w:rPr>
                <w:rFonts w:ascii="&amp;quot" w:hAnsi="&amp;quot"/>
                <w:color w:val="00B050"/>
                <w:szCs w:val="22"/>
              </w:rPr>
            </w:pPr>
            <w:r>
              <w:rPr>
                <w:rFonts w:ascii="&amp;quot" w:hAnsi="&amp;quot"/>
                <w:color w:val="00B050"/>
                <w:szCs w:val="22"/>
              </w:rPr>
              <w:t>MOLNUPIRAVIR</w:t>
            </w:r>
          </w:p>
          <w:p w14:paraId="70A0AD01" w14:textId="77777777" w:rsidR="00DD068A" w:rsidRPr="006C6FB2" w:rsidRDefault="00DD068A" w:rsidP="00974CC8">
            <w:pPr>
              <w:spacing w:after="120"/>
            </w:pPr>
            <w:r w:rsidRPr="006C6FB2">
              <w:rPr>
                <w:rStyle w:val="Strong"/>
                <w:rFonts w:ascii="&amp;quot" w:hAnsi="&amp;quot"/>
                <w:color w:val="000000"/>
                <w:szCs w:val="22"/>
              </w:rPr>
              <w:t>Index - New Entry</w:t>
            </w:r>
          </w:p>
          <w:p w14:paraId="5F19F9A5" w14:textId="028BD96E" w:rsidR="00DD068A" w:rsidRPr="00DD068A" w:rsidRDefault="00DD068A" w:rsidP="00974CC8">
            <w:pPr>
              <w:spacing w:after="120"/>
              <w:rPr>
                <w:rFonts w:ascii="&amp;quot" w:hAnsi="&amp;quot"/>
                <w:color w:val="00B050"/>
                <w:szCs w:val="22"/>
              </w:rPr>
            </w:pPr>
            <w:r w:rsidRPr="00DD068A">
              <w:rPr>
                <w:rStyle w:val="Strong"/>
                <w:color w:val="00B050"/>
              </w:rPr>
              <w:t>MOLNUPIRAVIR</w:t>
            </w:r>
          </w:p>
          <w:p w14:paraId="028B1992" w14:textId="77777777" w:rsidR="00DD068A" w:rsidRPr="00900E78" w:rsidRDefault="00DD068A" w:rsidP="00974CC8">
            <w:pPr>
              <w:spacing w:after="120"/>
              <w:rPr>
                <w:rFonts w:ascii="&amp;quot" w:hAnsi="&amp;quot"/>
                <w:color w:val="00B050"/>
                <w:szCs w:val="22"/>
              </w:rPr>
            </w:pPr>
            <w:r w:rsidRPr="00900E78">
              <w:rPr>
                <w:rFonts w:ascii="&amp;quot" w:hAnsi="&amp;quot"/>
                <w:color w:val="00B050"/>
                <w:szCs w:val="22"/>
              </w:rPr>
              <w:t>Schedule 4</w:t>
            </w:r>
          </w:p>
        </w:tc>
      </w:tr>
    </w:tbl>
    <w:p w14:paraId="67642A04" w14:textId="06A4AC41" w:rsidR="00DD068A" w:rsidRDefault="00DD068A" w:rsidP="00A45BE1">
      <w:pPr>
        <w:pStyle w:val="Heading3"/>
        <w:numPr>
          <w:ilvl w:val="1"/>
          <w:numId w:val="23"/>
        </w:numPr>
        <w:spacing w:before="240" w:line="220" w:lineRule="atLeast"/>
      </w:pPr>
      <w:bookmarkStart w:id="14" w:name="_Toc93916044"/>
      <w:r>
        <w:t>Selinexor</w:t>
      </w:r>
      <w:bookmarkEnd w:id="14"/>
    </w:p>
    <w:tbl>
      <w:tblPr>
        <w:tblStyle w:val="TableGrid"/>
        <w:tblW w:w="0" w:type="auto"/>
        <w:tblInd w:w="421" w:type="dxa"/>
        <w:tblLook w:val="04A0" w:firstRow="1" w:lastRow="0" w:firstColumn="1" w:lastColumn="0" w:noHBand="0" w:noVBand="1"/>
      </w:tblPr>
      <w:tblGrid>
        <w:gridCol w:w="8639"/>
      </w:tblGrid>
      <w:tr w:rsidR="00DD068A" w14:paraId="388BD35D" w14:textId="77777777" w:rsidTr="008F6881">
        <w:tc>
          <w:tcPr>
            <w:tcW w:w="8639" w:type="dxa"/>
          </w:tcPr>
          <w:p w14:paraId="08ACBF39" w14:textId="77777777" w:rsidR="00DD068A" w:rsidRPr="00935659" w:rsidRDefault="00DD068A" w:rsidP="00974CC8">
            <w:pPr>
              <w:spacing w:after="120"/>
              <w:rPr>
                <w:b/>
              </w:rPr>
            </w:pPr>
            <w:r w:rsidRPr="00935659">
              <w:rPr>
                <w:b/>
              </w:rPr>
              <w:t>Recommendation</w:t>
            </w:r>
          </w:p>
          <w:p w14:paraId="6630AEBE" w14:textId="77777777" w:rsidR="00DD068A" w:rsidRPr="00935659" w:rsidRDefault="00DD068A" w:rsidP="00974CC8">
            <w:pPr>
              <w:spacing w:after="120"/>
            </w:pPr>
            <w:r>
              <w:rPr>
                <w:rStyle w:val="Strong"/>
                <w:rFonts w:ascii="&amp;quot" w:hAnsi="&amp;quot"/>
                <w:color w:val="000000"/>
                <w:szCs w:val="22"/>
              </w:rPr>
              <w:t>Schedule 4</w:t>
            </w:r>
            <w:r w:rsidRPr="00935659">
              <w:rPr>
                <w:rStyle w:val="Strong"/>
                <w:rFonts w:ascii="&amp;quot" w:hAnsi="&amp;quot"/>
                <w:color w:val="000000"/>
                <w:szCs w:val="22"/>
              </w:rPr>
              <w:t xml:space="preserve"> - New Entry</w:t>
            </w:r>
          </w:p>
          <w:p w14:paraId="74ACA256" w14:textId="20E215CA" w:rsidR="00DD068A" w:rsidRDefault="00DD068A" w:rsidP="00974CC8">
            <w:pPr>
              <w:spacing w:after="120"/>
              <w:rPr>
                <w:rFonts w:ascii="&amp;quot" w:hAnsi="&amp;quot"/>
                <w:color w:val="00B050"/>
                <w:szCs w:val="22"/>
              </w:rPr>
            </w:pPr>
            <w:r>
              <w:rPr>
                <w:rFonts w:ascii="&amp;quot" w:hAnsi="&amp;quot"/>
                <w:color w:val="00B050"/>
                <w:szCs w:val="22"/>
              </w:rPr>
              <w:t>SELINEXOR</w:t>
            </w:r>
          </w:p>
          <w:p w14:paraId="1C6AADF1" w14:textId="5C672208" w:rsidR="00DD068A" w:rsidRPr="00DD068A" w:rsidRDefault="00DD068A" w:rsidP="00974CC8">
            <w:pPr>
              <w:spacing w:after="120"/>
              <w:rPr>
                <w:rFonts w:ascii="&amp;quot" w:hAnsi="&amp;quot"/>
                <w:b/>
                <w:bCs/>
                <w:szCs w:val="22"/>
              </w:rPr>
            </w:pPr>
            <w:r w:rsidRPr="00DD068A">
              <w:rPr>
                <w:rFonts w:ascii="&amp;quot" w:hAnsi="&amp;quot"/>
                <w:b/>
                <w:bCs/>
                <w:szCs w:val="22"/>
              </w:rPr>
              <w:t>Appendix L – New Entry</w:t>
            </w:r>
          </w:p>
          <w:p w14:paraId="7B916924" w14:textId="4AF9F100" w:rsidR="00DD068A" w:rsidRPr="00900E78" w:rsidRDefault="00DD068A" w:rsidP="00974CC8">
            <w:pPr>
              <w:spacing w:after="120"/>
              <w:rPr>
                <w:rFonts w:ascii="&amp;quot" w:hAnsi="&amp;quot"/>
                <w:color w:val="00B050"/>
                <w:szCs w:val="22"/>
              </w:rPr>
            </w:pPr>
            <w:r>
              <w:rPr>
                <w:rFonts w:ascii="&amp;quot" w:hAnsi="&amp;quot"/>
                <w:color w:val="00B050"/>
                <w:szCs w:val="22"/>
              </w:rPr>
              <w:t>SELINEXOR – Warning statements 62 (Do not use if pregnant.) and 77 (WARNING – May cause birth defects.)</w:t>
            </w:r>
          </w:p>
          <w:p w14:paraId="1DDCABFD" w14:textId="77777777" w:rsidR="00DD068A" w:rsidRPr="006C6FB2" w:rsidRDefault="00DD068A" w:rsidP="00974CC8">
            <w:pPr>
              <w:spacing w:after="120"/>
            </w:pPr>
            <w:r w:rsidRPr="006C6FB2">
              <w:rPr>
                <w:rStyle w:val="Strong"/>
                <w:rFonts w:ascii="&amp;quot" w:hAnsi="&amp;quot"/>
                <w:color w:val="000000"/>
                <w:szCs w:val="22"/>
              </w:rPr>
              <w:t>Index - New Entry</w:t>
            </w:r>
          </w:p>
          <w:p w14:paraId="1AB78990" w14:textId="0E251CFA" w:rsidR="00DD068A" w:rsidRPr="00DD068A" w:rsidRDefault="00DD068A" w:rsidP="00974CC8">
            <w:pPr>
              <w:spacing w:after="120"/>
              <w:rPr>
                <w:b/>
                <w:bCs/>
                <w:color w:val="00B050"/>
              </w:rPr>
            </w:pPr>
            <w:r w:rsidRPr="00DD068A">
              <w:rPr>
                <w:rStyle w:val="Strong"/>
                <w:color w:val="00B050"/>
              </w:rPr>
              <w:t>SELINEXOR</w:t>
            </w:r>
          </w:p>
          <w:p w14:paraId="73FFD498" w14:textId="08A86843" w:rsidR="00DD068A" w:rsidRPr="00900E78" w:rsidRDefault="00DD068A" w:rsidP="00974CC8">
            <w:pPr>
              <w:spacing w:after="120"/>
              <w:rPr>
                <w:rFonts w:ascii="&amp;quot" w:hAnsi="&amp;quot"/>
                <w:color w:val="00B050"/>
                <w:szCs w:val="22"/>
              </w:rPr>
            </w:pPr>
            <w:r w:rsidRPr="00900E78">
              <w:rPr>
                <w:rFonts w:ascii="&amp;quot" w:hAnsi="&amp;quot"/>
                <w:color w:val="00B050"/>
                <w:szCs w:val="22"/>
              </w:rPr>
              <w:t>Schedule 4</w:t>
            </w:r>
            <w:r>
              <w:rPr>
                <w:rFonts w:ascii="&amp;quot" w:hAnsi="&amp;quot"/>
                <w:color w:val="00B050"/>
                <w:szCs w:val="22"/>
              </w:rPr>
              <w:br/>
              <w:t>Appendix L, Part 2</w:t>
            </w:r>
          </w:p>
        </w:tc>
      </w:tr>
    </w:tbl>
    <w:p w14:paraId="2DB83418" w14:textId="13962971" w:rsidR="00DD068A" w:rsidRDefault="00DD068A" w:rsidP="00A45BE1">
      <w:pPr>
        <w:pStyle w:val="Heading3"/>
        <w:numPr>
          <w:ilvl w:val="1"/>
          <w:numId w:val="23"/>
        </w:numPr>
        <w:spacing w:before="240" w:line="220" w:lineRule="atLeast"/>
      </w:pPr>
      <w:bookmarkStart w:id="15" w:name="_Toc93916045"/>
      <w:proofErr w:type="spellStart"/>
      <w:r>
        <w:t>Tepotinib</w:t>
      </w:r>
      <w:bookmarkEnd w:id="15"/>
      <w:proofErr w:type="spellEnd"/>
    </w:p>
    <w:tbl>
      <w:tblPr>
        <w:tblStyle w:val="TableGrid"/>
        <w:tblW w:w="0" w:type="auto"/>
        <w:tblInd w:w="421" w:type="dxa"/>
        <w:tblLook w:val="04A0" w:firstRow="1" w:lastRow="0" w:firstColumn="1" w:lastColumn="0" w:noHBand="0" w:noVBand="1"/>
      </w:tblPr>
      <w:tblGrid>
        <w:gridCol w:w="8639"/>
      </w:tblGrid>
      <w:tr w:rsidR="00DD068A" w14:paraId="1664A56B" w14:textId="77777777" w:rsidTr="008F6881">
        <w:tc>
          <w:tcPr>
            <w:tcW w:w="8639" w:type="dxa"/>
          </w:tcPr>
          <w:p w14:paraId="0EB35344" w14:textId="77777777" w:rsidR="00DD068A" w:rsidRPr="00935659" w:rsidRDefault="00DD068A" w:rsidP="00974CC8">
            <w:pPr>
              <w:spacing w:after="120"/>
              <w:rPr>
                <w:b/>
              </w:rPr>
            </w:pPr>
            <w:bookmarkStart w:id="16" w:name="_Hlk93311014"/>
            <w:r w:rsidRPr="00935659">
              <w:rPr>
                <w:b/>
              </w:rPr>
              <w:t>Recommendation</w:t>
            </w:r>
          </w:p>
          <w:p w14:paraId="108E0351" w14:textId="77777777" w:rsidR="00DD068A" w:rsidRPr="00935659" w:rsidRDefault="00DD068A" w:rsidP="00974CC8">
            <w:pPr>
              <w:spacing w:after="120"/>
            </w:pPr>
            <w:r>
              <w:rPr>
                <w:rStyle w:val="Strong"/>
                <w:rFonts w:ascii="&amp;quot" w:hAnsi="&amp;quot"/>
                <w:color w:val="000000"/>
                <w:szCs w:val="22"/>
              </w:rPr>
              <w:t>Schedule 4</w:t>
            </w:r>
            <w:r w:rsidRPr="00935659">
              <w:rPr>
                <w:rStyle w:val="Strong"/>
                <w:rFonts w:ascii="&amp;quot" w:hAnsi="&amp;quot"/>
                <w:color w:val="000000"/>
                <w:szCs w:val="22"/>
              </w:rPr>
              <w:t xml:space="preserve"> - New Entry</w:t>
            </w:r>
          </w:p>
          <w:p w14:paraId="3321E2F7" w14:textId="248F19A8" w:rsidR="00DD068A" w:rsidRPr="00900E78" w:rsidRDefault="00DD068A" w:rsidP="00974CC8">
            <w:pPr>
              <w:spacing w:after="120"/>
              <w:rPr>
                <w:rFonts w:ascii="&amp;quot" w:hAnsi="&amp;quot"/>
                <w:color w:val="00B050"/>
                <w:szCs w:val="22"/>
              </w:rPr>
            </w:pPr>
            <w:r>
              <w:rPr>
                <w:rFonts w:ascii="&amp;quot" w:hAnsi="&amp;quot"/>
                <w:color w:val="00B050"/>
                <w:szCs w:val="22"/>
              </w:rPr>
              <w:t>TEPOTINIB</w:t>
            </w:r>
          </w:p>
          <w:p w14:paraId="360CDB79" w14:textId="77777777" w:rsidR="00DD068A" w:rsidRPr="006C6FB2" w:rsidRDefault="00DD068A" w:rsidP="00974CC8">
            <w:pPr>
              <w:spacing w:after="120"/>
            </w:pPr>
            <w:r w:rsidRPr="006C6FB2">
              <w:rPr>
                <w:rStyle w:val="Strong"/>
                <w:rFonts w:ascii="&amp;quot" w:hAnsi="&amp;quot"/>
                <w:color w:val="000000"/>
                <w:szCs w:val="22"/>
              </w:rPr>
              <w:t>Index - New Entry</w:t>
            </w:r>
          </w:p>
          <w:p w14:paraId="264C7E36" w14:textId="37A69F24" w:rsidR="00DD068A" w:rsidRPr="00900E78" w:rsidRDefault="00DD068A" w:rsidP="00974CC8">
            <w:pPr>
              <w:spacing w:after="120"/>
              <w:rPr>
                <w:rFonts w:ascii="&amp;quot" w:hAnsi="&amp;quot"/>
                <w:color w:val="00B050"/>
                <w:szCs w:val="22"/>
              </w:rPr>
            </w:pPr>
            <w:r w:rsidRPr="00DD068A">
              <w:rPr>
                <w:rStyle w:val="Strong"/>
                <w:color w:val="00B050"/>
              </w:rPr>
              <w:t>TEPO</w:t>
            </w:r>
            <w:r w:rsidRPr="00900E78">
              <w:rPr>
                <w:rStyle w:val="Strong"/>
                <w:color w:val="00B050"/>
              </w:rPr>
              <w:t>TINIB</w:t>
            </w:r>
          </w:p>
          <w:p w14:paraId="5F929B82" w14:textId="77777777" w:rsidR="00DD068A" w:rsidRPr="00900E78" w:rsidRDefault="00DD068A" w:rsidP="00974CC8">
            <w:pPr>
              <w:spacing w:after="120"/>
              <w:rPr>
                <w:rFonts w:ascii="&amp;quot" w:hAnsi="&amp;quot"/>
                <w:color w:val="00B050"/>
                <w:szCs w:val="22"/>
              </w:rPr>
            </w:pPr>
            <w:r w:rsidRPr="00900E78">
              <w:rPr>
                <w:rFonts w:ascii="&amp;quot" w:hAnsi="&amp;quot"/>
                <w:color w:val="00B050"/>
                <w:szCs w:val="22"/>
              </w:rPr>
              <w:t>Schedule 4</w:t>
            </w:r>
          </w:p>
        </w:tc>
      </w:tr>
    </w:tbl>
    <w:p w14:paraId="77397E4B" w14:textId="43219D2F" w:rsidR="00A51890" w:rsidRDefault="00A51890" w:rsidP="00A51890">
      <w:pPr>
        <w:pStyle w:val="Heading3"/>
      </w:pPr>
      <w:bookmarkStart w:id="17" w:name="_Toc93916046"/>
      <w:bookmarkEnd w:id="16"/>
      <w:proofErr w:type="spellStart"/>
      <w:r w:rsidRPr="00A51890">
        <w:lastRenderedPageBreak/>
        <w:t>N</w:t>
      </w:r>
      <w:r>
        <w:t>i</w:t>
      </w:r>
      <w:r w:rsidRPr="00A51890">
        <w:t>rmatre</w:t>
      </w:r>
      <w:r w:rsidR="00D13E26">
        <w:t>lv</w:t>
      </w:r>
      <w:r w:rsidRPr="00A51890">
        <w:t>ir</w:t>
      </w:r>
      <w:bookmarkEnd w:id="17"/>
      <w:proofErr w:type="spellEnd"/>
    </w:p>
    <w:tbl>
      <w:tblPr>
        <w:tblStyle w:val="TableGrid"/>
        <w:tblW w:w="0" w:type="auto"/>
        <w:tblInd w:w="421" w:type="dxa"/>
        <w:tblLook w:val="04A0" w:firstRow="1" w:lastRow="0" w:firstColumn="1" w:lastColumn="0" w:noHBand="0" w:noVBand="1"/>
      </w:tblPr>
      <w:tblGrid>
        <w:gridCol w:w="8639"/>
      </w:tblGrid>
      <w:tr w:rsidR="00A51890" w14:paraId="595F980D" w14:textId="77777777" w:rsidTr="00D83A95">
        <w:tc>
          <w:tcPr>
            <w:tcW w:w="8639" w:type="dxa"/>
          </w:tcPr>
          <w:p w14:paraId="308C6CAD" w14:textId="77777777" w:rsidR="00A51890" w:rsidRPr="00935659" w:rsidRDefault="00A51890" w:rsidP="00BD520E">
            <w:pPr>
              <w:spacing w:after="120"/>
              <w:rPr>
                <w:b/>
              </w:rPr>
            </w:pPr>
            <w:r w:rsidRPr="00935659">
              <w:rPr>
                <w:b/>
              </w:rPr>
              <w:t>Recommendation</w:t>
            </w:r>
          </w:p>
          <w:p w14:paraId="1631F294" w14:textId="77777777" w:rsidR="00A51890" w:rsidRPr="00935659" w:rsidRDefault="00A51890" w:rsidP="00BD520E">
            <w:pPr>
              <w:spacing w:after="120"/>
            </w:pPr>
            <w:r>
              <w:rPr>
                <w:rStyle w:val="Strong"/>
                <w:rFonts w:ascii="&amp;quot" w:hAnsi="&amp;quot"/>
                <w:color w:val="000000"/>
                <w:szCs w:val="22"/>
              </w:rPr>
              <w:t>Schedule 4</w:t>
            </w:r>
            <w:r w:rsidRPr="00935659">
              <w:rPr>
                <w:rStyle w:val="Strong"/>
                <w:rFonts w:ascii="&amp;quot" w:hAnsi="&amp;quot"/>
                <w:color w:val="000000"/>
                <w:szCs w:val="22"/>
              </w:rPr>
              <w:t xml:space="preserve"> - New Entry</w:t>
            </w:r>
          </w:p>
          <w:p w14:paraId="1533E76B" w14:textId="18213C11" w:rsidR="00A51890" w:rsidRPr="00900E78" w:rsidRDefault="00A51890" w:rsidP="00BD520E">
            <w:pPr>
              <w:spacing w:after="120"/>
              <w:rPr>
                <w:rFonts w:ascii="&amp;quot" w:hAnsi="&amp;quot"/>
                <w:color w:val="00B050"/>
                <w:szCs w:val="22"/>
              </w:rPr>
            </w:pPr>
            <w:r>
              <w:rPr>
                <w:rFonts w:ascii="&amp;quot" w:hAnsi="&amp;quot"/>
                <w:color w:val="00B050"/>
                <w:szCs w:val="22"/>
              </w:rPr>
              <w:t>NIRMATRELVIR</w:t>
            </w:r>
          </w:p>
          <w:p w14:paraId="0341AA93" w14:textId="77777777" w:rsidR="00A51890" w:rsidRPr="006C6FB2" w:rsidRDefault="00A51890" w:rsidP="00BD520E">
            <w:pPr>
              <w:spacing w:after="120"/>
            </w:pPr>
            <w:r w:rsidRPr="006C6FB2">
              <w:rPr>
                <w:rStyle w:val="Strong"/>
                <w:rFonts w:ascii="&amp;quot" w:hAnsi="&amp;quot"/>
                <w:color w:val="000000"/>
                <w:szCs w:val="22"/>
              </w:rPr>
              <w:t>Index - New Entry</w:t>
            </w:r>
          </w:p>
          <w:p w14:paraId="09396D72" w14:textId="49F51878" w:rsidR="00A51890" w:rsidRPr="00A51890" w:rsidRDefault="00A51890" w:rsidP="00BD520E">
            <w:pPr>
              <w:spacing w:after="120"/>
              <w:rPr>
                <w:rFonts w:ascii="&amp;quot" w:hAnsi="&amp;quot"/>
                <w:b/>
                <w:bCs/>
                <w:color w:val="00B050"/>
                <w:szCs w:val="22"/>
              </w:rPr>
            </w:pPr>
            <w:r w:rsidRPr="00A51890">
              <w:rPr>
                <w:rFonts w:ascii="&amp;quot" w:hAnsi="&amp;quot"/>
                <w:b/>
                <w:bCs/>
                <w:color w:val="00B050"/>
              </w:rPr>
              <w:t>NIRMATRELVIR</w:t>
            </w:r>
          </w:p>
          <w:p w14:paraId="7B28700D" w14:textId="77777777" w:rsidR="00A51890" w:rsidRPr="00900E78" w:rsidRDefault="00A51890" w:rsidP="00BD520E">
            <w:pPr>
              <w:spacing w:after="120"/>
              <w:rPr>
                <w:rFonts w:ascii="&amp;quot" w:hAnsi="&amp;quot"/>
                <w:color w:val="00B050"/>
                <w:szCs w:val="22"/>
              </w:rPr>
            </w:pPr>
            <w:r w:rsidRPr="00900E78">
              <w:rPr>
                <w:rFonts w:ascii="&amp;quot" w:hAnsi="&amp;quot"/>
                <w:color w:val="00B050"/>
                <w:szCs w:val="22"/>
              </w:rPr>
              <w:t>Schedule 4</w:t>
            </w:r>
          </w:p>
        </w:tc>
      </w:tr>
    </w:tbl>
    <w:p w14:paraId="4D22B043" w14:textId="77777777" w:rsidR="001F7B5C" w:rsidRPr="00A51890" w:rsidRDefault="001F7B5C" w:rsidP="00A51890">
      <w:pPr>
        <w:pStyle w:val="Heading3"/>
      </w:pPr>
      <w:r w:rsidRPr="00A51890">
        <w:br w:type="page"/>
      </w:r>
    </w:p>
    <w:p w14:paraId="4B2EBC09" w14:textId="718BDB84" w:rsidR="00BD05E9" w:rsidRDefault="0027115A" w:rsidP="00AD2969">
      <w:pPr>
        <w:pStyle w:val="Heading2"/>
      </w:pPr>
      <w:bookmarkStart w:id="18" w:name="_Toc93916047"/>
      <w:r>
        <w:lastRenderedPageBreak/>
        <w:t>A</w:t>
      </w:r>
      <w:r w:rsidR="00BD05E9">
        <w:t xml:space="preserve">mendments to the Poisons Standard </w:t>
      </w:r>
      <w:r w:rsidR="006A70C4">
        <w:t>made as</w:t>
      </w:r>
      <w:r w:rsidR="00BD05E9">
        <w:t xml:space="preserve"> </w:t>
      </w:r>
      <w:r w:rsidR="0075678F">
        <w:t xml:space="preserve">delegate-only </w:t>
      </w:r>
      <w:r w:rsidR="006A70C4">
        <w:t>decisions</w:t>
      </w:r>
      <w:bookmarkEnd w:id="18"/>
    </w:p>
    <w:p w14:paraId="78DD88E9" w14:textId="77777777" w:rsidR="006A70C4" w:rsidRDefault="006A70C4" w:rsidP="006A70C4">
      <w:pPr>
        <w:pStyle w:val="Heading3"/>
      </w:pPr>
      <w:bookmarkStart w:id="19" w:name="_Toc81841022"/>
      <w:bookmarkStart w:id="20" w:name="_Toc88836060"/>
      <w:bookmarkStart w:id="21" w:name="_Toc81841017"/>
      <w:bookmarkStart w:id="22" w:name="_Toc93916048"/>
      <w:r>
        <w:t>Final decision in relation to gliptins</w:t>
      </w:r>
      <w:bookmarkEnd w:id="19"/>
      <w:bookmarkEnd w:id="20"/>
      <w:bookmarkEnd w:id="22"/>
    </w:p>
    <w:p w14:paraId="65DA50F9" w14:textId="77777777" w:rsidR="006A70C4" w:rsidRPr="00372277" w:rsidRDefault="006A70C4" w:rsidP="006A70C4">
      <w:pPr>
        <w:pStyle w:val="Heading4"/>
      </w:pPr>
      <w:r w:rsidRPr="00372277">
        <w:t xml:space="preserve">Final decision </w:t>
      </w:r>
    </w:p>
    <w:p w14:paraId="03615AD2" w14:textId="3A8D8010" w:rsidR="006A70C4" w:rsidRDefault="006A70C4" w:rsidP="006A70C4">
      <w:r>
        <w:t>Pursuant to regulation 42ZCZU of the</w:t>
      </w:r>
      <w:r w:rsidR="00B63F3E">
        <w:t xml:space="preserve"> </w:t>
      </w:r>
      <w:r w:rsidR="00B63F3E" w:rsidRPr="00764E05">
        <w:rPr>
          <w:i/>
          <w:iCs/>
        </w:rPr>
        <w:t>Therapeutic Goods Regulations 1990</w:t>
      </w:r>
      <w:r w:rsidR="00B63F3E">
        <w:t xml:space="preserve"> (</w:t>
      </w:r>
      <w:proofErr w:type="spellStart"/>
      <w:r w:rsidR="00B63F3E">
        <w:t>Cth</w:t>
      </w:r>
      <w:proofErr w:type="spellEnd"/>
      <w:r w:rsidR="00B63F3E">
        <w:t>) (the</w:t>
      </w:r>
      <w:r>
        <w:t xml:space="preserve"> </w:t>
      </w:r>
      <w:r w:rsidRPr="00694998">
        <w:rPr>
          <w:b/>
          <w:bCs/>
        </w:rPr>
        <w:t>Regulations</w:t>
      </w:r>
      <w:r w:rsidR="00B63F3E">
        <w:t>)</w:t>
      </w:r>
      <w:r>
        <w:t xml:space="preserve"> a Delegate of the Secretary has made a final decision to amend the current Poisons Standard in relation to gliptins as follows:</w:t>
      </w:r>
    </w:p>
    <w:p w14:paraId="48E5CF27" w14:textId="77777777" w:rsidR="006A70C4" w:rsidRDefault="006A70C4" w:rsidP="006A70C4">
      <w:pPr>
        <w:ind w:left="720"/>
        <w:rPr>
          <w:b/>
        </w:rPr>
      </w:pPr>
      <w:r>
        <w:rPr>
          <w:b/>
        </w:rPr>
        <w:t>Schedule 4 – New entry</w:t>
      </w:r>
    </w:p>
    <w:p w14:paraId="3348F318" w14:textId="77777777" w:rsidR="006A70C4" w:rsidRPr="002F4D45" w:rsidRDefault="006A70C4" w:rsidP="006A70C4">
      <w:pPr>
        <w:ind w:left="720"/>
        <w:rPr>
          <w:bCs/>
          <w:color w:val="00B050"/>
        </w:rPr>
      </w:pPr>
      <w:r w:rsidRPr="002F4D45">
        <w:rPr>
          <w:bCs/>
          <w:color w:val="00B050"/>
        </w:rPr>
        <w:t xml:space="preserve">GLIPTINS </w:t>
      </w:r>
      <w:r w:rsidRPr="002F4D45">
        <w:rPr>
          <w:b/>
          <w:color w:val="00B050"/>
        </w:rPr>
        <w:t>except</w:t>
      </w:r>
      <w:r w:rsidRPr="002F4D45">
        <w:rPr>
          <w:bCs/>
          <w:color w:val="00B050"/>
        </w:rPr>
        <w:t xml:space="preserve"> when separately specified in these Schedules.</w:t>
      </w:r>
    </w:p>
    <w:p w14:paraId="10A2B717" w14:textId="77777777" w:rsidR="006A70C4" w:rsidRPr="00DE54D9" w:rsidRDefault="006A70C4" w:rsidP="006A70C4">
      <w:pPr>
        <w:ind w:left="720"/>
        <w:rPr>
          <w:b/>
        </w:rPr>
      </w:pPr>
      <w:r w:rsidRPr="00DE54D9">
        <w:rPr>
          <w:b/>
        </w:rPr>
        <w:t>Index – New entry</w:t>
      </w:r>
    </w:p>
    <w:p w14:paraId="4D5698E3" w14:textId="77777777" w:rsidR="006A70C4" w:rsidRDefault="006A70C4" w:rsidP="006A70C4">
      <w:pPr>
        <w:ind w:left="720"/>
        <w:rPr>
          <w:b/>
          <w:color w:val="00B050"/>
        </w:rPr>
      </w:pPr>
      <w:r w:rsidRPr="002F4D45">
        <w:rPr>
          <w:b/>
          <w:color w:val="00B050"/>
        </w:rPr>
        <w:t>GLIPTINS</w:t>
      </w:r>
    </w:p>
    <w:p w14:paraId="0E342AC3" w14:textId="77777777" w:rsidR="006A70C4" w:rsidRPr="002F4D45" w:rsidRDefault="006A70C4" w:rsidP="006A70C4">
      <w:pPr>
        <w:ind w:left="720"/>
        <w:rPr>
          <w:bCs/>
          <w:color w:val="00B050"/>
        </w:rPr>
      </w:pPr>
      <w:r w:rsidRPr="002F4D45">
        <w:rPr>
          <w:bCs/>
          <w:color w:val="00B050"/>
        </w:rPr>
        <w:t>Schedule 4</w:t>
      </w:r>
    </w:p>
    <w:p w14:paraId="02593CB5" w14:textId="77777777" w:rsidR="006A70C4" w:rsidRPr="00362C69" w:rsidRDefault="006A70C4" w:rsidP="006A70C4">
      <w:pPr>
        <w:pStyle w:val="Heading4"/>
      </w:pPr>
      <w:r w:rsidRPr="00362C69">
        <w:t xml:space="preserve">Materials </w:t>
      </w:r>
      <w:r w:rsidRPr="00372277">
        <w:t>considered</w:t>
      </w:r>
    </w:p>
    <w:p w14:paraId="347A9245" w14:textId="77777777" w:rsidR="006A70C4" w:rsidRDefault="006A70C4" w:rsidP="006A70C4">
      <w:pPr>
        <w:pStyle w:val="ListBullet"/>
        <w:numPr>
          <w:ilvl w:val="0"/>
          <w:numId w:val="0"/>
        </w:numPr>
        <w:ind w:left="360" w:hanging="360"/>
        <w:rPr>
          <w:lang w:eastAsia="en-AU"/>
        </w:rPr>
      </w:pPr>
      <w:bookmarkStart w:id="23" w:name="_Hlk86224365"/>
      <w:r>
        <w:rPr>
          <w:lang w:eastAsia="en-AU"/>
        </w:rPr>
        <w:t>In making this final decision, the Delegate considered the following material:</w:t>
      </w:r>
    </w:p>
    <w:p w14:paraId="5D4A227B" w14:textId="17E4FBD1" w:rsidR="006A70C4" w:rsidRDefault="006A70C4" w:rsidP="006A70C4">
      <w:pPr>
        <w:pStyle w:val="ListBullet"/>
        <w:numPr>
          <w:ilvl w:val="0"/>
          <w:numId w:val="1"/>
        </w:numPr>
        <w:rPr>
          <w:lang w:eastAsia="en-AU"/>
        </w:rPr>
      </w:pPr>
      <w:r>
        <w:t xml:space="preserve">Subsection 52E(1) of the </w:t>
      </w:r>
      <w:r w:rsidRPr="00694998">
        <w:rPr>
          <w:i/>
          <w:iCs/>
        </w:rPr>
        <w:t>Therapeutic Goods Act 1989</w:t>
      </w:r>
      <w:r w:rsidR="00B63F3E">
        <w:t xml:space="preserve"> (</w:t>
      </w:r>
      <w:proofErr w:type="spellStart"/>
      <w:r w:rsidR="00B63F3E">
        <w:t>Cth</w:t>
      </w:r>
      <w:proofErr w:type="spellEnd"/>
      <w:r w:rsidR="00B63F3E">
        <w:t xml:space="preserve">) (the </w:t>
      </w:r>
      <w:r w:rsidR="00B63F3E" w:rsidRPr="00694998">
        <w:rPr>
          <w:b/>
          <w:bCs/>
        </w:rPr>
        <w:t>Act</w:t>
      </w:r>
      <w:r w:rsidR="00B63F3E">
        <w:t>)</w:t>
      </w:r>
      <w:r>
        <w:t xml:space="preserve">, in particular (a) the risks and benefits of the use of a substance; (b) the purposes for which a substance is to be used and the extent of use of a substance; (c) the toxicity of a substance; (e) the potential for abuse of a substance; </w:t>
      </w:r>
      <w:r w:rsidR="00983F7C">
        <w:t>and (f) any other matters that the Secretary considers necessary to protect public health.</w:t>
      </w:r>
    </w:p>
    <w:p w14:paraId="0019A91F" w14:textId="43377DA2" w:rsidR="006A70C4" w:rsidRDefault="00B63F3E" w:rsidP="006A70C4">
      <w:pPr>
        <w:pStyle w:val="ListBullet"/>
        <w:numPr>
          <w:ilvl w:val="0"/>
          <w:numId w:val="1"/>
        </w:numPr>
        <w:rPr>
          <w:lang w:eastAsia="en-AU"/>
        </w:rPr>
      </w:pPr>
      <w:r>
        <w:t>Pursuant to paragraph 52E(2)(a) of the Act, t</w:t>
      </w:r>
      <w:r w:rsidR="006A70C4">
        <w:t xml:space="preserve">he </w:t>
      </w:r>
      <w:hyperlink r:id="rId15" w:history="1">
        <w:r w:rsidR="006A70C4" w:rsidRPr="0024283F">
          <w:rPr>
            <w:rStyle w:val="Hyperlink"/>
          </w:rPr>
          <w:t>Scheduling Policy Framework</w:t>
        </w:r>
      </w:hyperlink>
      <w:r w:rsidR="006A70C4">
        <w:t xml:space="preserve"> </w:t>
      </w:r>
      <w:r>
        <w:t xml:space="preserve">2018 </w:t>
      </w:r>
      <w:r w:rsidR="006A70C4">
        <w:t>(</w:t>
      </w:r>
      <w:r w:rsidR="006A70C4" w:rsidRPr="00694998">
        <w:rPr>
          <w:b/>
          <w:bCs/>
        </w:rPr>
        <w:t>SPF</w:t>
      </w:r>
      <w:r w:rsidR="006A70C4">
        <w:t xml:space="preserve">); and </w:t>
      </w:r>
    </w:p>
    <w:p w14:paraId="7379B4F8" w14:textId="74456CB6" w:rsidR="006A70C4" w:rsidRDefault="006A70C4" w:rsidP="006A70C4">
      <w:pPr>
        <w:pStyle w:val="ListBullet"/>
        <w:numPr>
          <w:ilvl w:val="0"/>
          <w:numId w:val="1"/>
        </w:numPr>
        <w:rPr>
          <w:lang w:eastAsia="en-AU"/>
        </w:rPr>
      </w:pPr>
      <w:r>
        <w:t xml:space="preserve">The </w:t>
      </w:r>
      <w:hyperlink r:id="rId16" w:history="1">
        <w:r w:rsidRPr="0024283F">
          <w:rPr>
            <w:rStyle w:val="Hyperlink"/>
          </w:rPr>
          <w:t>Scheduling handbook: Guidance for amending the Poisons Standard</w:t>
        </w:r>
      </w:hyperlink>
      <w:r w:rsidR="00E755B5">
        <w:t xml:space="preserve"> (the </w:t>
      </w:r>
      <w:r w:rsidR="00E755B5" w:rsidRPr="00694998">
        <w:rPr>
          <w:b/>
          <w:bCs/>
        </w:rPr>
        <w:t>Handbook</w:t>
      </w:r>
      <w:r w:rsidR="00E755B5">
        <w:t>).</w:t>
      </w:r>
      <w:r>
        <w:t xml:space="preserve"> </w:t>
      </w:r>
    </w:p>
    <w:p w14:paraId="1F207C78" w14:textId="77777777" w:rsidR="006A70C4" w:rsidRPr="00F46A4E" w:rsidRDefault="006A70C4" w:rsidP="006A70C4">
      <w:pPr>
        <w:pStyle w:val="Heading4"/>
      </w:pPr>
      <w:r w:rsidRPr="00F46A4E">
        <w:t xml:space="preserve">Reasons for the final </w:t>
      </w:r>
      <w:r w:rsidRPr="00372277">
        <w:t>decision</w:t>
      </w:r>
      <w:r w:rsidRPr="00F46A4E">
        <w:t xml:space="preserve"> (including findings on material questions of fact) </w:t>
      </w:r>
    </w:p>
    <w:p w14:paraId="3C53B7C6" w14:textId="377A19E5" w:rsidR="006A70C4" w:rsidRDefault="006A70C4" w:rsidP="006A70C4">
      <w:pPr>
        <w:pStyle w:val="ListBullet"/>
        <w:numPr>
          <w:ilvl w:val="0"/>
          <w:numId w:val="0"/>
        </w:numPr>
      </w:pPr>
      <w:r>
        <w:t xml:space="preserve">This proposal to amend the Poisons Standard was made on my own initiative. In determining that this matter will be a </w:t>
      </w:r>
      <w:r w:rsidR="004A4EB5">
        <w:t>D</w:t>
      </w:r>
      <w:r>
        <w:t xml:space="preserve">elegate-only decision I have </w:t>
      </w:r>
      <w:proofErr w:type="gramStart"/>
      <w:r>
        <w:t>taken into account</w:t>
      </w:r>
      <w:proofErr w:type="gramEnd"/>
      <w:r>
        <w:t xml:space="preserve"> the matters outlined under </w:t>
      </w:r>
      <w:r w:rsidR="004A4EB5">
        <w:t>s</w:t>
      </w:r>
      <w:r>
        <w:t xml:space="preserve">ection 52E of the </w:t>
      </w:r>
      <w:r w:rsidR="004A4EB5">
        <w:t>Act</w:t>
      </w:r>
      <w:r>
        <w:t xml:space="preserve"> and the </w:t>
      </w:r>
      <w:r w:rsidR="004A4EB5">
        <w:t>SPF</w:t>
      </w:r>
      <w:r>
        <w:t xml:space="preserve">. </w:t>
      </w:r>
      <w:proofErr w:type="gramStart"/>
      <w:r>
        <w:t>In particular</w:t>
      </w:r>
      <w:r w:rsidR="004A4EB5">
        <w:t>,</w:t>
      </w:r>
      <w:r>
        <w:t xml:space="preserve"> I</w:t>
      </w:r>
      <w:proofErr w:type="gramEnd"/>
      <w:r>
        <w:t xml:space="preserve"> note that:</w:t>
      </w:r>
    </w:p>
    <w:p w14:paraId="72BDF8E6" w14:textId="1E4BF67D" w:rsidR="006A70C4" w:rsidRDefault="004A4EB5" w:rsidP="006A70C4">
      <w:pPr>
        <w:pStyle w:val="ListBullet"/>
        <w:numPr>
          <w:ilvl w:val="0"/>
          <w:numId w:val="1"/>
        </w:numPr>
      </w:pPr>
      <w:r>
        <w:t>In relation to paragraphs 52E(1)(a), (b) and (c) of the Act, g</w:t>
      </w:r>
      <w:r w:rsidR="006A70C4">
        <w:t xml:space="preserve">liptins are a class of glucagon inhibitor used in </w:t>
      </w:r>
      <w:r>
        <w:t xml:space="preserve">medicines for </w:t>
      </w:r>
      <w:r w:rsidR="006A70C4">
        <w:t xml:space="preserve">the medical management of diabetes. </w:t>
      </w:r>
      <w:r>
        <w:t>Some s</w:t>
      </w:r>
      <w:r w:rsidR="006A70C4">
        <w:t xml:space="preserve">ubstances from this class are individually included in Schedule 4 of the Poisons Standard including </w:t>
      </w:r>
      <w:proofErr w:type="spellStart"/>
      <w:r w:rsidR="006A70C4">
        <w:t>alogliptin</w:t>
      </w:r>
      <w:proofErr w:type="spellEnd"/>
      <w:r w:rsidR="006A70C4">
        <w:t xml:space="preserve">, </w:t>
      </w:r>
      <w:proofErr w:type="spellStart"/>
      <w:r w:rsidR="006A70C4">
        <w:t>linogliptin</w:t>
      </w:r>
      <w:proofErr w:type="spellEnd"/>
      <w:r w:rsidR="006A70C4">
        <w:t xml:space="preserve">, </w:t>
      </w:r>
      <w:proofErr w:type="spellStart"/>
      <w:r w:rsidR="006A70C4">
        <w:t>saxagliptin</w:t>
      </w:r>
      <w:proofErr w:type="spellEnd"/>
      <w:r w:rsidR="006A70C4">
        <w:t>, sitagliptin and vildagliptin.</w:t>
      </w:r>
    </w:p>
    <w:p w14:paraId="7D0284D0" w14:textId="6A23287D" w:rsidR="006A70C4" w:rsidRDefault="004A4EB5" w:rsidP="006A70C4">
      <w:pPr>
        <w:pStyle w:val="ListBullet"/>
        <w:numPr>
          <w:ilvl w:val="0"/>
          <w:numId w:val="1"/>
        </w:numPr>
      </w:pPr>
      <w:r>
        <w:t>In relation to paragraphs 52E(1)(a) and (c) of the Act, t</w:t>
      </w:r>
      <w:r w:rsidR="006A70C4">
        <w:t xml:space="preserve">he </w:t>
      </w:r>
      <w:r>
        <w:t xml:space="preserve">substances </w:t>
      </w:r>
      <w:r w:rsidR="006A70C4">
        <w:t>in this class have similar toxicology profiles</w:t>
      </w:r>
      <w:r>
        <w:t xml:space="preserve">, yet some of the </w:t>
      </w:r>
      <w:r w:rsidR="006A70C4">
        <w:t xml:space="preserve">known substances in this class </w:t>
      </w:r>
      <w:r>
        <w:t xml:space="preserve">are </w:t>
      </w:r>
      <w:r w:rsidR="006A70C4">
        <w:t>yet to be placed in the Poisons Standard</w:t>
      </w:r>
      <w:r>
        <w:t>.</w:t>
      </w:r>
      <w:r w:rsidR="00694998">
        <w:t xml:space="preserve"> Given the similarity in the toxicological profiles of medicines in this class, access to unscheduled gliptins through importation and other means poses an unacceptable risk to public health. </w:t>
      </w:r>
      <w:r w:rsidR="006A70C4">
        <w:t xml:space="preserve">I have </w:t>
      </w:r>
      <w:r>
        <w:t xml:space="preserve">therefore </w:t>
      </w:r>
      <w:r w:rsidR="006A70C4">
        <w:t xml:space="preserve">decided to create a new group entry in Schedule 4. The new group entry will include an exemption for gliptins that are specified </w:t>
      </w:r>
      <w:r w:rsidR="006A70C4">
        <w:lastRenderedPageBreak/>
        <w:t xml:space="preserve">separately </w:t>
      </w:r>
      <w:r w:rsidR="002C1B84">
        <w:t>within the Poisons Standard</w:t>
      </w:r>
      <w:r w:rsidR="006A70C4">
        <w:t>, to avoid confusion and pre-empt any potential listing for a substance in this class outside Schedule 4.</w:t>
      </w:r>
    </w:p>
    <w:p w14:paraId="64AE2A1A" w14:textId="3B7566D3" w:rsidR="006A70C4" w:rsidRDefault="004A4EB5" w:rsidP="006A70C4">
      <w:pPr>
        <w:pStyle w:val="ListBullet"/>
        <w:numPr>
          <w:ilvl w:val="0"/>
          <w:numId w:val="1"/>
        </w:numPr>
      </w:pPr>
      <w:r>
        <w:t>In relation to paragraphs 52E(1)(e) and (f) of the Act, t</w:t>
      </w:r>
      <w:r w:rsidR="006A70C4">
        <w:t>his new group entry will aid customs and enforcement bodies in the assessment of the restrictions on imported products containing gliptins that are not specifically listed in the Poisons Standard.</w:t>
      </w:r>
      <w:r w:rsidR="006A70C4" w:rsidRPr="002403DA">
        <w:t xml:space="preserve"> </w:t>
      </w:r>
    </w:p>
    <w:p w14:paraId="0892221B" w14:textId="77777777" w:rsidR="006A70C4" w:rsidRDefault="006A70C4" w:rsidP="006A70C4">
      <w:pPr>
        <w:pStyle w:val="ListBullet"/>
        <w:numPr>
          <w:ilvl w:val="0"/>
          <w:numId w:val="0"/>
        </w:numPr>
      </w:pPr>
      <w:r>
        <w:t>Therefore, I have decided to amend the current Poisons Standard in the manner outlined above. The proposed amendment was not referred to an expert advisory committee.</w:t>
      </w:r>
    </w:p>
    <w:bookmarkEnd w:id="23"/>
    <w:p w14:paraId="6933268B" w14:textId="77777777" w:rsidR="006A70C4" w:rsidRPr="00B76897" w:rsidRDefault="006A70C4" w:rsidP="006A70C4">
      <w:pPr>
        <w:pStyle w:val="Heading4"/>
      </w:pPr>
      <w:r w:rsidRPr="00B76897">
        <w:t>Date of effect</w:t>
      </w:r>
    </w:p>
    <w:p w14:paraId="6A5AA04C" w14:textId="77777777" w:rsidR="006A70C4" w:rsidRPr="00AE35CD" w:rsidRDefault="006A70C4" w:rsidP="006A70C4">
      <w:r w:rsidRPr="00AE35CD">
        <w:t>1 February 2022</w:t>
      </w:r>
    </w:p>
    <w:p w14:paraId="31C482D7" w14:textId="77777777" w:rsidR="006A70C4" w:rsidRDefault="006A70C4" w:rsidP="006A70C4">
      <w:pPr>
        <w:pStyle w:val="Heading3"/>
      </w:pPr>
      <w:bookmarkStart w:id="24" w:name="_Toc88836061"/>
      <w:bookmarkStart w:id="25" w:name="_Toc93916049"/>
      <w:r>
        <w:t>Final decision in relation to isotianil</w:t>
      </w:r>
      <w:bookmarkEnd w:id="21"/>
      <w:bookmarkEnd w:id="24"/>
      <w:bookmarkEnd w:id="25"/>
    </w:p>
    <w:p w14:paraId="5ADC35EA" w14:textId="77777777" w:rsidR="006A70C4" w:rsidRPr="00F7689E" w:rsidRDefault="006A70C4" w:rsidP="006A70C4">
      <w:pPr>
        <w:pStyle w:val="Heading4"/>
      </w:pPr>
      <w:r w:rsidRPr="00F7689E">
        <w:t xml:space="preserve">Final </w:t>
      </w:r>
      <w:r w:rsidRPr="00372277">
        <w:t>decision</w:t>
      </w:r>
    </w:p>
    <w:p w14:paraId="4D0D3A9B" w14:textId="77777777" w:rsidR="006A70C4" w:rsidRDefault="006A70C4" w:rsidP="006A70C4">
      <w:r>
        <w:t>Pursuant to regulation 42ZCZU of the Regulations a Delegate of the Secretary has made a final decision to amend the current Poisons Standard in relation to isotianil as follows:</w:t>
      </w:r>
    </w:p>
    <w:p w14:paraId="0F8E3C08" w14:textId="77777777" w:rsidR="006A70C4" w:rsidRDefault="006A70C4" w:rsidP="006A70C4">
      <w:pPr>
        <w:ind w:firstLine="720"/>
        <w:rPr>
          <w:b/>
        </w:rPr>
      </w:pPr>
      <w:r>
        <w:rPr>
          <w:b/>
        </w:rPr>
        <w:t>Schedule 6 – New Entry</w:t>
      </w:r>
    </w:p>
    <w:p w14:paraId="5EA1ABB6" w14:textId="77777777" w:rsidR="006A70C4" w:rsidRPr="00B54D96" w:rsidRDefault="006A70C4" w:rsidP="006A70C4">
      <w:pPr>
        <w:ind w:firstLine="720"/>
        <w:rPr>
          <w:bCs/>
          <w:color w:val="00B050"/>
        </w:rPr>
      </w:pPr>
      <w:r w:rsidRPr="00B54D96">
        <w:rPr>
          <w:bCs/>
          <w:color w:val="00B050"/>
        </w:rPr>
        <w:t>ISOTIANIL</w:t>
      </w:r>
    </w:p>
    <w:p w14:paraId="7B4556C8" w14:textId="77777777" w:rsidR="006A70C4" w:rsidRPr="00B05FAF" w:rsidRDefault="006A70C4" w:rsidP="006A70C4">
      <w:pPr>
        <w:ind w:firstLine="720"/>
        <w:rPr>
          <w:b/>
        </w:rPr>
      </w:pPr>
      <w:r w:rsidRPr="00B05FAF">
        <w:rPr>
          <w:b/>
        </w:rPr>
        <w:t>Index – New Entry</w:t>
      </w:r>
    </w:p>
    <w:p w14:paraId="2E1F258D" w14:textId="77777777" w:rsidR="006A70C4" w:rsidRPr="00835FE4" w:rsidRDefault="006A70C4" w:rsidP="006A70C4">
      <w:pPr>
        <w:ind w:firstLine="720"/>
        <w:rPr>
          <w:b/>
          <w:color w:val="00B050"/>
        </w:rPr>
      </w:pPr>
      <w:r w:rsidRPr="00835FE4">
        <w:rPr>
          <w:b/>
          <w:color w:val="00B050"/>
        </w:rPr>
        <w:t>ISOTIANIL</w:t>
      </w:r>
    </w:p>
    <w:p w14:paraId="7BF06577" w14:textId="77777777" w:rsidR="006A70C4" w:rsidRPr="00B54D96" w:rsidRDefault="006A70C4" w:rsidP="006A70C4">
      <w:pPr>
        <w:ind w:firstLine="720"/>
        <w:rPr>
          <w:bCs/>
          <w:color w:val="00B050"/>
        </w:rPr>
      </w:pPr>
      <w:r w:rsidRPr="00B54D96">
        <w:rPr>
          <w:bCs/>
          <w:color w:val="00B050"/>
        </w:rPr>
        <w:t>Schedule 6</w:t>
      </w:r>
    </w:p>
    <w:p w14:paraId="50717EDD" w14:textId="77777777" w:rsidR="006A70C4" w:rsidRPr="00F7689E" w:rsidRDefault="006A70C4" w:rsidP="006A70C4">
      <w:pPr>
        <w:pStyle w:val="Heading4"/>
      </w:pPr>
      <w:r w:rsidRPr="00F7689E">
        <w:t xml:space="preserve">Materials </w:t>
      </w:r>
      <w:r w:rsidRPr="00372277">
        <w:t>considered</w:t>
      </w:r>
    </w:p>
    <w:p w14:paraId="2D1CCF36" w14:textId="77777777" w:rsidR="006A70C4" w:rsidRDefault="006A70C4" w:rsidP="006A70C4">
      <w:pPr>
        <w:pStyle w:val="ListBullet"/>
        <w:numPr>
          <w:ilvl w:val="0"/>
          <w:numId w:val="0"/>
        </w:numPr>
        <w:ind w:left="360" w:hanging="360"/>
        <w:rPr>
          <w:lang w:eastAsia="en-AU"/>
        </w:rPr>
      </w:pPr>
      <w:r>
        <w:rPr>
          <w:lang w:eastAsia="en-AU"/>
        </w:rPr>
        <w:t>In making this final decision, the Delegate considered the following material:</w:t>
      </w:r>
    </w:p>
    <w:p w14:paraId="454605CF" w14:textId="77777777" w:rsidR="006A70C4" w:rsidRDefault="006A70C4" w:rsidP="006A70C4">
      <w:pPr>
        <w:pStyle w:val="ListBullet"/>
        <w:numPr>
          <w:ilvl w:val="0"/>
          <w:numId w:val="1"/>
        </w:numPr>
        <w:rPr>
          <w:lang w:eastAsia="en-AU"/>
        </w:rPr>
      </w:pPr>
      <w:r>
        <w:rPr>
          <w:lang w:eastAsia="en-AU"/>
        </w:rPr>
        <w:t xml:space="preserve">The application to amend the current Poisons Standard with respect to </w:t>
      </w:r>
      <w:proofErr w:type="gramStart"/>
      <w:r>
        <w:rPr>
          <w:lang w:eastAsia="en-AU"/>
        </w:rPr>
        <w:t>isotianil;</w:t>
      </w:r>
      <w:proofErr w:type="gramEnd"/>
    </w:p>
    <w:p w14:paraId="2A59C312" w14:textId="1B948E43" w:rsidR="006A70C4" w:rsidRDefault="006A70C4" w:rsidP="006A70C4">
      <w:pPr>
        <w:pStyle w:val="ListBullet"/>
        <w:numPr>
          <w:ilvl w:val="0"/>
          <w:numId w:val="1"/>
        </w:numPr>
        <w:rPr>
          <w:lang w:eastAsia="en-AU"/>
        </w:rPr>
      </w:pPr>
      <w:r>
        <w:t xml:space="preserve">Subsection 52E(1) of the </w:t>
      </w:r>
      <w:r w:rsidR="00E755B5">
        <w:t>Act</w:t>
      </w:r>
      <w:r>
        <w:t xml:space="preserve">,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w:t>
      </w:r>
    </w:p>
    <w:p w14:paraId="509D6075" w14:textId="33DDFB9C" w:rsidR="006A70C4" w:rsidRDefault="006A70C4" w:rsidP="006A70C4">
      <w:pPr>
        <w:pStyle w:val="ListBullet"/>
        <w:numPr>
          <w:ilvl w:val="0"/>
          <w:numId w:val="1"/>
        </w:numPr>
        <w:rPr>
          <w:lang w:eastAsia="en-AU"/>
        </w:rPr>
      </w:pPr>
      <w:r>
        <w:t xml:space="preserve">The </w:t>
      </w:r>
      <w:r w:rsidR="00E755B5">
        <w:t>SPF</w:t>
      </w:r>
      <w:r w:rsidR="00AF18C5">
        <w:t>, pursuant to paragraph 52E(2)(a) of the Act</w:t>
      </w:r>
      <w:r>
        <w:t xml:space="preserve">; and </w:t>
      </w:r>
    </w:p>
    <w:p w14:paraId="408A36F4" w14:textId="38115D2D" w:rsidR="006A70C4" w:rsidRDefault="006A70C4" w:rsidP="006A70C4">
      <w:pPr>
        <w:pStyle w:val="ListBullet"/>
        <w:numPr>
          <w:ilvl w:val="0"/>
          <w:numId w:val="1"/>
        </w:numPr>
        <w:rPr>
          <w:lang w:eastAsia="en-AU"/>
        </w:rPr>
      </w:pPr>
      <w:r>
        <w:t>The</w:t>
      </w:r>
      <w:r w:rsidR="00E755B5">
        <w:t xml:space="preserve"> Handbook</w:t>
      </w:r>
      <w:r>
        <w:t xml:space="preserve">. </w:t>
      </w:r>
    </w:p>
    <w:p w14:paraId="116B0F4D" w14:textId="77777777" w:rsidR="006A70C4" w:rsidRPr="00F7689E" w:rsidRDefault="006A70C4" w:rsidP="00974CC8">
      <w:pPr>
        <w:pStyle w:val="Heading4"/>
        <w:pageBreakBefore/>
      </w:pPr>
      <w:bookmarkStart w:id="26" w:name="_Hlk88572216"/>
      <w:r w:rsidRPr="00F7689E">
        <w:lastRenderedPageBreak/>
        <w:t xml:space="preserve">Reasons for the final </w:t>
      </w:r>
      <w:r w:rsidRPr="00372277">
        <w:t>decision</w:t>
      </w:r>
      <w:r w:rsidRPr="00F7689E">
        <w:t xml:space="preserve"> (including findings on material questions of fact) </w:t>
      </w:r>
    </w:p>
    <w:p w14:paraId="5336BC96" w14:textId="3557E8D7" w:rsidR="006A70C4" w:rsidRDefault="006A70C4" w:rsidP="006A70C4">
      <w:pPr>
        <w:pStyle w:val="ListBullet"/>
        <w:numPr>
          <w:ilvl w:val="0"/>
          <w:numId w:val="0"/>
        </w:numPr>
      </w:pPr>
      <w:r>
        <w:t xml:space="preserve">In determining that this matter will be a delegate-only decision I have taken into account the information provided in the application from the </w:t>
      </w:r>
      <w:r w:rsidR="00FE449C">
        <w:t>a</w:t>
      </w:r>
      <w:r>
        <w:t xml:space="preserve">pplicant (Australian Pesticides and Veterinary Medicine Authority (APVMA)), and the matters outlined under </w:t>
      </w:r>
      <w:r w:rsidR="00FE449C">
        <w:t>s</w:t>
      </w:r>
      <w:r>
        <w:t xml:space="preserve">ection 52E of the </w:t>
      </w:r>
      <w:r w:rsidR="00FE449C">
        <w:t>Act</w:t>
      </w:r>
      <w:r>
        <w:t xml:space="preserve"> and the </w:t>
      </w:r>
      <w:r w:rsidR="00FE449C">
        <w:t>SPF</w:t>
      </w:r>
      <w:r>
        <w:t xml:space="preserve">. </w:t>
      </w:r>
      <w:proofErr w:type="gramStart"/>
      <w:r>
        <w:t>In particular I</w:t>
      </w:r>
      <w:proofErr w:type="gramEnd"/>
      <w:r>
        <w:t xml:space="preserve"> note that:</w:t>
      </w:r>
    </w:p>
    <w:p w14:paraId="75EDA87F" w14:textId="07869714" w:rsidR="006A70C4" w:rsidRDefault="00FE449C" w:rsidP="006A70C4">
      <w:pPr>
        <w:pStyle w:val="ListBullet"/>
        <w:numPr>
          <w:ilvl w:val="0"/>
          <w:numId w:val="1"/>
        </w:numPr>
        <w:rPr>
          <w:lang w:eastAsia="en-AU"/>
        </w:rPr>
      </w:pPr>
      <w:r>
        <w:t xml:space="preserve">In relation to paragraph 52E(1)(a) of the Act, </w:t>
      </w:r>
      <w:r>
        <w:rPr>
          <w:lang w:eastAsia="en-AU"/>
        </w:rPr>
        <w:t>t</w:t>
      </w:r>
      <w:r w:rsidR="006A70C4">
        <w:rPr>
          <w:lang w:eastAsia="en-AU"/>
        </w:rPr>
        <w:t xml:space="preserve">he proposed amendment to the Poisons Standard is to include a new entry for isotianil in Schedule 6, based upon benefits to the agricultural industry from the introduction of a novel fungicide. In its application the regulator (APVMA) provided a Human Health Risk Assessment (HHRA) which concluded that the risks to human health and safety posed by this substance are acceptable according to the criteria stipulated in </w:t>
      </w:r>
      <w:r w:rsidR="006A70C4">
        <w:t xml:space="preserve">Section 5A of the </w:t>
      </w:r>
      <w:r w:rsidR="006A70C4" w:rsidRPr="00150ABE">
        <w:rPr>
          <w:i/>
          <w:iCs/>
        </w:rPr>
        <w:t>Agricultural and Veterinary Chemicals Code Act (1994)</w:t>
      </w:r>
      <w:r w:rsidR="006A70C4">
        <w:t>.</w:t>
      </w:r>
      <w:r w:rsidR="006A70C4">
        <w:rPr>
          <w:lang w:eastAsia="en-AU"/>
        </w:rPr>
        <w:t xml:space="preserve"> </w:t>
      </w:r>
    </w:p>
    <w:p w14:paraId="39660074" w14:textId="6EDAA3D8" w:rsidR="006A70C4" w:rsidRDefault="00FE449C" w:rsidP="006A70C4">
      <w:pPr>
        <w:pStyle w:val="ListBullet"/>
        <w:numPr>
          <w:ilvl w:val="0"/>
          <w:numId w:val="1"/>
        </w:numPr>
        <w:rPr>
          <w:lang w:eastAsia="en-AU"/>
        </w:rPr>
      </w:pPr>
      <w:r>
        <w:rPr>
          <w:lang w:eastAsia="en-AU"/>
        </w:rPr>
        <w:t>In relation to paragraph 52E(1)(b)</w:t>
      </w:r>
      <w:r w:rsidR="002C3CBC">
        <w:rPr>
          <w:lang w:eastAsia="en-AU"/>
        </w:rPr>
        <w:t xml:space="preserve"> of the Act</w:t>
      </w:r>
      <w:r>
        <w:rPr>
          <w:lang w:eastAsia="en-AU"/>
        </w:rPr>
        <w:t>, i</w:t>
      </w:r>
      <w:r w:rsidR="006A70C4">
        <w:rPr>
          <w:lang w:eastAsia="en-AU"/>
        </w:rPr>
        <w:t xml:space="preserve">sotianil is a fungicide of the </w:t>
      </w:r>
      <w:proofErr w:type="spellStart"/>
      <w:r w:rsidR="006A70C4">
        <w:rPr>
          <w:lang w:eastAsia="en-AU"/>
        </w:rPr>
        <w:t>thiadiazole-carboxyamide</w:t>
      </w:r>
      <w:proofErr w:type="spellEnd"/>
      <w:r w:rsidR="006A70C4">
        <w:rPr>
          <w:lang w:eastAsia="en-AU"/>
        </w:rPr>
        <w:t xml:space="preserve"> chemical class. No other active </w:t>
      </w:r>
      <w:r w:rsidR="0042040D">
        <w:rPr>
          <w:lang w:eastAsia="en-AU"/>
        </w:rPr>
        <w:t xml:space="preserve">constituent </w:t>
      </w:r>
      <w:r w:rsidR="006A70C4">
        <w:rPr>
          <w:lang w:eastAsia="en-AU"/>
        </w:rPr>
        <w:t xml:space="preserve">in the same class </w:t>
      </w:r>
      <w:r w:rsidR="0042040D">
        <w:rPr>
          <w:lang w:eastAsia="en-AU"/>
        </w:rPr>
        <w:t>has</w:t>
      </w:r>
      <w:r w:rsidR="006A70C4">
        <w:rPr>
          <w:lang w:eastAsia="en-AU"/>
        </w:rPr>
        <w:t xml:space="preserve"> been approved or considered in Australia. The substance and the formulation </w:t>
      </w:r>
      <w:r w:rsidR="0042040D">
        <w:rPr>
          <w:lang w:eastAsia="en-AU"/>
        </w:rPr>
        <w:t xml:space="preserve">for </w:t>
      </w:r>
      <w:r>
        <w:rPr>
          <w:lang w:eastAsia="en-AU"/>
        </w:rPr>
        <w:t xml:space="preserve">a </w:t>
      </w:r>
      <w:r w:rsidR="0042040D">
        <w:rPr>
          <w:lang w:eastAsia="en-AU"/>
        </w:rPr>
        <w:t xml:space="preserve">product </w:t>
      </w:r>
      <w:r w:rsidR="002971EB">
        <w:rPr>
          <w:lang w:eastAsia="en-AU"/>
        </w:rPr>
        <w:t xml:space="preserve">containing isotianil </w:t>
      </w:r>
      <w:r w:rsidR="006A70C4">
        <w:rPr>
          <w:lang w:eastAsia="en-AU"/>
        </w:rPr>
        <w:t xml:space="preserve">are registered in Japan, Korea, Taiwan, Vietnam, the Dominican Republic, </w:t>
      </w:r>
      <w:proofErr w:type="gramStart"/>
      <w:r w:rsidR="006A70C4">
        <w:rPr>
          <w:lang w:eastAsia="en-AU"/>
        </w:rPr>
        <w:t>Honduras</w:t>
      </w:r>
      <w:proofErr w:type="gramEnd"/>
      <w:r w:rsidR="006A70C4">
        <w:rPr>
          <w:lang w:eastAsia="en-AU"/>
        </w:rPr>
        <w:t xml:space="preserve"> and Guatemala for the control of rice blast and/or for use on banana crops.</w:t>
      </w:r>
    </w:p>
    <w:p w14:paraId="192C46C6" w14:textId="0C25C737" w:rsidR="006A70C4" w:rsidRDefault="00FE449C" w:rsidP="006A70C4">
      <w:pPr>
        <w:pStyle w:val="ListBullet"/>
        <w:numPr>
          <w:ilvl w:val="0"/>
          <w:numId w:val="1"/>
        </w:numPr>
        <w:rPr>
          <w:lang w:eastAsia="en-AU"/>
        </w:rPr>
      </w:pPr>
      <w:r>
        <w:rPr>
          <w:lang w:eastAsia="en-AU"/>
        </w:rPr>
        <w:t>In relation to paragraph 52E(1)(c) of the Act, t</w:t>
      </w:r>
      <w:r w:rsidR="006A70C4">
        <w:rPr>
          <w:lang w:eastAsia="en-AU"/>
        </w:rPr>
        <w:t>he application provided data for a product containing isotianil 200g/L, which indicated that the toxicity profile is consistent with a Schedule 6 entry based on its potential for causing skin sensitisation. The data indicate that isotianil is of low acute toxicity by the oral route (</w:t>
      </w:r>
      <w:r w:rsidR="00E8107E">
        <w:rPr>
          <w:lang w:eastAsia="en-AU"/>
        </w:rPr>
        <w:t>LD</w:t>
      </w:r>
      <w:r w:rsidR="00E8107E" w:rsidRPr="00150ABE">
        <w:rPr>
          <w:vertAlign w:val="subscript"/>
          <w:lang w:eastAsia="en-AU"/>
        </w:rPr>
        <w:t>50</w:t>
      </w:r>
      <w:r w:rsidR="00E8107E">
        <w:rPr>
          <w:lang w:eastAsia="en-AU"/>
        </w:rPr>
        <w:t xml:space="preserve"> </w:t>
      </w:r>
      <w:r w:rsidR="006A70C4">
        <w:rPr>
          <w:lang w:eastAsia="en-AU"/>
        </w:rPr>
        <w:t xml:space="preserve">&gt;5000 mg/kg </w:t>
      </w:r>
      <w:proofErr w:type="spellStart"/>
      <w:r w:rsidR="006A70C4">
        <w:rPr>
          <w:lang w:eastAsia="en-AU"/>
        </w:rPr>
        <w:t>bw</w:t>
      </w:r>
      <w:proofErr w:type="spellEnd"/>
      <w:r w:rsidR="006A70C4">
        <w:rPr>
          <w:lang w:eastAsia="en-AU"/>
        </w:rPr>
        <w:t xml:space="preserve"> in rats), dermal route (</w:t>
      </w:r>
      <w:r w:rsidR="00E8107E">
        <w:rPr>
          <w:lang w:eastAsia="en-AU"/>
        </w:rPr>
        <w:t>LD</w:t>
      </w:r>
      <w:r w:rsidR="00E8107E" w:rsidRPr="00150ABE">
        <w:rPr>
          <w:vertAlign w:val="subscript"/>
          <w:lang w:eastAsia="en-AU"/>
        </w:rPr>
        <w:t>50</w:t>
      </w:r>
      <w:r w:rsidR="00E8107E">
        <w:rPr>
          <w:lang w:eastAsia="en-AU"/>
        </w:rPr>
        <w:t xml:space="preserve"> </w:t>
      </w:r>
      <w:r w:rsidR="006A70C4">
        <w:rPr>
          <w:lang w:eastAsia="en-AU"/>
        </w:rPr>
        <w:t xml:space="preserve">&gt;2000 mg/kg </w:t>
      </w:r>
      <w:proofErr w:type="spellStart"/>
      <w:r w:rsidR="006A70C4">
        <w:rPr>
          <w:lang w:eastAsia="en-AU"/>
        </w:rPr>
        <w:t>bw</w:t>
      </w:r>
      <w:proofErr w:type="spellEnd"/>
      <w:r w:rsidR="006A70C4">
        <w:rPr>
          <w:lang w:eastAsia="en-AU"/>
        </w:rPr>
        <w:t xml:space="preserve"> in rats), and inhalat</w:t>
      </w:r>
      <w:r w:rsidR="0042040D">
        <w:rPr>
          <w:lang w:eastAsia="en-AU"/>
        </w:rPr>
        <w:t>ion</w:t>
      </w:r>
      <w:r w:rsidR="006A70C4">
        <w:rPr>
          <w:lang w:eastAsia="en-AU"/>
        </w:rPr>
        <w:t xml:space="preserve"> (</w:t>
      </w:r>
      <w:r w:rsidR="00E8107E">
        <w:rPr>
          <w:lang w:eastAsia="en-AU"/>
        </w:rPr>
        <w:t>LC</w:t>
      </w:r>
      <w:r w:rsidR="00E8107E" w:rsidRPr="00150ABE">
        <w:rPr>
          <w:vertAlign w:val="subscript"/>
          <w:lang w:eastAsia="en-AU"/>
        </w:rPr>
        <w:t>50</w:t>
      </w:r>
      <w:r w:rsidR="00E8107E">
        <w:rPr>
          <w:lang w:eastAsia="en-AU"/>
        </w:rPr>
        <w:t xml:space="preserve"> </w:t>
      </w:r>
      <w:r w:rsidR="006A70C4">
        <w:rPr>
          <w:lang w:eastAsia="en-AU"/>
        </w:rPr>
        <w:t>&gt;4600 mg/m</w:t>
      </w:r>
      <w:r w:rsidR="006A70C4" w:rsidRPr="005304C0">
        <w:rPr>
          <w:vertAlign w:val="superscript"/>
          <w:lang w:eastAsia="en-AU"/>
        </w:rPr>
        <w:t>3</w:t>
      </w:r>
      <w:r w:rsidR="006A70C4">
        <w:rPr>
          <w:lang w:eastAsia="en-AU"/>
        </w:rPr>
        <w:t xml:space="preserve"> in rats). Isotianil is not an eye or skin irritant based on tests on </w:t>
      </w:r>
      <w:proofErr w:type="gramStart"/>
      <w:r w:rsidR="006A70C4">
        <w:rPr>
          <w:lang w:eastAsia="en-AU"/>
        </w:rPr>
        <w:t>rabbits</w:t>
      </w:r>
      <w:r w:rsidR="00EA676D">
        <w:rPr>
          <w:lang w:eastAsia="en-AU"/>
        </w:rPr>
        <w:t>, but</w:t>
      </w:r>
      <w:proofErr w:type="gramEnd"/>
      <w:r w:rsidR="00EA676D">
        <w:rPr>
          <w:lang w:eastAsia="en-AU"/>
        </w:rPr>
        <w:t xml:space="preserve"> was shown to be sensitising to the skin in guinea pigs and mice</w:t>
      </w:r>
      <w:r w:rsidR="006A70C4">
        <w:rPr>
          <w:lang w:eastAsia="en-AU"/>
        </w:rPr>
        <w:t xml:space="preserve">. An acceptable daily intake (ADI) for </w:t>
      </w:r>
      <w:proofErr w:type="spellStart"/>
      <w:r w:rsidR="006A70C4">
        <w:rPr>
          <w:lang w:eastAsia="en-AU"/>
        </w:rPr>
        <w:t>isotianil</w:t>
      </w:r>
      <w:proofErr w:type="spellEnd"/>
      <w:r w:rsidR="006A70C4">
        <w:rPr>
          <w:lang w:eastAsia="en-AU"/>
        </w:rPr>
        <w:t xml:space="preserve"> of 0.0</w:t>
      </w:r>
      <w:r w:rsidR="00D83A95">
        <w:rPr>
          <w:lang w:eastAsia="en-AU"/>
        </w:rPr>
        <w:t>3</w:t>
      </w:r>
      <w:r w:rsidR="006A70C4">
        <w:rPr>
          <w:lang w:eastAsia="en-AU"/>
        </w:rPr>
        <w:t xml:space="preserve"> mg/kg </w:t>
      </w:r>
      <w:proofErr w:type="spellStart"/>
      <w:r w:rsidR="006A70C4">
        <w:rPr>
          <w:lang w:eastAsia="en-AU"/>
        </w:rPr>
        <w:t>bw</w:t>
      </w:r>
      <w:proofErr w:type="spellEnd"/>
      <w:r w:rsidR="006A70C4">
        <w:rPr>
          <w:lang w:eastAsia="en-AU"/>
        </w:rPr>
        <w:t>/day has been established</w:t>
      </w:r>
      <w:r w:rsidR="00D83A95">
        <w:rPr>
          <w:lang w:eastAsia="en-AU"/>
        </w:rPr>
        <w:t xml:space="preserve"> by the APVMA. </w:t>
      </w:r>
    </w:p>
    <w:p w14:paraId="64EEC9A9" w14:textId="50454AFB" w:rsidR="0042040D" w:rsidRDefault="00AF18C5" w:rsidP="0042040D">
      <w:pPr>
        <w:pStyle w:val="ListBullet"/>
        <w:numPr>
          <w:ilvl w:val="0"/>
          <w:numId w:val="1"/>
        </w:numPr>
        <w:rPr>
          <w:lang w:eastAsia="en-AU"/>
        </w:rPr>
      </w:pPr>
      <w:r>
        <w:rPr>
          <w:lang w:eastAsia="en-AU"/>
        </w:rPr>
        <w:t>In relation to paragraphs 52E(1)(c), (d) and (e) of the Act, a</w:t>
      </w:r>
      <w:r w:rsidR="0042040D">
        <w:rPr>
          <w:lang w:eastAsia="en-AU"/>
        </w:rPr>
        <w:t>n exposure assessment for users of the formulated product was conducted and was found to have acceptable margins of exposure for workers wearing a single layer of clothing. Consideration of potential exposure to bystanders during application indicated a low risk.</w:t>
      </w:r>
    </w:p>
    <w:p w14:paraId="52A3CB3B" w14:textId="3DF3824B" w:rsidR="006A70C4" w:rsidRDefault="0042040D" w:rsidP="006A70C4">
      <w:pPr>
        <w:pStyle w:val="ListBullet"/>
        <w:numPr>
          <w:ilvl w:val="0"/>
          <w:numId w:val="1"/>
        </w:numPr>
        <w:rPr>
          <w:lang w:eastAsia="en-AU"/>
        </w:rPr>
      </w:pPr>
      <w:r>
        <w:rPr>
          <w:lang w:eastAsia="en-AU"/>
        </w:rPr>
        <w:t>I am satisfied that</w:t>
      </w:r>
      <w:r w:rsidR="00AF18C5">
        <w:rPr>
          <w:lang w:eastAsia="en-AU"/>
        </w:rPr>
        <w:t xml:space="preserve">, for the purposes of paragraph 52E(1)(d) of the Act, </w:t>
      </w:r>
      <w:r w:rsidR="006A70C4">
        <w:rPr>
          <w:lang w:eastAsia="en-AU"/>
        </w:rPr>
        <w:t xml:space="preserve">the </w:t>
      </w:r>
      <w:r w:rsidR="00AF18C5">
        <w:rPr>
          <w:lang w:eastAsia="en-AU"/>
        </w:rPr>
        <w:t>r</w:t>
      </w:r>
      <w:r w:rsidR="006A70C4">
        <w:rPr>
          <w:lang w:eastAsia="en-AU"/>
        </w:rPr>
        <w:t xml:space="preserve">egulator </w:t>
      </w:r>
      <w:r>
        <w:rPr>
          <w:lang w:eastAsia="en-AU"/>
        </w:rPr>
        <w:t>(</w:t>
      </w:r>
      <w:r w:rsidR="006A70C4">
        <w:rPr>
          <w:lang w:eastAsia="en-AU"/>
        </w:rPr>
        <w:t>APVMA</w:t>
      </w:r>
      <w:r>
        <w:rPr>
          <w:lang w:eastAsia="en-AU"/>
        </w:rPr>
        <w:t>)</w:t>
      </w:r>
      <w:r w:rsidR="006A70C4">
        <w:rPr>
          <w:lang w:eastAsia="en-AU"/>
        </w:rPr>
        <w:t xml:space="preserve"> will consider the dosage, formulation, labelling, </w:t>
      </w:r>
      <w:proofErr w:type="gramStart"/>
      <w:r w:rsidR="006A70C4">
        <w:rPr>
          <w:lang w:eastAsia="en-AU"/>
        </w:rPr>
        <w:t>packaging</w:t>
      </w:r>
      <w:proofErr w:type="gramEnd"/>
      <w:r w:rsidR="006A70C4">
        <w:rPr>
          <w:lang w:eastAsia="en-AU"/>
        </w:rPr>
        <w:t xml:space="preserve"> and presentation of any commercial products.</w:t>
      </w:r>
    </w:p>
    <w:p w14:paraId="71B49CB3" w14:textId="7045C093" w:rsidR="006A70C4" w:rsidRDefault="00AF18C5" w:rsidP="006A70C4">
      <w:pPr>
        <w:pStyle w:val="ListBullet"/>
        <w:numPr>
          <w:ilvl w:val="0"/>
          <w:numId w:val="1"/>
        </w:numPr>
        <w:rPr>
          <w:lang w:eastAsia="en-AU"/>
        </w:rPr>
      </w:pPr>
      <w:r>
        <w:rPr>
          <w:lang w:eastAsia="en-AU"/>
        </w:rPr>
        <w:t>In relation to paragraph 52E(1)(e) of the Act, t</w:t>
      </w:r>
      <w:r w:rsidR="006A70C4">
        <w:rPr>
          <w:lang w:eastAsia="en-AU"/>
        </w:rPr>
        <w:t xml:space="preserve">he substance has no human therapeutic value that would indicate a risk for diversion, </w:t>
      </w:r>
      <w:proofErr w:type="gramStart"/>
      <w:r w:rsidR="006A70C4">
        <w:rPr>
          <w:lang w:eastAsia="en-AU"/>
        </w:rPr>
        <w:t>misuse</w:t>
      </w:r>
      <w:proofErr w:type="gramEnd"/>
      <w:r w:rsidR="006A70C4">
        <w:rPr>
          <w:lang w:eastAsia="en-AU"/>
        </w:rPr>
        <w:t xml:space="preserve"> or abuse.</w:t>
      </w:r>
    </w:p>
    <w:p w14:paraId="38EC68C0" w14:textId="0D2C70ED" w:rsidR="006A70C4" w:rsidRPr="00B05FAF" w:rsidRDefault="00AF18C5" w:rsidP="006A70C4">
      <w:pPr>
        <w:pStyle w:val="ListBullet"/>
        <w:numPr>
          <w:ilvl w:val="0"/>
          <w:numId w:val="0"/>
        </w:numPr>
        <w:rPr>
          <w:lang w:eastAsia="en-AU"/>
        </w:rPr>
      </w:pPr>
      <w:bookmarkStart w:id="27" w:name="_Hlk88572387"/>
      <w:bookmarkEnd w:id="26"/>
      <w:proofErr w:type="gramStart"/>
      <w:r>
        <w:rPr>
          <w:lang w:eastAsia="en-AU"/>
        </w:rPr>
        <w:t>On the basis of</w:t>
      </w:r>
      <w:proofErr w:type="gramEnd"/>
      <w:r>
        <w:rPr>
          <w:lang w:eastAsia="en-AU"/>
        </w:rPr>
        <w:t xml:space="preserve"> the above considerations and</w:t>
      </w:r>
      <w:r w:rsidR="006A70C4">
        <w:rPr>
          <w:lang w:eastAsia="en-AU"/>
        </w:rPr>
        <w:t xml:space="preserve"> the information provided in the application, I have decided to amend the current Poisons Standard in the manner set out in the application. The proposed amendment was not referred to an expert advisory committee.</w:t>
      </w:r>
    </w:p>
    <w:bookmarkEnd w:id="27"/>
    <w:p w14:paraId="607B72FA" w14:textId="77777777" w:rsidR="006A70C4" w:rsidRPr="00B76897" w:rsidRDefault="006A70C4" w:rsidP="006A70C4">
      <w:pPr>
        <w:pStyle w:val="Heading4"/>
      </w:pPr>
      <w:r w:rsidRPr="00B76897">
        <w:t xml:space="preserve">Date of effect </w:t>
      </w:r>
    </w:p>
    <w:p w14:paraId="7AF6C9DE" w14:textId="77777777" w:rsidR="006A70C4" w:rsidRPr="00AE35CD" w:rsidRDefault="006A70C4" w:rsidP="006A70C4">
      <w:r w:rsidRPr="00AE35CD">
        <w:t>1 February 2022</w:t>
      </w:r>
    </w:p>
    <w:p w14:paraId="68AB3CD0" w14:textId="77777777" w:rsidR="006A70C4" w:rsidRDefault="006A70C4" w:rsidP="00764E05">
      <w:pPr>
        <w:pStyle w:val="Heading3"/>
        <w:pageBreakBefore/>
        <w:ind w:left="578" w:hanging="578"/>
      </w:pPr>
      <w:bookmarkStart w:id="28" w:name="_Toc81841018"/>
      <w:bookmarkStart w:id="29" w:name="_Toc88836062"/>
      <w:bookmarkStart w:id="30" w:name="_Toc93916050"/>
      <w:r>
        <w:lastRenderedPageBreak/>
        <w:t>Final decision in relation to chromium trichloride hexahydrate</w:t>
      </w:r>
      <w:bookmarkEnd w:id="28"/>
      <w:bookmarkEnd w:id="29"/>
      <w:bookmarkEnd w:id="30"/>
    </w:p>
    <w:p w14:paraId="0C48D873" w14:textId="77777777" w:rsidR="006A70C4" w:rsidRPr="00F7689E" w:rsidRDefault="006A70C4" w:rsidP="006A70C4">
      <w:pPr>
        <w:pStyle w:val="Heading4"/>
      </w:pPr>
      <w:r w:rsidRPr="00F7689E">
        <w:t xml:space="preserve">Final </w:t>
      </w:r>
      <w:r w:rsidRPr="00372277">
        <w:t>decision</w:t>
      </w:r>
    </w:p>
    <w:p w14:paraId="61A461EE" w14:textId="77777777" w:rsidR="006A70C4" w:rsidRDefault="006A70C4" w:rsidP="006A70C4">
      <w:r>
        <w:t>Pursuant to regulation 42ZCZU of the Regulations a Delegate of the Secretary has made a final decision to amend the current Poisons Standard in relation to chromium trichloride hexahydrate as follows:</w:t>
      </w:r>
    </w:p>
    <w:p w14:paraId="7A4DE377" w14:textId="77777777" w:rsidR="006A70C4" w:rsidRDefault="006A70C4" w:rsidP="006A70C4">
      <w:pPr>
        <w:ind w:firstLine="720"/>
        <w:rPr>
          <w:b/>
        </w:rPr>
      </w:pPr>
      <w:r>
        <w:rPr>
          <w:b/>
        </w:rPr>
        <w:t>Schedule 6 – New Entry</w:t>
      </w:r>
    </w:p>
    <w:p w14:paraId="191C3DAD" w14:textId="0A63044B" w:rsidR="006A70C4" w:rsidRPr="009D0ED8" w:rsidRDefault="006A70C4" w:rsidP="006A70C4">
      <w:pPr>
        <w:ind w:left="720"/>
        <w:rPr>
          <w:bCs/>
          <w:color w:val="00B050"/>
        </w:rPr>
      </w:pPr>
      <w:r w:rsidRPr="009D0ED8">
        <w:rPr>
          <w:bCs/>
          <w:color w:val="00B050"/>
        </w:rPr>
        <w:t xml:space="preserve">CHROMIUM TRICHLORIDE HEXAHYDRATE </w:t>
      </w:r>
      <w:r w:rsidRPr="009D0ED8">
        <w:rPr>
          <w:b/>
          <w:color w:val="00B050"/>
        </w:rPr>
        <w:t>except</w:t>
      </w:r>
      <w:r w:rsidRPr="009D0ED8">
        <w:rPr>
          <w:bCs/>
          <w:color w:val="00B050"/>
        </w:rPr>
        <w:t xml:space="preserve"> in </w:t>
      </w:r>
      <w:r w:rsidR="0077463F" w:rsidRPr="009D0ED8">
        <w:rPr>
          <w:bCs/>
          <w:color w:val="00B050"/>
        </w:rPr>
        <w:t>pr</w:t>
      </w:r>
      <w:r w:rsidR="0077463F">
        <w:rPr>
          <w:bCs/>
          <w:color w:val="00B050"/>
        </w:rPr>
        <w:t>eparation</w:t>
      </w:r>
      <w:r w:rsidR="0077463F" w:rsidRPr="009D0ED8">
        <w:rPr>
          <w:bCs/>
          <w:color w:val="00B050"/>
        </w:rPr>
        <w:t>s</w:t>
      </w:r>
      <w:r w:rsidRPr="009D0ED8">
        <w:rPr>
          <w:bCs/>
          <w:color w:val="00B050"/>
        </w:rPr>
        <w:t xml:space="preserve"> containing 0.5 per cent or less chromium.</w:t>
      </w:r>
    </w:p>
    <w:p w14:paraId="6B76C99F" w14:textId="77777777" w:rsidR="006A70C4" w:rsidRPr="00B05FAF" w:rsidRDefault="006A70C4" w:rsidP="006A70C4">
      <w:pPr>
        <w:ind w:firstLine="720"/>
        <w:rPr>
          <w:b/>
        </w:rPr>
      </w:pPr>
      <w:r w:rsidRPr="00B05FAF">
        <w:rPr>
          <w:b/>
        </w:rPr>
        <w:t>Index – New Entry</w:t>
      </w:r>
    </w:p>
    <w:p w14:paraId="4721C64F" w14:textId="77777777" w:rsidR="006A70C4" w:rsidRPr="00835FE4" w:rsidRDefault="006A70C4" w:rsidP="006A70C4">
      <w:pPr>
        <w:ind w:firstLine="720"/>
        <w:rPr>
          <w:b/>
          <w:color w:val="00B050"/>
        </w:rPr>
      </w:pPr>
      <w:r w:rsidRPr="00835FE4">
        <w:rPr>
          <w:b/>
          <w:color w:val="00B050"/>
        </w:rPr>
        <w:t>CHROMIUM TRICHLORIDE HEXAHYDRATE</w:t>
      </w:r>
    </w:p>
    <w:p w14:paraId="75C18DC0" w14:textId="77777777" w:rsidR="006A70C4" w:rsidRPr="009D0ED8" w:rsidRDefault="006A70C4" w:rsidP="006A70C4">
      <w:pPr>
        <w:ind w:firstLine="720"/>
        <w:rPr>
          <w:bCs/>
          <w:color w:val="00B050"/>
        </w:rPr>
      </w:pPr>
      <w:r w:rsidRPr="009D0ED8">
        <w:rPr>
          <w:bCs/>
          <w:color w:val="00B050"/>
        </w:rPr>
        <w:t>Schedule 6</w:t>
      </w:r>
    </w:p>
    <w:p w14:paraId="1D6802C7" w14:textId="77777777" w:rsidR="006A70C4" w:rsidRPr="00F7689E" w:rsidRDefault="006A70C4" w:rsidP="006A70C4">
      <w:pPr>
        <w:pStyle w:val="Heading4"/>
      </w:pPr>
      <w:r w:rsidRPr="00F7689E">
        <w:t xml:space="preserve">Materials </w:t>
      </w:r>
      <w:r w:rsidRPr="00372277">
        <w:t>considered</w:t>
      </w:r>
    </w:p>
    <w:p w14:paraId="3A3F41DE" w14:textId="77777777" w:rsidR="006A70C4" w:rsidRDefault="006A70C4" w:rsidP="006A70C4">
      <w:pPr>
        <w:pStyle w:val="ListBullet"/>
        <w:numPr>
          <w:ilvl w:val="0"/>
          <w:numId w:val="0"/>
        </w:numPr>
        <w:ind w:left="360" w:hanging="360"/>
        <w:rPr>
          <w:lang w:eastAsia="en-AU"/>
        </w:rPr>
      </w:pPr>
      <w:r>
        <w:rPr>
          <w:lang w:eastAsia="en-AU"/>
        </w:rPr>
        <w:t>In making this final decision, the Delegate considered the following material:</w:t>
      </w:r>
    </w:p>
    <w:p w14:paraId="27CEB69E" w14:textId="77777777" w:rsidR="006A70C4" w:rsidRDefault="006A70C4" w:rsidP="006A70C4">
      <w:pPr>
        <w:pStyle w:val="ListBullet"/>
        <w:numPr>
          <w:ilvl w:val="0"/>
          <w:numId w:val="1"/>
        </w:numPr>
        <w:rPr>
          <w:lang w:eastAsia="en-AU"/>
        </w:rPr>
      </w:pPr>
      <w:r>
        <w:rPr>
          <w:lang w:eastAsia="en-AU"/>
        </w:rPr>
        <w:t xml:space="preserve">The application to amend the current Poisons Standard with respect to chromium trichloride </w:t>
      </w:r>
      <w:proofErr w:type="gramStart"/>
      <w:r>
        <w:rPr>
          <w:lang w:eastAsia="en-AU"/>
        </w:rPr>
        <w:t>hexahydrate;</w:t>
      </w:r>
      <w:proofErr w:type="gramEnd"/>
    </w:p>
    <w:p w14:paraId="4040A47D" w14:textId="13A859DC" w:rsidR="006A70C4" w:rsidRDefault="006A70C4" w:rsidP="006A70C4">
      <w:pPr>
        <w:pStyle w:val="ListBullet"/>
        <w:numPr>
          <w:ilvl w:val="0"/>
          <w:numId w:val="1"/>
        </w:numPr>
        <w:rPr>
          <w:lang w:eastAsia="en-AU"/>
        </w:rPr>
      </w:pPr>
      <w:r>
        <w:t xml:space="preserve">Subsection 52E(1) of the </w:t>
      </w:r>
      <w:r w:rsidR="00AF18C5">
        <w:t>Act</w:t>
      </w:r>
      <w:r>
        <w:t xml:space="preserve">,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w:t>
      </w:r>
    </w:p>
    <w:p w14:paraId="0AF32821" w14:textId="77DAFC3A" w:rsidR="006A70C4" w:rsidRDefault="006A70C4" w:rsidP="006A70C4">
      <w:pPr>
        <w:pStyle w:val="ListBullet"/>
        <w:numPr>
          <w:ilvl w:val="0"/>
          <w:numId w:val="1"/>
        </w:numPr>
        <w:rPr>
          <w:lang w:eastAsia="en-AU"/>
        </w:rPr>
      </w:pPr>
      <w:r>
        <w:t xml:space="preserve">The </w:t>
      </w:r>
      <w:r w:rsidR="00AF18C5">
        <w:t>SPF, pursuant to paragraph 52E(2)(a) of the Act</w:t>
      </w:r>
      <w:r>
        <w:t xml:space="preserve">; and </w:t>
      </w:r>
    </w:p>
    <w:p w14:paraId="2D572FDD" w14:textId="727757FD" w:rsidR="006A70C4" w:rsidRDefault="006A70C4" w:rsidP="006A70C4">
      <w:pPr>
        <w:pStyle w:val="ListBullet"/>
        <w:numPr>
          <w:ilvl w:val="0"/>
          <w:numId w:val="1"/>
        </w:numPr>
        <w:rPr>
          <w:lang w:eastAsia="en-AU"/>
        </w:rPr>
      </w:pPr>
      <w:r>
        <w:t>The</w:t>
      </w:r>
      <w:r w:rsidR="00AF18C5">
        <w:t xml:space="preserve"> Handbook</w:t>
      </w:r>
      <w:r>
        <w:t xml:space="preserve">. </w:t>
      </w:r>
    </w:p>
    <w:p w14:paraId="04D3FBC5" w14:textId="77777777" w:rsidR="006A70C4" w:rsidRPr="00F7689E" w:rsidRDefault="006A70C4" w:rsidP="006A70C4">
      <w:pPr>
        <w:pStyle w:val="Heading4"/>
      </w:pPr>
      <w:r w:rsidRPr="00F7689E">
        <w:t xml:space="preserve">Reasons for the final decision (including findings on material questions of fact) </w:t>
      </w:r>
    </w:p>
    <w:p w14:paraId="536E56CF" w14:textId="06A5DA48" w:rsidR="006A70C4" w:rsidRDefault="006A70C4" w:rsidP="006A70C4">
      <w:pPr>
        <w:pStyle w:val="ListBullet"/>
        <w:numPr>
          <w:ilvl w:val="0"/>
          <w:numId w:val="0"/>
        </w:numPr>
      </w:pPr>
      <w:r>
        <w:t>In determining that this matter will be a delegate-only decision I have taken into account the information provided in the application from the</w:t>
      </w:r>
      <w:r w:rsidRPr="00183928">
        <w:t xml:space="preserve"> </w:t>
      </w:r>
      <w:r w:rsidR="00AF18C5">
        <w:t>a</w:t>
      </w:r>
      <w:r>
        <w:t xml:space="preserve">pplicant (Australian Pesticides and Veterinary Medicine Authority (APVMA)), and the matters outlined under Section 52E of the </w:t>
      </w:r>
      <w:r w:rsidR="00AF18C5">
        <w:t>Act</w:t>
      </w:r>
      <w:r>
        <w:t xml:space="preserve"> and the </w:t>
      </w:r>
      <w:r w:rsidR="00AF18C5">
        <w:t>SPF</w:t>
      </w:r>
      <w:r>
        <w:t xml:space="preserve">. </w:t>
      </w:r>
      <w:proofErr w:type="gramStart"/>
      <w:r>
        <w:t>In particular I</w:t>
      </w:r>
      <w:proofErr w:type="gramEnd"/>
      <w:r>
        <w:t xml:space="preserve"> note that:</w:t>
      </w:r>
    </w:p>
    <w:p w14:paraId="4B051D6A" w14:textId="4DAC7F55" w:rsidR="006A70C4" w:rsidRDefault="0053770B" w:rsidP="0053770B">
      <w:pPr>
        <w:pStyle w:val="ListBullet"/>
        <w:numPr>
          <w:ilvl w:val="0"/>
          <w:numId w:val="1"/>
        </w:numPr>
        <w:rPr>
          <w:lang w:eastAsia="en-AU"/>
        </w:rPr>
      </w:pPr>
      <w:r>
        <w:t xml:space="preserve">In relation to paragraph 52E(1)(a) of the Act, </w:t>
      </w:r>
      <w:r>
        <w:rPr>
          <w:lang w:eastAsia="en-AU"/>
        </w:rPr>
        <w:t>t</w:t>
      </w:r>
      <w:r w:rsidR="006A70C4">
        <w:rPr>
          <w:lang w:eastAsia="en-AU"/>
        </w:rPr>
        <w:t>he proposed amendment to the Poisons Standard is to include a new entry for chromium trichloride hexahydrate in Schedule 6, based upon benefits to the agricultural industry from the introduction of a parenteral nutritional supplement for use in cattle. In its application</w:t>
      </w:r>
      <w:r w:rsidR="00D9326B">
        <w:rPr>
          <w:lang w:eastAsia="en-AU"/>
        </w:rPr>
        <w:t>,</w:t>
      </w:r>
      <w:r w:rsidR="006A70C4">
        <w:rPr>
          <w:lang w:eastAsia="en-AU"/>
        </w:rPr>
        <w:t xml:space="preserve"> the regulator (APVMA) provided a Human Health Risk Assessment (HHRA) which concluded that the risks to human health and safety posed by this substance are acceptable according to the criteria stipulated in </w:t>
      </w:r>
      <w:r w:rsidR="00377E76">
        <w:t>s</w:t>
      </w:r>
      <w:r w:rsidR="006A70C4">
        <w:t>ection 5A of the</w:t>
      </w:r>
      <w:r w:rsidR="006A70C4" w:rsidRPr="0053770B">
        <w:rPr>
          <w:i/>
          <w:iCs/>
        </w:rPr>
        <w:t xml:space="preserve"> Agricultural and Veterinary Chemicals Code Act (1994)</w:t>
      </w:r>
      <w:r>
        <w:t>.</w:t>
      </w:r>
    </w:p>
    <w:p w14:paraId="1E4639A9" w14:textId="20583F3B" w:rsidR="006A70C4" w:rsidRDefault="00E449FA" w:rsidP="00E449FA">
      <w:pPr>
        <w:pStyle w:val="ListBullet"/>
        <w:numPr>
          <w:ilvl w:val="0"/>
          <w:numId w:val="1"/>
        </w:numPr>
      </w:pPr>
      <w:r>
        <w:rPr>
          <w:lang w:eastAsia="en-AU"/>
        </w:rPr>
        <w:t xml:space="preserve">In relation to paragraph 52E(1)(b) of the Act, </w:t>
      </w:r>
      <w:r>
        <w:t>t</w:t>
      </w:r>
      <w:r w:rsidR="006A70C4">
        <w:t>rivalent chromium (Cr (III))</w:t>
      </w:r>
      <w:r w:rsidR="0077463F">
        <w:t>, as is found in chromium trichloride hexahydrate,</w:t>
      </w:r>
      <w:r w:rsidR="006A70C4">
        <w:t xml:space="preserve"> is an essential element in both animal and human nutrition. Parenteral supplementation </w:t>
      </w:r>
      <w:r w:rsidR="00AC386B">
        <w:t xml:space="preserve">in animals for example, </w:t>
      </w:r>
      <w:r w:rsidR="006A70C4">
        <w:t>is used to optimise chromium trace element levels in cattle at critical growth and development stages such as calving, joining and drying off</w:t>
      </w:r>
      <w:r w:rsidR="00BA507D">
        <w:t>.</w:t>
      </w:r>
    </w:p>
    <w:p w14:paraId="071ECD2F" w14:textId="32B159C1" w:rsidR="006A70C4" w:rsidRDefault="00E449FA" w:rsidP="00E449FA">
      <w:pPr>
        <w:pStyle w:val="ListBullet"/>
        <w:numPr>
          <w:ilvl w:val="0"/>
          <w:numId w:val="1"/>
        </w:numPr>
      </w:pPr>
      <w:r>
        <w:rPr>
          <w:lang w:eastAsia="en-AU"/>
        </w:rPr>
        <w:lastRenderedPageBreak/>
        <w:t>In relation to paragraph 52E(1)(c) of the Act, t</w:t>
      </w:r>
      <w:r w:rsidR="006A70C4">
        <w:rPr>
          <w:lang w:eastAsia="en-AU"/>
        </w:rPr>
        <w:t xml:space="preserve">he application provided data which indicate that the toxicity profile is consistent with a Schedule 6 entry, based on its potential for causing skin and eye sensitisation. The data indicate that chromium (III) is of </w:t>
      </w:r>
      <w:r w:rsidR="006A70C4">
        <w:t>low to moderate acute oral toxicity (</w:t>
      </w:r>
      <w:r w:rsidR="00E8107E">
        <w:t>LD</w:t>
      </w:r>
      <w:r w:rsidR="00E8107E" w:rsidRPr="00150ABE">
        <w:rPr>
          <w:vertAlign w:val="subscript"/>
        </w:rPr>
        <w:t>50</w:t>
      </w:r>
      <w:r w:rsidR="00E8107E">
        <w:t xml:space="preserve"> </w:t>
      </w:r>
      <w:r w:rsidR="006A70C4">
        <w:t xml:space="preserve">440 – 1970 mg/kg </w:t>
      </w:r>
      <w:proofErr w:type="spellStart"/>
      <w:r w:rsidR="006A70C4">
        <w:t>bw</w:t>
      </w:r>
      <w:proofErr w:type="spellEnd"/>
      <w:r w:rsidR="006A70C4">
        <w:t xml:space="preserve"> in rats), low acute dermal toxicity (</w:t>
      </w:r>
      <w:r w:rsidR="00E8107E">
        <w:t>LD</w:t>
      </w:r>
      <w:r w:rsidR="00E8107E" w:rsidRPr="00150ABE">
        <w:rPr>
          <w:vertAlign w:val="subscript"/>
        </w:rPr>
        <w:t>50</w:t>
      </w:r>
      <w:r w:rsidR="00E8107E">
        <w:t xml:space="preserve"> </w:t>
      </w:r>
      <w:r w:rsidR="006A70C4">
        <w:t xml:space="preserve">&gt;2000 mg/kg </w:t>
      </w:r>
      <w:proofErr w:type="spellStart"/>
      <w:r w:rsidR="006A70C4">
        <w:t>bw</w:t>
      </w:r>
      <w:proofErr w:type="spellEnd"/>
      <w:r w:rsidR="006A70C4">
        <w:t xml:space="preserve"> in rats) and low acute inhalational toxicity. It is likely to be a moderate to severe eye irritant, a slight skin irritant and may cause allergic skin reactions, based on tests on rabbits</w:t>
      </w:r>
      <w:r>
        <w:t>.</w:t>
      </w:r>
    </w:p>
    <w:p w14:paraId="38D23B96" w14:textId="6E3D2CC6" w:rsidR="00AC386B" w:rsidRDefault="00AC386B" w:rsidP="00E449FA">
      <w:pPr>
        <w:pStyle w:val="ListBullet"/>
        <w:numPr>
          <w:ilvl w:val="0"/>
          <w:numId w:val="1"/>
        </w:numPr>
      </w:pPr>
      <w:r>
        <w:t xml:space="preserve">The application also provided </w:t>
      </w:r>
      <w:r w:rsidR="000C351B">
        <w:t>information</w:t>
      </w:r>
      <w:r>
        <w:t xml:space="preserve"> that indicated that </w:t>
      </w:r>
      <w:r w:rsidR="00F64959">
        <w:t>based on the use of chromium (III) as chromium trichloride hexahydrate in various unscheduled oral and parenteral preparations for therapeutic use in humans, and the overall low toxicity of an animal nutritional preparation containing 0.5% w/v chromium (III) as chromium trichloride hexahydrate, a concentration cut-off to unscheduled at 0.5% w/v could be supported.</w:t>
      </w:r>
    </w:p>
    <w:p w14:paraId="43B22DCF" w14:textId="3436B3B1" w:rsidR="006A70C4" w:rsidRDefault="00E449FA" w:rsidP="00E449FA">
      <w:pPr>
        <w:pStyle w:val="ListBullet"/>
        <w:numPr>
          <w:ilvl w:val="0"/>
          <w:numId w:val="1"/>
        </w:numPr>
        <w:rPr>
          <w:lang w:eastAsia="en-AU"/>
        </w:rPr>
      </w:pPr>
      <w:r>
        <w:rPr>
          <w:lang w:eastAsia="en-AU"/>
        </w:rPr>
        <w:t xml:space="preserve">In relation to paragraph 52E(1)(c) of the Act, </w:t>
      </w:r>
      <w:r>
        <w:t>c</w:t>
      </w:r>
      <w:r w:rsidR="006A70C4">
        <w:t xml:space="preserve">hromium (VI) is highly toxic, but there is no evidence that chromium (III) is transformed to </w:t>
      </w:r>
      <w:r w:rsidR="00786DBC">
        <w:t>c</w:t>
      </w:r>
      <w:r w:rsidR="006E21BD">
        <w:t>hromium</w:t>
      </w:r>
      <w:r w:rsidR="006A70C4">
        <w:t xml:space="preserve"> (VI) in biological systems. There are no reports of adverse reproductive outcomes in humans associated with </w:t>
      </w:r>
      <w:r w:rsidR="00DF11C7">
        <w:t>chromium (III)</w:t>
      </w:r>
      <w:r w:rsidR="006A70C4">
        <w:t xml:space="preserve">, although there is limited evidence of </w:t>
      </w:r>
      <w:r w:rsidR="006A70C4" w:rsidRPr="00E449FA">
        <w:rPr>
          <w:i/>
          <w:iCs/>
        </w:rPr>
        <w:t>in vitro</w:t>
      </w:r>
      <w:r w:rsidR="006A70C4">
        <w:t xml:space="preserve"> genotoxicity (but not </w:t>
      </w:r>
      <w:r w:rsidR="006A70C4" w:rsidRPr="00E449FA">
        <w:rPr>
          <w:i/>
          <w:iCs/>
        </w:rPr>
        <w:t>in vivo</w:t>
      </w:r>
      <w:r w:rsidR="006A70C4">
        <w:t>). There are</w:t>
      </w:r>
      <w:r w:rsidR="00DF11C7">
        <w:t xml:space="preserve"> a</w:t>
      </w:r>
      <w:r w:rsidR="006A70C4">
        <w:t xml:space="preserve"> few cases of chromium</w:t>
      </w:r>
      <w:r w:rsidR="0077463F">
        <w:t xml:space="preserve"> (III)</w:t>
      </w:r>
      <w:r w:rsidR="006A70C4">
        <w:t xml:space="preserve"> </w:t>
      </w:r>
      <w:proofErr w:type="gramStart"/>
      <w:r w:rsidR="006A70C4">
        <w:t>toxicity</w:t>
      </w:r>
      <w:proofErr w:type="gramEnd"/>
      <w:r w:rsidR="006A70C4">
        <w:t xml:space="preserve"> in humans </w:t>
      </w:r>
      <w:r w:rsidR="00DF11C7">
        <w:t xml:space="preserve">that have been </w:t>
      </w:r>
      <w:r w:rsidR="006A70C4">
        <w:t xml:space="preserve">reported </w:t>
      </w:r>
      <w:r w:rsidR="00DF11C7">
        <w:t>in the</w:t>
      </w:r>
      <w:r w:rsidR="006A70C4">
        <w:t xml:space="preserve"> literature. Those that were reported</w:t>
      </w:r>
      <w:r w:rsidR="00DF11C7">
        <w:t>,</w:t>
      </w:r>
      <w:r w:rsidR="006A70C4">
        <w:t xml:space="preserve"> resulted from overconsumption of nutritional supplements, with full recovery achieved in each case after treatment.</w:t>
      </w:r>
    </w:p>
    <w:p w14:paraId="5E7C93EB" w14:textId="3D6B13FE" w:rsidR="006E21BD" w:rsidRDefault="00E449FA" w:rsidP="00E449FA">
      <w:pPr>
        <w:pStyle w:val="ListBullet"/>
        <w:numPr>
          <w:ilvl w:val="0"/>
          <w:numId w:val="1"/>
        </w:numPr>
        <w:rPr>
          <w:lang w:eastAsia="en-AU"/>
        </w:rPr>
      </w:pPr>
      <w:r>
        <w:rPr>
          <w:lang w:eastAsia="en-AU"/>
        </w:rPr>
        <w:t xml:space="preserve">I am satisfied that, for the purposes of paragraph 52E(1)(d) of the Act, </w:t>
      </w:r>
      <w:r w:rsidR="006E21BD">
        <w:rPr>
          <w:lang w:eastAsia="en-AU"/>
        </w:rPr>
        <w:t xml:space="preserve">the </w:t>
      </w:r>
      <w:r w:rsidR="009C4D05">
        <w:rPr>
          <w:lang w:eastAsia="en-AU"/>
        </w:rPr>
        <w:t>r</w:t>
      </w:r>
      <w:r w:rsidR="006E21BD">
        <w:rPr>
          <w:lang w:eastAsia="en-AU"/>
        </w:rPr>
        <w:t xml:space="preserve">egulator (APVMA) will consider the dosage, formulation, labelling, </w:t>
      </w:r>
      <w:proofErr w:type="gramStart"/>
      <w:r w:rsidR="006E21BD">
        <w:rPr>
          <w:lang w:eastAsia="en-AU"/>
        </w:rPr>
        <w:t>packaging</w:t>
      </w:r>
      <w:proofErr w:type="gramEnd"/>
      <w:r w:rsidR="006E21BD">
        <w:rPr>
          <w:lang w:eastAsia="en-AU"/>
        </w:rPr>
        <w:t xml:space="preserve"> and presentation of any commercial products (52E(1)(d)).</w:t>
      </w:r>
    </w:p>
    <w:p w14:paraId="43367DCB" w14:textId="1AB3718D" w:rsidR="006A70C4" w:rsidRDefault="00E449FA" w:rsidP="00E449FA">
      <w:pPr>
        <w:pStyle w:val="ListBullet"/>
        <w:numPr>
          <w:ilvl w:val="0"/>
          <w:numId w:val="1"/>
        </w:numPr>
        <w:rPr>
          <w:lang w:eastAsia="en-AU"/>
        </w:rPr>
      </w:pPr>
      <w:r>
        <w:rPr>
          <w:lang w:eastAsia="en-AU"/>
        </w:rPr>
        <w:t>In relation to paragraph 52E(1)(e) of the Act, t</w:t>
      </w:r>
      <w:r w:rsidR="006A70C4">
        <w:rPr>
          <w:lang w:eastAsia="en-AU"/>
        </w:rPr>
        <w:t xml:space="preserve">he substance has no human therapeutic value that would indicate a risk for diversion, </w:t>
      </w:r>
      <w:proofErr w:type="gramStart"/>
      <w:r w:rsidR="006A70C4">
        <w:rPr>
          <w:lang w:eastAsia="en-AU"/>
        </w:rPr>
        <w:t>misuse</w:t>
      </w:r>
      <w:proofErr w:type="gramEnd"/>
      <w:r w:rsidR="006A70C4">
        <w:rPr>
          <w:lang w:eastAsia="en-AU"/>
        </w:rPr>
        <w:t xml:space="preserve"> or abuse.</w:t>
      </w:r>
    </w:p>
    <w:p w14:paraId="1C84BEFF" w14:textId="69F6A742" w:rsidR="006A70C4" w:rsidRPr="00B05FAF" w:rsidRDefault="009C4D05" w:rsidP="006A70C4">
      <w:pPr>
        <w:pStyle w:val="ListBullet"/>
        <w:numPr>
          <w:ilvl w:val="0"/>
          <w:numId w:val="0"/>
        </w:numPr>
        <w:rPr>
          <w:lang w:eastAsia="en-AU"/>
        </w:rPr>
      </w:pPr>
      <w:proofErr w:type="gramStart"/>
      <w:r>
        <w:rPr>
          <w:lang w:eastAsia="en-AU"/>
        </w:rPr>
        <w:t>On the basis of</w:t>
      </w:r>
      <w:proofErr w:type="gramEnd"/>
      <w:r>
        <w:rPr>
          <w:lang w:eastAsia="en-AU"/>
        </w:rPr>
        <w:t xml:space="preserve"> the above considerations and the information provided in the application</w:t>
      </w:r>
      <w:r w:rsidR="006A70C4">
        <w:rPr>
          <w:lang w:eastAsia="en-AU"/>
        </w:rPr>
        <w:t xml:space="preserve">, I have decided to amend the current Poisons Standard in the manner set out in the application. The proposed amendment was not referred to an expert advisory committee. </w:t>
      </w:r>
    </w:p>
    <w:p w14:paraId="2BA005D8" w14:textId="77777777" w:rsidR="006A70C4" w:rsidRPr="00B76897" w:rsidRDefault="006A70C4" w:rsidP="006A70C4">
      <w:pPr>
        <w:pStyle w:val="Heading4"/>
      </w:pPr>
      <w:r w:rsidRPr="00B76897">
        <w:t>Date of effect</w:t>
      </w:r>
    </w:p>
    <w:p w14:paraId="350CF4B4" w14:textId="77777777" w:rsidR="006A70C4" w:rsidRPr="00AE35CD" w:rsidRDefault="006A70C4" w:rsidP="006A70C4">
      <w:r w:rsidRPr="00AE35CD">
        <w:t>1 February 2022</w:t>
      </w:r>
    </w:p>
    <w:p w14:paraId="4D1470EF" w14:textId="77777777" w:rsidR="006A70C4" w:rsidRDefault="006A70C4" w:rsidP="006A70C4">
      <w:pPr>
        <w:pStyle w:val="Heading3"/>
      </w:pPr>
      <w:bookmarkStart w:id="31" w:name="_Toc81841019"/>
      <w:bookmarkStart w:id="32" w:name="_Toc88836063"/>
      <w:bookmarkStart w:id="33" w:name="_Toc93916051"/>
      <w:r>
        <w:t xml:space="preserve">Final decision in relation to </w:t>
      </w:r>
      <w:proofErr w:type="spellStart"/>
      <w:r>
        <w:t>metobromuron</w:t>
      </w:r>
      <w:bookmarkEnd w:id="31"/>
      <w:bookmarkEnd w:id="32"/>
      <w:bookmarkEnd w:id="33"/>
      <w:proofErr w:type="spellEnd"/>
    </w:p>
    <w:p w14:paraId="243D6EF9" w14:textId="77777777" w:rsidR="006A70C4" w:rsidRPr="00F7689E" w:rsidRDefault="006A70C4" w:rsidP="006A70C4">
      <w:pPr>
        <w:pStyle w:val="Heading4"/>
      </w:pPr>
      <w:r w:rsidRPr="00F7689E">
        <w:t xml:space="preserve">Final </w:t>
      </w:r>
      <w:r w:rsidRPr="00372277">
        <w:t>decision</w:t>
      </w:r>
    </w:p>
    <w:p w14:paraId="63D6FA61" w14:textId="77777777" w:rsidR="006A70C4" w:rsidRDefault="006A70C4" w:rsidP="006A70C4">
      <w:r>
        <w:t xml:space="preserve">Pursuant to regulation 42ZCZU of the Regulations a Delegate of the Secretary has made a final decision to amend the current Poisons Standard in relation to </w:t>
      </w:r>
      <w:proofErr w:type="spellStart"/>
      <w:r>
        <w:t>metobromuron</w:t>
      </w:r>
      <w:proofErr w:type="spellEnd"/>
      <w:r>
        <w:t xml:space="preserve"> as follows:</w:t>
      </w:r>
    </w:p>
    <w:p w14:paraId="495056B8" w14:textId="77777777" w:rsidR="006A70C4" w:rsidRDefault="006A70C4" w:rsidP="006A70C4">
      <w:pPr>
        <w:ind w:firstLine="720"/>
        <w:rPr>
          <w:b/>
        </w:rPr>
      </w:pPr>
      <w:r>
        <w:rPr>
          <w:b/>
        </w:rPr>
        <w:t>Schedule 5 – New Entry</w:t>
      </w:r>
    </w:p>
    <w:p w14:paraId="2A1BB7DF" w14:textId="77777777" w:rsidR="006A70C4" w:rsidRPr="00835FE4" w:rsidRDefault="006A70C4" w:rsidP="006A70C4">
      <w:pPr>
        <w:ind w:left="720"/>
        <w:rPr>
          <w:bCs/>
          <w:color w:val="00B050"/>
        </w:rPr>
      </w:pPr>
      <w:r w:rsidRPr="00835FE4">
        <w:rPr>
          <w:bCs/>
          <w:color w:val="00B050"/>
        </w:rPr>
        <w:t xml:space="preserve">METOBROMURON </w:t>
      </w:r>
      <w:r w:rsidRPr="00835FE4">
        <w:rPr>
          <w:b/>
          <w:color w:val="00B050"/>
        </w:rPr>
        <w:t>except</w:t>
      </w:r>
      <w:r w:rsidRPr="00835FE4">
        <w:rPr>
          <w:bCs/>
          <w:color w:val="00B050"/>
        </w:rPr>
        <w:t xml:space="preserve"> in preparations containing 50 per cent or less of </w:t>
      </w:r>
      <w:proofErr w:type="spellStart"/>
      <w:r w:rsidRPr="00835FE4">
        <w:rPr>
          <w:bCs/>
          <w:color w:val="00B050"/>
        </w:rPr>
        <w:t>metobromuron</w:t>
      </w:r>
      <w:proofErr w:type="spellEnd"/>
      <w:r w:rsidRPr="00835FE4">
        <w:rPr>
          <w:bCs/>
          <w:color w:val="00B050"/>
        </w:rPr>
        <w:t>.</w:t>
      </w:r>
    </w:p>
    <w:p w14:paraId="0469B67D" w14:textId="77777777" w:rsidR="006A70C4" w:rsidRPr="00B05FAF" w:rsidRDefault="006A70C4" w:rsidP="006A70C4">
      <w:pPr>
        <w:ind w:firstLine="720"/>
        <w:rPr>
          <w:b/>
        </w:rPr>
      </w:pPr>
      <w:r w:rsidRPr="00B05FAF">
        <w:rPr>
          <w:b/>
        </w:rPr>
        <w:t>Index – New Entry</w:t>
      </w:r>
    </w:p>
    <w:p w14:paraId="668A9008" w14:textId="77777777" w:rsidR="006A70C4" w:rsidRPr="00835FE4" w:rsidRDefault="006A70C4" w:rsidP="006A70C4">
      <w:pPr>
        <w:ind w:firstLine="720"/>
        <w:rPr>
          <w:b/>
          <w:color w:val="00B050"/>
        </w:rPr>
      </w:pPr>
      <w:r w:rsidRPr="00835FE4">
        <w:rPr>
          <w:b/>
          <w:color w:val="00B050"/>
        </w:rPr>
        <w:t>METOBROMURON</w:t>
      </w:r>
    </w:p>
    <w:p w14:paraId="6CC46CB4" w14:textId="77777777" w:rsidR="006A70C4" w:rsidRPr="00835FE4" w:rsidRDefault="006A70C4" w:rsidP="006A70C4">
      <w:pPr>
        <w:ind w:firstLine="720"/>
        <w:rPr>
          <w:bCs/>
          <w:color w:val="00B050"/>
        </w:rPr>
      </w:pPr>
      <w:r w:rsidRPr="00835FE4">
        <w:rPr>
          <w:bCs/>
          <w:color w:val="00B050"/>
        </w:rPr>
        <w:t>Schedule 5</w:t>
      </w:r>
    </w:p>
    <w:p w14:paraId="468B2183" w14:textId="77777777" w:rsidR="006A70C4" w:rsidRPr="00F7689E" w:rsidRDefault="006A70C4" w:rsidP="006A70C4">
      <w:pPr>
        <w:pStyle w:val="Heading4"/>
      </w:pPr>
      <w:r w:rsidRPr="00F7689E">
        <w:lastRenderedPageBreak/>
        <w:t xml:space="preserve">Materials </w:t>
      </w:r>
      <w:r w:rsidRPr="00372277">
        <w:t>considered</w:t>
      </w:r>
    </w:p>
    <w:p w14:paraId="62917CA0" w14:textId="77777777" w:rsidR="006A70C4" w:rsidRDefault="006A70C4" w:rsidP="006A70C4">
      <w:pPr>
        <w:pStyle w:val="ListBullet"/>
        <w:numPr>
          <w:ilvl w:val="0"/>
          <w:numId w:val="0"/>
        </w:numPr>
        <w:ind w:left="360" w:hanging="360"/>
        <w:rPr>
          <w:lang w:eastAsia="en-AU"/>
        </w:rPr>
      </w:pPr>
      <w:r>
        <w:rPr>
          <w:lang w:eastAsia="en-AU"/>
        </w:rPr>
        <w:t>In making this final decision, the Delegate considered the following material:</w:t>
      </w:r>
    </w:p>
    <w:p w14:paraId="0266DE65" w14:textId="77777777" w:rsidR="006A70C4" w:rsidRDefault="006A70C4" w:rsidP="006A70C4">
      <w:pPr>
        <w:pStyle w:val="ListBullet"/>
        <w:numPr>
          <w:ilvl w:val="0"/>
          <w:numId w:val="1"/>
        </w:numPr>
        <w:rPr>
          <w:lang w:eastAsia="en-AU"/>
        </w:rPr>
      </w:pPr>
      <w:r>
        <w:rPr>
          <w:lang w:eastAsia="en-AU"/>
        </w:rPr>
        <w:t xml:space="preserve">The application to amend the current Poisons Standard with respect to </w:t>
      </w:r>
      <w:proofErr w:type="spellStart"/>
      <w:proofErr w:type="gramStart"/>
      <w:r>
        <w:rPr>
          <w:lang w:eastAsia="en-AU"/>
        </w:rPr>
        <w:t>metobromuron</w:t>
      </w:r>
      <w:proofErr w:type="spellEnd"/>
      <w:r>
        <w:rPr>
          <w:lang w:eastAsia="en-AU"/>
        </w:rPr>
        <w:t>;</w:t>
      </w:r>
      <w:proofErr w:type="gramEnd"/>
    </w:p>
    <w:p w14:paraId="3F6E7B1E" w14:textId="0049A954" w:rsidR="006A70C4" w:rsidRDefault="006A70C4" w:rsidP="006A70C4">
      <w:pPr>
        <w:pStyle w:val="ListBullet"/>
        <w:numPr>
          <w:ilvl w:val="0"/>
          <w:numId w:val="1"/>
        </w:numPr>
        <w:rPr>
          <w:lang w:eastAsia="en-AU"/>
        </w:rPr>
      </w:pPr>
      <w:r>
        <w:t xml:space="preserve">Subsection 52E(1) of the </w:t>
      </w:r>
      <w:r w:rsidR="009C4D05">
        <w:t>Act</w:t>
      </w:r>
      <w:r>
        <w:t xml:space="preserve">,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w:t>
      </w:r>
    </w:p>
    <w:p w14:paraId="0C76111C" w14:textId="100BC0DA" w:rsidR="006A70C4" w:rsidRDefault="006A70C4" w:rsidP="006A70C4">
      <w:pPr>
        <w:pStyle w:val="ListBullet"/>
        <w:numPr>
          <w:ilvl w:val="0"/>
          <w:numId w:val="1"/>
        </w:numPr>
        <w:rPr>
          <w:lang w:eastAsia="en-AU"/>
        </w:rPr>
      </w:pPr>
      <w:r>
        <w:t xml:space="preserve">The </w:t>
      </w:r>
      <w:r w:rsidR="009C4D05">
        <w:t>SPF, pursuant to paragraph 52E(2)(a) of the Act</w:t>
      </w:r>
      <w:r>
        <w:t xml:space="preserve">; and </w:t>
      </w:r>
    </w:p>
    <w:p w14:paraId="287B162C" w14:textId="69712AA9" w:rsidR="006A70C4" w:rsidRDefault="006A70C4" w:rsidP="006A70C4">
      <w:pPr>
        <w:pStyle w:val="ListBullet"/>
        <w:numPr>
          <w:ilvl w:val="0"/>
          <w:numId w:val="1"/>
        </w:numPr>
        <w:rPr>
          <w:lang w:eastAsia="en-AU"/>
        </w:rPr>
      </w:pPr>
      <w:r>
        <w:t>The</w:t>
      </w:r>
      <w:r w:rsidR="009C4D05">
        <w:t xml:space="preserve"> Handbook.</w:t>
      </w:r>
      <w:r>
        <w:t xml:space="preserve"> </w:t>
      </w:r>
    </w:p>
    <w:p w14:paraId="150E55E7" w14:textId="77777777" w:rsidR="006A70C4" w:rsidRPr="00F7689E" w:rsidRDefault="006A70C4" w:rsidP="006A70C4">
      <w:pPr>
        <w:pStyle w:val="Heading4"/>
      </w:pPr>
      <w:r w:rsidRPr="00F7689E">
        <w:t xml:space="preserve">Reasons for the final </w:t>
      </w:r>
      <w:r w:rsidRPr="00372277">
        <w:t>decision</w:t>
      </w:r>
      <w:r w:rsidRPr="00F7689E">
        <w:t xml:space="preserve"> (including findings on material questions of fact) </w:t>
      </w:r>
    </w:p>
    <w:p w14:paraId="62023012" w14:textId="0E3709A1" w:rsidR="006A70C4" w:rsidRDefault="006A70C4" w:rsidP="006A70C4">
      <w:pPr>
        <w:pStyle w:val="ListBullet"/>
        <w:numPr>
          <w:ilvl w:val="0"/>
          <w:numId w:val="0"/>
        </w:numPr>
      </w:pPr>
      <w:r>
        <w:t>In determining that this matter will be a delegate-only decision I have taken into account the information provided in the application from the</w:t>
      </w:r>
      <w:r w:rsidRPr="00183928">
        <w:t xml:space="preserve"> </w:t>
      </w:r>
      <w:r w:rsidR="009C4D05">
        <w:t>a</w:t>
      </w:r>
      <w:r>
        <w:t xml:space="preserve">pplicant (Australian Pesticides and Veterinary Medicine Authority (APVMA)), and the matters outlined under Section 52E of the </w:t>
      </w:r>
      <w:r w:rsidR="009C4D05">
        <w:t>Act</w:t>
      </w:r>
      <w:r>
        <w:t xml:space="preserve"> and the </w:t>
      </w:r>
      <w:r w:rsidR="009C4D05">
        <w:t>SPF</w:t>
      </w:r>
      <w:r>
        <w:t xml:space="preserve">. </w:t>
      </w:r>
      <w:proofErr w:type="gramStart"/>
      <w:r>
        <w:t>In particular I</w:t>
      </w:r>
      <w:proofErr w:type="gramEnd"/>
      <w:r>
        <w:t xml:space="preserve"> note that:</w:t>
      </w:r>
    </w:p>
    <w:p w14:paraId="08FB0260" w14:textId="7C1AB196" w:rsidR="006A70C4" w:rsidRDefault="00434E6E" w:rsidP="00434E6E">
      <w:pPr>
        <w:pStyle w:val="ListBullet"/>
        <w:numPr>
          <w:ilvl w:val="0"/>
          <w:numId w:val="1"/>
        </w:numPr>
        <w:rPr>
          <w:lang w:eastAsia="en-AU"/>
        </w:rPr>
      </w:pPr>
      <w:r>
        <w:t xml:space="preserve">In relation to paragraph 52E(1)(a) of the Act, </w:t>
      </w:r>
      <w:r>
        <w:rPr>
          <w:lang w:eastAsia="en-AU"/>
        </w:rPr>
        <w:t>t</w:t>
      </w:r>
      <w:r w:rsidR="006A70C4">
        <w:rPr>
          <w:lang w:eastAsia="en-AU"/>
        </w:rPr>
        <w:t xml:space="preserve">he proposed amendment to the Poisons Standard is to include a new entry for </w:t>
      </w:r>
      <w:proofErr w:type="spellStart"/>
      <w:r w:rsidR="006A70C4">
        <w:rPr>
          <w:lang w:eastAsia="en-AU"/>
        </w:rPr>
        <w:t>metobromuron</w:t>
      </w:r>
      <w:proofErr w:type="spellEnd"/>
      <w:r w:rsidR="006A70C4">
        <w:rPr>
          <w:lang w:eastAsia="en-AU"/>
        </w:rPr>
        <w:t xml:space="preserve"> in Schedule 5, based upon benefits to the agricultural industry from the introduction of a new herbicide. In its application the regulator (APVMA) provided a Human Health Risk Assessment (HHRA) which concluded that the risks to human health and safety posed by this substance are acceptable according to the criteria stipulated in </w:t>
      </w:r>
      <w:r w:rsidR="006A70C4">
        <w:t xml:space="preserve">Section 5A of the </w:t>
      </w:r>
      <w:r w:rsidR="006A70C4" w:rsidRPr="00434E6E">
        <w:rPr>
          <w:i/>
          <w:iCs/>
        </w:rPr>
        <w:t>Agricultural and Veterinary Chemicals Code Act (1994)</w:t>
      </w:r>
      <w:r w:rsidR="006A70C4">
        <w:t>.</w:t>
      </w:r>
      <w:r w:rsidR="006A70C4">
        <w:rPr>
          <w:lang w:eastAsia="en-AU"/>
        </w:rPr>
        <w:t xml:space="preserve"> </w:t>
      </w:r>
    </w:p>
    <w:p w14:paraId="2096DC91" w14:textId="6F390FE0" w:rsidR="006A70C4" w:rsidRDefault="00E350C5" w:rsidP="006A70C4">
      <w:pPr>
        <w:pStyle w:val="ListBullet"/>
        <w:numPr>
          <w:ilvl w:val="0"/>
          <w:numId w:val="1"/>
        </w:numPr>
      </w:pPr>
      <w:r>
        <w:t xml:space="preserve">In relation to paragraph 52E(1)(b)(c) and (d) of the Act, </w:t>
      </w:r>
      <w:proofErr w:type="spellStart"/>
      <w:r>
        <w:t>m</w:t>
      </w:r>
      <w:r w:rsidR="006A70C4">
        <w:t>etobromuron</w:t>
      </w:r>
      <w:proofErr w:type="spellEnd"/>
      <w:r w:rsidR="006A70C4">
        <w:t xml:space="preserve"> inhibits photosynthesis and is used commercially for control of weeds on potato crops. </w:t>
      </w:r>
      <w:proofErr w:type="spellStart"/>
      <w:r w:rsidR="006A70C4">
        <w:t>Metobromuron</w:t>
      </w:r>
      <w:proofErr w:type="spellEnd"/>
      <w:r w:rsidR="006A70C4">
        <w:t xml:space="preserve"> is chemically related to several herbicides which are approved for agricultural use in Australia and already listed in the Poisons Standard, including diuron, fluometuron</w:t>
      </w:r>
      <w:r w:rsidR="009C4D05">
        <w:t xml:space="preserve"> and</w:t>
      </w:r>
      <w:r w:rsidR="006A70C4">
        <w:t xml:space="preserve"> linuron </w:t>
      </w:r>
      <w:r w:rsidR="009C4D05">
        <w:t xml:space="preserve">in </w:t>
      </w:r>
      <w:r w:rsidR="006A70C4">
        <w:t>Appendix B</w:t>
      </w:r>
      <w:r w:rsidR="009C4D05">
        <w:t>,</w:t>
      </w:r>
      <w:r w:rsidR="006A70C4">
        <w:t xml:space="preserve"> and </w:t>
      </w:r>
      <w:proofErr w:type="spellStart"/>
      <w:r w:rsidR="006A70C4">
        <w:t>siduron</w:t>
      </w:r>
      <w:proofErr w:type="spellEnd"/>
      <w:r w:rsidR="006A70C4">
        <w:t xml:space="preserve"> </w:t>
      </w:r>
      <w:r w:rsidR="009C4D05">
        <w:t xml:space="preserve">in </w:t>
      </w:r>
      <w:r w:rsidR="006A70C4">
        <w:t>Schedule 5.</w:t>
      </w:r>
    </w:p>
    <w:p w14:paraId="56986949" w14:textId="3198698A" w:rsidR="006A70C4" w:rsidRDefault="00150EA0">
      <w:pPr>
        <w:pStyle w:val="ListBullet"/>
        <w:numPr>
          <w:ilvl w:val="0"/>
          <w:numId w:val="1"/>
        </w:numPr>
      </w:pPr>
      <w:r>
        <w:t xml:space="preserve">In relation to paragraph 52E(1)(c) of the Act, </w:t>
      </w:r>
      <w:r>
        <w:rPr>
          <w:lang w:eastAsia="en-AU"/>
        </w:rPr>
        <w:t>t</w:t>
      </w:r>
      <w:r w:rsidR="006A70C4">
        <w:rPr>
          <w:lang w:eastAsia="en-AU"/>
        </w:rPr>
        <w:t xml:space="preserve">he application provided data for a product containing </w:t>
      </w:r>
      <w:proofErr w:type="spellStart"/>
      <w:r w:rsidR="006A70C4">
        <w:rPr>
          <w:lang w:eastAsia="en-AU"/>
        </w:rPr>
        <w:t>metobromuron</w:t>
      </w:r>
      <w:proofErr w:type="spellEnd"/>
      <w:r w:rsidR="006A70C4">
        <w:rPr>
          <w:lang w:eastAsia="en-AU"/>
        </w:rPr>
        <w:t xml:space="preserve"> 500g/L (i.e. 50 per cent), which indicated that the toxicity profile is consistent with a Schedule 5 entry. </w:t>
      </w:r>
      <w:proofErr w:type="spellStart"/>
      <w:r w:rsidR="006A70C4">
        <w:t>Metobromuron</w:t>
      </w:r>
      <w:proofErr w:type="spellEnd"/>
      <w:r w:rsidR="006A70C4">
        <w:t xml:space="preserve"> has low acute toxicity via the oral (</w:t>
      </w:r>
      <w:r w:rsidR="00E8107E">
        <w:t>LD</w:t>
      </w:r>
      <w:r w:rsidR="00E8107E" w:rsidRPr="00150ABE">
        <w:rPr>
          <w:vertAlign w:val="subscript"/>
        </w:rPr>
        <w:t>50</w:t>
      </w:r>
      <w:r w:rsidR="00E8107E">
        <w:t xml:space="preserve"> </w:t>
      </w:r>
      <w:r w:rsidR="006A70C4">
        <w:t xml:space="preserve">2603 mg/kg </w:t>
      </w:r>
      <w:proofErr w:type="spellStart"/>
      <w:r w:rsidR="006A70C4">
        <w:t>bw</w:t>
      </w:r>
      <w:proofErr w:type="spellEnd"/>
      <w:r w:rsidR="006A70C4">
        <w:t>), dermal (</w:t>
      </w:r>
      <w:r w:rsidR="00E8107E">
        <w:t>LD</w:t>
      </w:r>
      <w:r w:rsidR="00E8107E" w:rsidRPr="00150ABE">
        <w:rPr>
          <w:vertAlign w:val="subscript"/>
        </w:rPr>
        <w:t>50</w:t>
      </w:r>
      <w:r w:rsidR="00E8107E">
        <w:t xml:space="preserve"> </w:t>
      </w:r>
      <w:r w:rsidR="006A70C4">
        <w:t xml:space="preserve">&gt;3000 mg/kg </w:t>
      </w:r>
      <w:proofErr w:type="spellStart"/>
      <w:r w:rsidR="006A70C4">
        <w:t>bw</w:t>
      </w:r>
      <w:proofErr w:type="spellEnd"/>
      <w:r w:rsidR="006A70C4">
        <w:t>) and inhalation (</w:t>
      </w:r>
      <w:r w:rsidR="00E8107E">
        <w:t>LC</w:t>
      </w:r>
      <w:r w:rsidR="00E8107E" w:rsidRPr="00150ABE">
        <w:rPr>
          <w:vertAlign w:val="subscript"/>
        </w:rPr>
        <w:t>50</w:t>
      </w:r>
      <w:r w:rsidR="00E8107E">
        <w:t xml:space="preserve"> </w:t>
      </w:r>
      <w:r w:rsidR="006A70C4">
        <w:t>&gt;1597 mg/m</w:t>
      </w:r>
      <w:r w:rsidR="006A70C4" w:rsidRPr="00DE1E34">
        <w:rPr>
          <w:vertAlign w:val="superscript"/>
        </w:rPr>
        <w:t>3</w:t>
      </w:r>
      <w:r w:rsidR="006A70C4">
        <w:t>) route</w:t>
      </w:r>
      <w:r w:rsidR="00B17B8F">
        <w:t>s</w:t>
      </w:r>
      <w:r w:rsidR="006A70C4">
        <w:t xml:space="preserve"> in rats. It is not an eye or skin irritant but was found to be a skin sensitiser in the guinea pig maximisation test. </w:t>
      </w:r>
      <w:proofErr w:type="spellStart"/>
      <w:r w:rsidR="006A70C4">
        <w:t>Metobromuron</w:t>
      </w:r>
      <w:proofErr w:type="spellEnd"/>
      <w:r w:rsidR="006A70C4">
        <w:t xml:space="preserve"> is not a developmental or reproductive toxin and was not found to be genotoxic in a battery of </w:t>
      </w:r>
      <w:r w:rsidR="006A70C4" w:rsidRPr="00786DBC">
        <w:rPr>
          <w:i/>
          <w:iCs/>
        </w:rPr>
        <w:t>in vivo</w:t>
      </w:r>
      <w:r w:rsidR="006A70C4">
        <w:t xml:space="preserve"> and </w:t>
      </w:r>
      <w:r w:rsidR="006A70C4" w:rsidRPr="00786DBC">
        <w:rPr>
          <w:i/>
          <w:iCs/>
        </w:rPr>
        <w:t>in vitro</w:t>
      </w:r>
      <w:r w:rsidR="006A70C4">
        <w:t xml:space="preserve"> assays. </w:t>
      </w:r>
      <w:r w:rsidR="0077463F">
        <w:t>T</w:t>
      </w:r>
      <w:r w:rsidR="006A70C4">
        <w:t>he substance was not found to be carcinogenic in long-term studies in mice and rats</w:t>
      </w:r>
      <w:r w:rsidR="0077463F">
        <w:t xml:space="preserve">. The toxicity data associated with a formulated product indicate that a scheduling cut-off for products containing 50 per cent or less of </w:t>
      </w:r>
      <w:proofErr w:type="spellStart"/>
      <w:r w:rsidR="0077463F">
        <w:t>metobromuron</w:t>
      </w:r>
      <w:proofErr w:type="spellEnd"/>
      <w:r w:rsidR="0077463F">
        <w:t xml:space="preserve"> is appropriate.</w:t>
      </w:r>
    </w:p>
    <w:p w14:paraId="65B41896" w14:textId="522E86F3" w:rsidR="00A20B00" w:rsidRDefault="00150EA0" w:rsidP="00150EA0">
      <w:pPr>
        <w:pStyle w:val="ListBullet"/>
        <w:numPr>
          <w:ilvl w:val="0"/>
          <w:numId w:val="1"/>
        </w:numPr>
        <w:rPr>
          <w:lang w:eastAsia="en-AU"/>
        </w:rPr>
      </w:pPr>
      <w:r>
        <w:rPr>
          <w:lang w:eastAsia="en-AU"/>
        </w:rPr>
        <w:t xml:space="preserve">I am satisfied that, for the purposes of paragraph 52E(1)(d) of the Act, </w:t>
      </w:r>
      <w:r w:rsidR="00A20B00">
        <w:rPr>
          <w:lang w:eastAsia="en-AU"/>
        </w:rPr>
        <w:t xml:space="preserve">the </w:t>
      </w:r>
      <w:r w:rsidR="00B17B8F">
        <w:rPr>
          <w:lang w:eastAsia="en-AU"/>
        </w:rPr>
        <w:t>r</w:t>
      </w:r>
      <w:r w:rsidR="00A20B00">
        <w:rPr>
          <w:lang w:eastAsia="en-AU"/>
        </w:rPr>
        <w:t xml:space="preserve">egulator (APVMA) will consider the dosage, formulation, labelling, </w:t>
      </w:r>
      <w:proofErr w:type="gramStart"/>
      <w:r w:rsidR="00A20B00">
        <w:rPr>
          <w:lang w:eastAsia="en-AU"/>
        </w:rPr>
        <w:t>packaging</w:t>
      </w:r>
      <w:proofErr w:type="gramEnd"/>
      <w:r w:rsidR="00A20B00">
        <w:rPr>
          <w:lang w:eastAsia="en-AU"/>
        </w:rPr>
        <w:t xml:space="preserve"> and presentation of any commercial products.</w:t>
      </w:r>
    </w:p>
    <w:p w14:paraId="57AAAE68" w14:textId="27D45FEE" w:rsidR="006A70C4" w:rsidRDefault="00AD7220" w:rsidP="00BD520E">
      <w:pPr>
        <w:pStyle w:val="ListBullet"/>
        <w:numPr>
          <w:ilvl w:val="0"/>
          <w:numId w:val="1"/>
        </w:numPr>
        <w:ind w:left="357" w:hanging="357"/>
        <w:rPr>
          <w:lang w:eastAsia="en-AU"/>
        </w:rPr>
      </w:pPr>
      <w:r>
        <w:rPr>
          <w:lang w:eastAsia="en-AU"/>
        </w:rPr>
        <w:t>In relation to paragraph 52E(1)(e) of the Act, t</w:t>
      </w:r>
      <w:r w:rsidR="006A70C4">
        <w:rPr>
          <w:lang w:eastAsia="en-AU"/>
        </w:rPr>
        <w:t xml:space="preserve">he substance has no human therapeutic value that would indicate a risk for diversion, </w:t>
      </w:r>
      <w:proofErr w:type="gramStart"/>
      <w:r w:rsidR="006A70C4">
        <w:rPr>
          <w:lang w:eastAsia="en-AU"/>
        </w:rPr>
        <w:t>misuse</w:t>
      </w:r>
      <w:proofErr w:type="gramEnd"/>
      <w:r w:rsidR="006A70C4">
        <w:rPr>
          <w:lang w:eastAsia="en-AU"/>
        </w:rPr>
        <w:t xml:space="preserve"> or abuse.</w:t>
      </w:r>
    </w:p>
    <w:p w14:paraId="5A458A13" w14:textId="093FCDB2" w:rsidR="006A70C4" w:rsidRPr="00B05FAF" w:rsidRDefault="00B17B8F" w:rsidP="006A70C4">
      <w:pPr>
        <w:pStyle w:val="ListBullet"/>
        <w:numPr>
          <w:ilvl w:val="0"/>
          <w:numId w:val="0"/>
        </w:numPr>
      </w:pPr>
      <w:proofErr w:type="gramStart"/>
      <w:r>
        <w:rPr>
          <w:lang w:eastAsia="en-AU"/>
        </w:rPr>
        <w:lastRenderedPageBreak/>
        <w:t>On the basis of</w:t>
      </w:r>
      <w:proofErr w:type="gramEnd"/>
      <w:r>
        <w:rPr>
          <w:lang w:eastAsia="en-AU"/>
        </w:rPr>
        <w:t xml:space="preserve"> the above considerations and the information provided in the application</w:t>
      </w:r>
      <w:r w:rsidR="006A70C4">
        <w:rPr>
          <w:lang w:eastAsia="en-AU"/>
        </w:rPr>
        <w:t>, I have decided to amend the current Poisons Standard in the manner set out in the application. The proposed amendment was not referred to an expert advisory committee.</w:t>
      </w:r>
    </w:p>
    <w:p w14:paraId="38CEDA36" w14:textId="77777777" w:rsidR="006A70C4" w:rsidRPr="00B76897" w:rsidRDefault="006A70C4" w:rsidP="00BD520E">
      <w:pPr>
        <w:pStyle w:val="Heading4"/>
        <w:spacing w:before="240"/>
      </w:pPr>
      <w:r w:rsidRPr="00B76897">
        <w:t>Date of effect</w:t>
      </w:r>
    </w:p>
    <w:p w14:paraId="72962540" w14:textId="77777777" w:rsidR="006A70C4" w:rsidRPr="00AE35CD" w:rsidRDefault="006A70C4" w:rsidP="006A70C4">
      <w:r w:rsidRPr="00AE35CD">
        <w:t>1 February 2022</w:t>
      </w:r>
    </w:p>
    <w:p w14:paraId="05200E13" w14:textId="77777777" w:rsidR="006A70C4" w:rsidRDefault="006A70C4" w:rsidP="00BD520E">
      <w:pPr>
        <w:pStyle w:val="Heading3"/>
        <w:spacing w:before="360"/>
        <w:ind w:left="578" w:hanging="578"/>
      </w:pPr>
      <w:bookmarkStart w:id="34" w:name="_Toc81841020"/>
      <w:bookmarkStart w:id="35" w:name="_Toc88836064"/>
      <w:bookmarkStart w:id="36" w:name="_Toc93916052"/>
      <w:r>
        <w:t>Final decision in relation to kinetin</w:t>
      </w:r>
      <w:bookmarkEnd w:id="34"/>
      <w:bookmarkEnd w:id="35"/>
      <w:bookmarkEnd w:id="36"/>
    </w:p>
    <w:p w14:paraId="39C8B243" w14:textId="77777777" w:rsidR="006A70C4" w:rsidRPr="00F7689E" w:rsidRDefault="006A70C4" w:rsidP="006A70C4">
      <w:pPr>
        <w:pStyle w:val="Heading4"/>
      </w:pPr>
      <w:r w:rsidRPr="00F7689E">
        <w:t xml:space="preserve">Final </w:t>
      </w:r>
      <w:r w:rsidRPr="00372277">
        <w:t>decision</w:t>
      </w:r>
      <w:r w:rsidRPr="00F7689E">
        <w:t xml:space="preserve"> </w:t>
      </w:r>
    </w:p>
    <w:p w14:paraId="636B997E" w14:textId="77777777" w:rsidR="006A70C4" w:rsidRDefault="006A70C4" w:rsidP="006A70C4">
      <w:r>
        <w:t>Pursuant to regulation 42ZCZU of the Regulations a Delegate of the Secretary has made a final decision to amend the current Poisons Standard in relation to kinetin as follows:</w:t>
      </w:r>
    </w:p>
    <w:p w14:paraId="31EC58DB" w14:textId="77777777" w:rsidR="006A70C4" w:rsidRPr="00764E05" w:rsidRDefault="006A70C4" w:rsidP="00764E05">
      <w:pPr>
        <w:rPr>
          <w:b/>
          <w:bCs/>
        </w:rPr>
      </w:pPr>
      <w:r w:rsidRPr="00764E05">
        <w:rPr>
          <w:b/>
          <w:bCs/>
        </w:rPr>
        <w:t>Appendix B – New Entry</w:t>
      </w:r>
    </w:p>
    <w:tbl>
      <w:tblPr>
        <w:tblStyle w:val="TableTGAblue"/>
        <w:tblW w:w="0" w:type="auto"/>
        <w:tblLook w:val="04A0" w:firstRow="1" w:lastRow="0" w:firstColumn="1" w:lastColumn="0" w:noHBand="0" w:noVBand="1"/>
      </w:tblPr>
      <w:tblGrid>
        <w:gridCol w:w="2263"/>
        <w:gridCol w:w="2263"/>
        <w:gridCol w:w="2262"/>
        <w:gridCol w:w="2262"/>
      </w:tblGrid>
      <w:tr w:rsidR="00682D18" w14:paraId="769E9AE8" w14:textId="77777777" w:rsidTr="00682D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44EE6ADC" w14:textId="4AA6BC3F" w:rsidR="00682D18" w:rsidRPr="00682D18" w:rsidRDefault="00682D18" w:rsidP="00682D18">
            <w:pPr>
              <w:jc w:val="center"/>
              <w:rPr>
                <w:bCs/>
                <w:color w:val="FFFFFF" w:themeColor="background1"/>
              </w:rPr>
            </w:pPr>
            <w:r w:rsidRPr="00682D18">
              <w:rPr>
                <w:bCs/>
                <w:color w:val="FFFFFF" w:themeColor="background1"/>
              </w:rPr>
              <w:t>S</w:t>
            </w:r>
            <w:r w:rsidR="00974CC8" w:rsidRPr="00682D18">
              <w:rPr>
                <w:bCs/>
                <w:color w:val="FFFFFF" w:themeColor="background1"/>
              </w:rPr>
              <w:t>ubstance</w:t>
            </w:r>
          </w:p>
        </w:tc>
        <w:tc>
          <w:tcPr>
            <w:tcW w:w="2265" w:type="dxa"/>
            <w:vAlign w:val="center"/>
          </w:tcPr>
          <w:p w14:paraId="09866140" w14:textId="3A9447B4" w:rsidR="00682D18" w:rsidRPr="00682D18" w:rsidRDefault="00974CC8" w:rsidP="00682D18">
            <w:pPr>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Pr>
                <w:bCs/>
                <w:color w:val="FFFFFF" w:themeColor="background1"/>
              </w:rPr>
              <w:t>D</w:t>
            </w:r>
            <w:r w:rsidRPr="00682D18">
              <w:rPr>
                <w:bCs/>
                <w:color w:val="FFFFFF" w:themeColor="background1"/>
              </w:rPr>
              <w:t>ate of entry</w:t>
            </w:r>
          </w:p>
        </w:tc>
        <w:tc>
          <w:tcPr>
            <w:tcW w:w="2265" w:type="dxa"/>
            <w:vAlign w:val="center"/>
          </w:tcPr>
          <w:p w14:paraId="034D9A3D" w14:textId="51265592" w:rsidR="00682D18" w:rsidRPr="00682D18" w:rsidRDefault="00974CC8" w:rsidP="00682D18">
            <w:pPr>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Pr>
                <w:bCs/>
                <w:color w:val="FFFFFF" w:themeColor="background1"/>
              </w:rPr>
              <w:t>R</w:t>
            </w:r>
            <w:r w:rsidRPr="00682D18">
              <w:rPr>
                <w:bCs/>
                <w:color w:val="FFFFFF" w:themeColor="background1"/>
              </w:rPr>
              <w:t>eason for listing</w:t>
            </w:r>
          </w:p>
        </w:tc>
        <w:tc>
          <w:tcPr>
            <w:tcW w:w="2265" w:type="dxa"/>
            <w:vAlign w:val="center"/>
          </w:tcPr>
          <w:p w14:paraId="5322BC4C" w14:textId="0F52C09E" w:rsidR="00682D18" w:rsidRPr="00682D18" w:rsidRDefault="00974CC8" w:rsidP="00682D18">
            <w:pPr>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Pr>
                <w:bCs/>
                <w:color w:val="FFFFFF" w:themeColor="background1"/>
              </w:rPr>
              <w:t>A</w:t>
            </w:r>
            <w:r w:rsidRPr="00682D18">
              <w:rPr>
                <w:bCs/>
                <w:color w:val="FFFFFF" w:themeColor="background1"/>
              </w:rPr>
              <w:t>rea of use</w:t>
            </w:r>
          </w:p>
        </w:tc>
      </w:tr>
      <w:tr w:rsidR="00682D18" w14:paraId="18C9746F" w14:textId="77777777" w:rsidTr="00682D18">
        <w:tc>
          <w:tcPr>
            <w:cnfStyle w:val="001000000000" w:firstRow="0" w:lastRow="0" w:firstColumn="1" w:lastColumn="0" w:oddVBand="0" w:evenVBand="0" w:oddHBand="0" w:evenHBand="0" w:firstRowFirstColumn="0" w:firstRowLastColumn="0" w:lastRowFirstColumn="0" w:lastRowLastColumn="0"/>
            <w:tcW w:w="2265" w:type="dxa"/>
          </w:tcPr>
          <w:p w14:paraId="3DA9AB52" w14:textId="66944B8D" w:rsidR="00682D18" w:rsidRDefault="00682D18" w:rsidP="00682D18">
            <w:pPr>
              <w:jc w:val="center"/>
              <w:rPr>
                <w:bCs/>
                <w:color w:val="00B050"/>
              </w:rPr>
            </w:pPr>
            <w:r>
              <w:rPr>
                <w:bCs/>
                <w:color w:val="00B050"/>
              </w:rPr>
              <w:t>KINETIN</w:t>
            </w:r>
          </w:p>
        </w:tc>
        <w:tc>
          <w:tcPr>
            <w:tcW w:w="2265" w:type="dxa"/>
          </w:tcPr>
          <w:p w14:paraId="311E3824" w14:textId="655E1DE0" w:rsidR="00682D18" w:rsidRDefault="00682D18" w:rsidP="00682D18">
            <w:pPr>
              <w:jc w:val="center"/>
              <w:cnfStyle w:val="000000000000" w:firstRow="0" w:lastRow="0" w:firstColumn="0" w:lastColumn="0" w:oddVBand="0" w:evenVBand="0" w:oddHBand="0" w:evenHBand="0" w:firstRowFirstColumn="0" w:firstRowLastColumn="0" w:lastRowFirstColumn="0" w:lastRowLastColumn="0"/>
              <w:rPr>
                <w:bCs/>
                <w:color w:val="00B050"/>
              </w:rPr>
            </w:pPr>
            <w:r>
              <w:rPr>
                <w:bCs/>
                <w:color w:val="00B050"/>
              </w:rPr>
              <w:t>February 2022</w:t>
            </w:r>
          </w:p>
        </w:tc>
        <w:tc>
          <w:tcPr>
            <w:tcW w:w="2265" w:type="dxa"/>
          </w:tcPr>
          <w:p w14:paraId="6F5C7E43" w14:textId="66AD1375" w:rsidR="00682D18" w:rsidRDefault="00682D18" w:rsidP="00682D18">
            <w:pPr>
              <w:jc w:val="center"/>
              <w:cnfStyle w:val="000000000000" w:firstRow="0" w:lastRow="0" w:firstColumn="0" w:lastColumn="0" w:oddVBand="0" w:evenVBand="0" w:oddHBand="0" w:evenHBand="0" w:firstRowFirstColumn="0" w:firstRowLastColumn="0" w:lastRowFirstColumn="0" w:lastRowLastColumn="0"/>
              <w:rPr>
                <w:bCs/>
                <w:color w:val="00B050"/>
              </w:rPr>
            </w:pPr>
            <w:r>
              <w:rPr>
                <w:bCs/>
                <w:color w:val="00B050"/>
              </w:rPr>
              <w:t>a</w:t>
            </w:r>
          </w:p>
        </w:tc>
        <w:tc>
          <w:tcPr>
            <w:tcW w:w="2265" w:type="dxa"/>
          </w:tcPr>
          <w:p w14:paraId="4A64D197" w14:textId="32FC9D3B" w:rsidR="00682D18" w:rsidRDefault="00682D18" w:rsidP="00682D18">
            <w:pPr>
              <w:jc w:val="center"/>
              <w:cnfStyle w:val="000000000000" w:firstRow="0" w:lastRow="0" w:firstColumn="0" w:lastColumn="0" w:oddVBand="0" w:evenVBand="0" w:oddHBand="0" w:evenHBand="0" w:firstRowFirstColumn="0" w:firstRowLastColumn="0" w:lastRowFirstColumn="0" w:lastRowLastColumn="0"/>
              <w:rPr>
                <w:bCs/>
                <w:color w:val="00B050"/>
              </w:rPr>
            </w:pPr>
            <w:r>
              <w:rPr>
                <w:bCs/>
                <w:color w:val="00B050"/>
              </w:rPr>
              <w:t>1.6</w:t>
            </w:r>
          </w:p>
        </w:tc>
      </w:tr>
    </w:tbl>
    <w:p w14:paraId="1848411E" w14:textId="51C76BE8" w:rsidR="006A70C4" w:rsidRPr="00B05FAF" w:rsidRDefault="00682D18" w:rsidP="00682D18">
      <w:pPr>
        <w:ind w:firstLine="720"/>
        <w:rPr>
          <w:b/>
        </w:rPr>
      </w:pPr>
      <w:r>
        <w:rPr>
          <w:b/>
        </w:rPr>
        <w:t>I</w:t>
      </w:r>
      <w:r w:rsidR="006A70C4" w:rsidRPr="00B05FAF">
        <w:rPr>
          <w:b/>
        </w:rPr>
        <w:t>ndex – New Entry</w:t>
      </w:r>
    </w:p>
    <w:p w14:paraId="26F6ECF9" w14:textId="77777777" w:rsidR="006A70C4" w:rsidRPr="00497087" w:rsidRDefault="006A70C4" w:rsidP="006A70C4">
      <w:pPr>
        <w:ind w:firstLine="720"/>
        <w:rPr>
          <w:b/>
          <w:color w:val="00B050"/>
        </w:rPr>
      </w:pPr>
      <w:r w:rsidRPr="00497087">
        <w:rPr>
          <w:b/>
          <w:color w:val="00B050"/>
        </w:rPr>
        <w:t>KINETIN</w:t>
      </w:r>
    </w:p>
    <w:p w14:paraId="69EDD476" w14:textId="09CA3CE7" w:rsidR="006A70C4" w:rsidRPr="00497087" w:rsidRDefault="006A70C4" w:rsidP="006A70C4">
      <w:pPr>
        <w:ind w:firstLine="720"/>
        <w:rPr>
          <w:bCs/>
          <w:color w:val="00B050"/>
        </w:rPr>
      </w:pPr>
      <w:r w:rsidRPr="00497087">
        <w:rPr>
          <w:bCs/>
          <w:color w:val="00B050"/>
        </w:rPr>
        <w:t>Appendix B</w:t>
      </w:r>
      <w:r w:rsidR="008F6881">
        <w:rPr>
          <w:bCs/>
          <w:color w:val="00B050"/>
        </w:rPr>
        <w:t>, Part 3</w:t>
      </w:r>
    </w:p>
    <w:p w14:paraId="63FCA20F" w14:textId="77777777" w:rsidR="006A70C4" w:rsidRPr="00F7689E" w:rsidRDefault="006A70C4" w:rsidP="006A70C4">
      <w:pPr>
        <w:pStyle w:val="Heading4"/>
      </w:pPr>
      <w:r w:rsidRPr="00F7689E">
        <w:t xml:space="preserve">Materials </w:t>
      </w:r>
      <w:r w:rsidRPr="00372277">
        <w:t>considered</w:t>
      </w:r>
    </w:p>
    <w:p w14:paraId="6DE20891" w14:textId="77777777" w:rsidR="006A70C4" w:rsidRDefault="006A70C4" w:rsidP="006A70C4">
      <w:pPr>
        <w:pStyle w:val="ListBullet"/>
        <w:numPr>
          <w:ilvl w:val="0"/>
          <w:numId w:val="0"/>
        </w:numPr>
        <w:ind w:left="360" w:hanging="360"/>
        <w:rPr>
          <w:lang w:eastAsia="en-AU"/>
        </w:rPr>
      </w:pPr>
      <w:r>
        <w:rPr>
          <w:lang w:eastAsia="en-AU"/>
        </w:rPr>
        <w:t>In making this final decision, the Delegate considered the following material:</w:t>
      </w:r>
    </w:p>
    <w:p w14:paraId="136F8AD4" w14:textId="77777777" w:rsidR="006A70C4" w:rsidRDefault="006A70C4" w:rsidP="006A70C4">
      <w:pPr>
        <w:pStyle w:val="ListBullet"/>
        <w:numPr>
          <w:ilvl w:val="0"/>
          <w:numId w:val="1"/>
        </w:numPr>
        <w:rPr>
          <w:lang w:eastAsia="en-AU"/>
        </w:rPr>
      </w:pPr>
      <w:r>
        <w:rPr>
          <w:lang w:eastAsia="en-AU"/>
        </w:rPr>
        <w:t xml:space="preserve">The application to amend the current Poisons Standard with respect to </w:t>
      </w:r>
      <w:proofErr w:type="gramStart"/>
      <w:r>
        <w:rPr>
          <w:lang w:eastAsia="en-AU"/>
        </w:rPr>
        <w:t>kinetin;</w:t>
      </w:r>
      <w:proofErr w:type="gramEnd"/>
    </w:p>
    <w:p w14:paraId="392DAD13" w14:textId="77777777" w:rsidR="006A70C4" w:rsidRDefault="006A70C4" w:rsidP="006A70C4">
      <w:pPr>
        <w:pStyle w:val="ListBullet"/>
        <w:numPr>
          <w:ilvl w:val="0"/>
          <w:numId w:val="1"/>
        </w:numPr>
        <w:rPr>
          <w:lang w:eastAsia="en-AU"/>
        </w:rPr>
      </w:pPr>
      <w:r>
        <w:t xml:space="preserve">Subsection 52E(1) of the </w:t>
      </w:r>
      <w:r w:rsidRPr="00764E05">
        <w:rPr>
          <w:i/>
          <w:iCs/>
        </w:rPr>
        <w:t>Therapeutic Goods Act 1989</w:t>
      </w:r>
      <w:r>
        <w:t xml:space="preserve">,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w:t>
      </w:r>
    </w:p>
    <w:p w14:paraId="3FBDC7DD" w14:textId="77777777" w:rsidR="00B17B8F" w:rsidRDefault="00B17B8F" w:rsidP="00B17B8F">
      <w:pPr>
        <w:pStyle w:val="ListBullet"/>
        <w:numPr>
          <w:ilvl w:val="0"/>
          <w:numId w:val="1"/>
        </w:numPr>
        <w:rPr>
          <w:lang w:eastAsia="en-AU"/>
        </w:rPr>
      </w:pPr>
      <w:r>
        <w:t xml:space="preserve">The SPF, pursuant to paragraph 52E(2)(a) of the Act; and </w:t>
      </w:r>
    </w:p>
    <w:p w14:paraId="6EA93137" w14:textId="77777777" w:rsidR="00B17B8F" w:rsidRDefault="00B17B8F" w:rsidP="00B17B8F">
      <w:pPr>
        <w:pStyle w:val="ListBullet"/>
        <w:numPr>
          <w:ilvl w:val="0"/>
          <w:numId w:val="1"/>
        </w:numPr>
        <w:rPr>
          <w:lang w:eastAsia="en-AU"/>
        </w:rPr>
      </w:pPr>
      <w:r>
        <w:t xml:space="preserve">The Handbook. </w:t>
      </w:r>
    </w:p>
    <w:p w14:paraId="048B625A" w14:textId="77777777" w:rsidR="006A70C4" w:rsidRPr="00F7689E" w:rsidRDefault="006A70C4" w:rsidP="006A70C4">
      <w:pPr>
        <w:pStyle w:val="Heading4"/>
      </w:pPr>
      <w:r w:rsidRPr="00F7689E">
        <w:t xml:space="preserve">Reasons for the final </w:t>
      </w:r>
      <w:r w:rsidRPr="00372277">
        <w:t>decision</w:t>
      </w:r>
      <w:r w:rsidRPr="00F7689E">
        <w:t xml:space="preserve"> (including findings on material questions of fact) </w:t>
      </w:r>
    </w:p>
    <w:p w14:paraId="7248C513" w14:textId="2603FF0C" w:rsidR="006A70C4" w:rsidRDefault="006A70C4" w:rsidP="006A70C4">
      <w:pPr>
        <w:pStyle w:val="ListBullet"/>
        <w:numPr>
          <w:ilvl w:val="0"/>
          <w:numId w:val="0"/>
        </w:numPr>
      </w:pPr>
      <w:r>
        <w:t>In determining that this matter will be a delegate-only decision I have taken into account the information provided in the application from the</w:t>
      </w:r>
      <w:r w:rsidRPr="00183928">
        <w:t xml:space="preserve"> </w:t>
      </w:r>
      <w:r w:rsidR="00B17B8F">
        <w:t>a</w:t>
      </w:r>
      <w:r>
        <w:t xml:space="preserve">pplicant (Australian Pesticides and Veterinary Medicine Authority (APVMA)), and the matters outlined under Section 52E of the </w:t>
      </w:r>
      <w:r w:rsidR="00B17B8F">
        <w:t>Act</w:t>
      </w:r>
      <w:r>
        <w:t xml:space="preserve"> and the </w:t>
      </w:r>
      <w:r w:rsidR="00B17B8F">
        <w:t>SPF</w:t>
      </w:r>
      <w:r>
        <w:t xml:space="preserve">. </w:t>
      </w:r>
      <w:proofErr w:type="gramStart"/>
      <w:r>
        <w:t>In particular I</w:t>
      </w:r>
      <w:proofErr w:type="gramEnd"/>
      <w:r>
        <w:t xml:space="preserve"> note that:</w:t>
      </w:r>
    </w:p>
    <w:p w14:paraId="6CBD5473" w14:textId="1F62EFF5" w:rsidR="006A70C4" w:rsidRDefault="00434E6E" w:rsidP="00434E6E">
      <w:pPr>
        <w:pStyle w:val="ListBullet"/>
        <w:numPr>
          <w:ilvl w:val="0"/>
          <w:numId w:val="1"/>
        </w:numPr>
      </w:pPr>
      <w:r>
        <w:t xml:space="preserve">In relation to paragraph 52E(1)(a) of the Act, </w:t>
      </w:r>
      <w:r>
        <w:rPr>
          <w:lang w:eastAsia="en-AU"/>
        </w:rPr>
        <w:t>t</w:t>
      </w:r>
      <w:r w:rsidR="006A70C4">
        <w:rPr>
          <w:lang w:eastAsia="en-AU"/>
        </w:rPr>
        <w:t xml:space="preserve">he proposed amendment to the Poisons Standard is to include a new entry for kinetin in Appendix B, </w:t>
      </w:r>
      <w:r w:rsidR="0087733F">
        <w:t>thereby exempting the substance from any requirements that are imposed by scheduling,</w:t>
      </w:r>
      <w:r w:rsidR="0087733F">
        <w:rPr>
          <w:lang w:eastAsia="en-AU"/>
        </w:rPr>
        <w:t xml:space="preserve"> </w:t>
      </w:r>
      <w:r w:rsidR="006A70C4">
        <w:rPr>
          <w:lang w:eastAsia="en-AU"/>
        </w:rPr>
        <w:t xml:space="preserve">based upon benefits to the agricultural industry from the introduction of a new plant growth </w:t>
      </w:r>
      <w:r w:rsidR="008F6881">
        <w:rPr>
          <w:lang w:eastAsia="en-AU"/>
        </w:rPr>
        <w:t>regulator</w:t>
      </w:r>
      <w:r w:rsidR="00B17B8F">
        <w:rPr>
          <w:lang w:eastAsia="en-AU"/>
        </w:rPr>
        <w:t>.</w:t>
      </w:r>
      <w:r w:rsidR="006A70C4">
        <w:rPr>
          <w:lang w:eastAsia="en-AU"/>
        </w:rPr>
        <w:t xml:space="preserve"> In its application the regulator (APVMA) provided a Human Health Risk Assessment (HHRA) </w:t>
      </w:r>
      <w:r w:rsidR="006A70C4">
        <w:rPr>
          <w:lang w:eastAsia="en-AU"/>
        </w:rPr>
        <w:lastRenderedPageBreak/>
        <w:t xml:space="preserve">which concluded that the risks to human health and safety posed by this substance are acceptable according to the criteria stipulated in </w:t>
      </w:r>
      <w:r w:rsidR="006A70C4">
        <w:t xml:space="preserve">Section 5A of the </w:t>
      </w:r>
      <w:r w:rsidR="006A70C4" w:rsidRPr="00434E6E">
        <w:rPr>
          <w:i/>
          <w:iCs/>
        </w:rPr>
        <w:t>Agricultural and Veterinary Chemicals Code Act (1994)</w:t>
      </w:r>
      <w:r w:rsidR="006A70C4">
        <w:t>.</w:t>
      </w:r>
      <w:r w:rsidR="006A70C4">
        <w:rPr>
          <w:lang w:eastAsia="en-AU"/>
        </w:rPr>
        <w:t xml:space="preserve"> </w:t>
      </w:r>
    </w:p>
    <w:p w14:paraId="365DA502" w14:textId="5616F981" w:rsidR="006A70C4" w:rsidRDefault="005F745A" w:rsidP="006A70C4">
      <w:pPr>
        <w:pStyle w:val="ListBullet"/>
        <w:numPr>
          <w:ilvl w:val="0"/>
          <w:numId w:val="1"/>
        </w:numPr>
      </w:pPr>
      <w:r>
        <w:rPr>
          <w:lang w:eastAsia="en-AU"/>
        </w:rPr>
        <w:t xml:space="preserve">In relation to paragraph 52E(1)(b) of the Act, </w:t>
      </w:r>
      <w:r>
        <w:t>k</w:t>
      </w:r>
      <w:r w:rsidR="006A70C4">
        <w:t xml:space="preserve">inetin is a synthetic form of cytokinin and is classified in Australia as a plant growth </w:t>
      </w:r>
      <w:r w:rsidR="008F6881">
        <w:t>regulator</w:t>
      </w:r>
      <w:r w:rsidR="006A70C4">
        <w:t xml:space="preserve">. </w:t>
      </w:r>
      <w:r w:rsidR="00A11324">
        <w:t>The substance</w:t>
      </w:r>
      <w:r w:rsidR="006A70C4">
        <w:t xml:space="preserve"> has n</w:t>
      </w:r>
      <w:r w:rsidR="00A11324">
        <w:t>ot</w:t>
      </w:r>
      <w:r w:rsidR="006A70C4">
        <w:t xml:space="preserve"> previously been considered for inclusion in the Poisons Standard.</w:t>
      </w:r>
    </w:p>
    <w:p w14:paraId="4190007D" w14:textId="457B41AC" w:rsidR="006A70C4" w:rsidRDefault="005F745A" w:rsidP="006A70C4">
      <w:pPr>
        <w:pStyle w:val="ListBullet"/>
        <w:numPr>
          <w:ilvl w:val="0"/>
          <w:numId w:val="1"/>
        </w:numPr>
      </w:pPr>
      <w:r>
        <w:rPr>
          <w:lang w:eastAsia="en-AU"/>
        </w:rPr>
        <w:t>In relation to paragraph 52E(1)(c) of the Act, t</w:t>
      </w:r>
      <w:r w:rsidR="006A70C4">
        <w:rPr>
          <w:lang w:eastAsia="en-AU"/>
        </w:rPr>
        <w:t xml:space="preserve">he application provided data for kinetin which indicated that the toxicity profile </w:t>
      </w:r>
      <w:r w:rsidR="00973DB8">
        <w:rPr>
          <w:lang w:eastAsia="en-AU"/>
        </w:rPr>
        <w:t>is</w:t>
      </w:r>
      <w:r w:rsidR="006A70C4">
        <w:rPr>
          <w:lang w:eastAsia="en-AU"/>
        </w:rPr>
        <w:t xml:space="preserve"> not consistent with inclusion into the Schedules, based on its </w:t>
      </w:r>
      <w:r w:rsidR="006A70C4">
        <w:t>very low acute oral toxicity (LD</w:t>
      </w:r>
      <w:r w:rsidR="006A70C4" w:rsidRPr="00150ABE">
        <w:rPr>
          <w:vertAlign w:val="subscript"/>
        </w:rPr>
        <w:t>50</w:t>
      </w:r>
      <w:r w:rsidR="006A70C4">
        <w:t xml:space="preserve"> &gt; 5000</w:t>
      </w:r>
      <w:r w:rsidR="00B17B8F">
        <w:t xml:space="preserve"> </w:t>
      </w:r>
      <w:r w:rsidR="006A70C4">
        <w:t xml:space="preserve">mg/kg </w:t>
      </w:r>
      <w:proofErr w:type="spellStart"/>
      <w:r w:rsidR="006A70C4">
        <w:t>bw</w:t>
      </w:r>
      <w:proofErr w:type="spellEnd"/>
      <w:r w:rsidR="006A70C4">
        <w:t>), low dermal toxicity (LD</w:t>
      </w:r>
      <w:r w:rsidR="006A70C4" w:rsidRPr="00150ABE">
        <w:rPr>
          <w:vertAlign w:val="subscript"/>
        </w:rPr>
        <w:t>50</w:t>
      </w:r>
      <w:r w:rsidR="006A70C4">
        <w:t xml:space="preserve"> &gt; 5000</w:t>
      </w:r>
      <w:r w:rsidR="00B17B8F">
        <w:t xml:space="preserve"> </w:t>
      </w:r>
      <w:r w:rsidR="006A70C4">
        <w:t xml:space="preserve">mg/kg </w:t>
      </w:r>
      <w:proofErr w:type="spellStart"/>
      <w:r w:rsidR="006A70C4">
        <w:t>bw</w:t>
      </w:r>
      <w:proofErr w:type="spellEnd"/>
      <w:r w:rsidR="006A70C4">
        <w:t>), and low inhalational toxicity (LC</w:t>
      </w:r>
      <w:r w:rsidR="006A70C4" w:rsidRPr="00150ABE">
        <w:rPr>
          <w:vertAlign w:val="subscript"/>
        </w:rPr>
        <w:t>50</w:t>
      </w:r>
      <w:r w:rsidR="006A70C4">
        <w:t xml:space="preserve"> &gt; 2.09 mg/L/3h). </w:t>
      </w:r>
      <w:r w:rsidR="00973DB8">
        <w:t>While k</w:t>
      </w:r>
      <w:r w:rsidR="006A70C4">
        <w:t xml:space="preserve">inetin </w:t>
      </w:r>
      <w:r w:rsidR="00973DB8">
        <w:t>i</w:t>
      </w:r>
      <w:r w:rsidR="006A70C4">
        <w:t>s a slight eye irritant,</w:t>
      </w:r>
      <w:r w:rsidR="001A2179">
        <w:t xml:space="preserve"> it is </w:t>
      </w:r>
      <w:r w:rsidR="006A70C4">
        <w:t xml:space="preserve">not a skin irritant or sensitiser. </w:t>
      </w:r>
    </w:p>
    <w:p w14:paraId="4C6F8F2E" w14:textId="308DE743" w:rsidR="006A70C4" w:rsidRDefault="00970C5F" w:rsidP="006A70C4">
      <w:pPr>
        <w:pStyle w:val="ListBullet"/>
        <w:numPr>
          <w:ilvl w:val="0"/>
          <w:numId w:val="1"/>
        </w:numPr>
        <w:rPr>
          <w:lang w:eastAsia="en-AU"/>
        </w:rPr>
      </w:pPr>
      <w:r>
        <w:rPr>
          <w:lang w:eastAsia="en-AU"/>
        </w:rPr>
        <w:t>I am satisfied</w:t>
      </w:r>
      <w:r w:rsidR="006A70C4">
        <w:rPr>
          <w:lang w:eastAsia="en-AU"/>
        </w:rPr>
        <w:t xml:space="preserve"> that</w:t>
      </w:r>
      <w:r w:rsidR="00150EA0">
        <w:rPr>
          <w:lang w:eastAsia="en-AU"/>
        </w:rPr>
        <w:t>, for the purposes of paragraph 52E(1)(d) of the Act,</w:t>
      </w:r>
      <w:r w:rsidR="006A70C4">
        <w:rPr>
          <w:lang w:eastAsia="en-AU"/>
        </w:rPr>
        <w:t xml:space="preserve"> the regulator </w:t>
      </w:r>
      <w:r>
        <w:rPr>
          <w:lang w:eastAsia="en-AU"/>
        </w:rPr>
        <w:t>(</w:t>
      </w:r>
      <w:r w:rsidR="006A70C4">
        <w:rPr>
          <w:lang w:eastAsia="en-AU"/>
        </w:rPr>
        <w:t>APVMA</w:t>
      </w:r>
      <w:r>
        <w:rPr>
          <w:lang w:eastAsia="en-AU"/>
        </w:rPr>
        <w:t>)</w:t>
      </w:r>
      <w:r w:rsidR="006A70C4">
        <w:rPr>
          <w:lang w:eastAsia="en-AU"/>
        </w:rPr>
        <w:t xml:space="preserve"> will consider the dosage, formulation, labelling, </w:t>
      </w:r>
      <w:proofErr w:type="gramStart"/>
      <w:r w:rsidR="006A70C4">
        <w:rPr>
          <w:lang w:eastAsia="en-AU"/>
        </w:rPr>
        <w:t>packaging</w:t>
      </w:r>
      <w:proofErr w:type="gramEnd"/>
      <w:r w:rsidR="006A70C4">
        <w:rPr>
          <w:lang w:eastAsia="en-AU"/>
        </w:rPr>
        <w:t xml:space="preserve"> and presentation of any commercial products.  </w:t>
      </w:r>
    </w:p>
    <w:p w14:paraId="6ED4B465" w14:textId="0FE21B0C" w:rsidR="006A70C4" w:rsidRDefault="005F745A" w:rsidP="006A70C4">
      <w:pPr>
        <w:pStyle w:val="ListBullet"/>
        <w:numPr>
          <w:ilvl w:val="0"/>
          <w:numId w:val="1"/>
        </w:numPr>
        <w:rPr>
          <w:lang w:eastAsia="en-AU"/>
        </w:rPr>
      </w:pPr>
      <w:r>
        <w:rPr>
          <w:lang w:eastAsia="en-AU"/>
        </w:rPr>
        <w:t>In relation to paragraph 52E(1)(e) of the Act, t</w:t>
      </w:r>
      <w:r w:rsidR="006A70C4">
        <w:rPr>
          <w:lang w:eastAsia="en-AU"/>
        </w:rPr>
        <w:t xml:space="preserve">he substance has no human therapeutic value that would indicate a risk for diversion, </w:t>
      </w:r>
      <w:proofErr w:type="gramStart"/>
      <w:r w:rsidR="006A70C4">
        <w:rPr>
          <w:lang w:eastAsia="en-AU"/>
        </w:rPr>
        <w:t>misuse</w:t>
      </w:r>
      <w:proofErr w:type="gramEnd"/>
      <w:r w:rsidR="006A70C4">
        <w:rPr>
          <w:lang w:eastAsia="en-AU"/>
        </w:rPr>
        <w:t xml:space="preserve"> or abuse.</w:t>
      </w:r>
    </w:p>
    <w:p w14:paraId="71197AFA" w14:textId="403A3E2A" w:rsidR="006A70C4" w:rsidRPr="00B05FAF" w:rsidRDefault="00B17B8F" w:rsidP="006A70C4">
      <w:proofErr w:type="gramStart"/>
      <w:r>
        <w:rPr>
          <w:lang w:eastAsia="en-AU"/>
        </w:rPr>
        <w:t>On the basis of</w:t>
      </w:r>
      <w:proofErr w:type="gramEnd"/>
      <w:r>
        <w:rPr>
          <w:lang w:eastAsia="en-AU"/>
        </w:rPr>
        <w:t xml:space="preserve"> the above considerations and the information provided in the application, </w:t>
      </w:r>
      <w:r w:rsidR="006A70C4">
        <w:rPr>
          <w:lang w:eastAsia="en-AU"/>
        </w:rPr>
        <w:t>I have decided to amend the current Poisons Standard in the manner set out in the application. The proposed amendment was not referred to an expert advisory committee.</w:t>
      </w:r>
    </w:p>
    <w:p w14:paraId="798FC56C" w14:textId="77777777" w:rsidR="006A70C4" w:rsidRPr="00B76897" w:rsidRDefault="006A70C4" w:rsidP="006A70C4">
      <w:pPr>
        <w:pStyle w:val="Heading4"/>
      </w:pPr>
      <w:r w:rsidRPr="00B76897">
        <w:t>Date of effect</w:t>
      </w:r>
    </w:p>
    <w:p w14:paraId="1B95C323" w14:textId="77777777" w:rsidR="006A70C4" w:rsidRPr="00AE35CD" w:rsidRDefault="006A70C4" w:rsidP="006A70C4">
      <w:r w:rsidRPr="00AE35CD">
        <w:t>1 February 2022</w:t>
      </w:r>
    </w:p>
    <w:p w14:paraId="4ACB721F" w14:textId="77777777" w:rsidR="006A70C4" w:rsidRDefault="006A70C4" w:rsidP="006A70C4">
      <w:pPr>
        <w:pStyle w:val="Heading3"/>
      </w:pPr>
      <w:bookmarkStart w:id="37" w:name="_Toc81841023"/>
      <w:bookmarkStart w:id="38" w:name="_Toc88836066"/>
      <w:bookmarkStart w:id="39" w:name="_Toc93916053"/>
      <w:r>
        <w:t>Final decision in relation to iron compounds</w:t>
      </w:r>
      <w:bookmarkEnd w:id="37"/>
      <w:bookmarkEnd w:id="38"/>
      <w:bookmarkEnd w:id="39"/>
    </w:p>
    <w:p w14:paraId="79E5F097" w14:textId="77777777" w:rsidR="006A70C4" w:rsidRPr="005733D4" w:rsidRDefault="006A70C4" w:rsidP="006A70C4">
      <w:pPr>
        <w:pStyle w:val="Heading4"/>
      </w:pPr>
      <w:r w:rsidRPr="005733D4">
        <w:t xml:space="preserve">Final </w:t>
      </w:r>
      <w:r w:rsidRPr="00372277">
        <w:t>decision</w:t>
      </w:r>
      <w:r w:rsidRPr="005733D4">
        <w:t xml:space="preserve"> </w:t>
      </w:r>
    </w:p>
    <w:p w14:paraId="054BCF30" w14:textId="77777777" w:rsidR="006A70C4" w:rsidRDefault="006A70C4" w:rsidP="006A70C4">
      <w:r>
        <w:t>Pursuant to regulation 42ZCZU of the Regulations a Delegate of the Secretary has made a final decision to amend the current Poisons Standard in relation to iron compounds as follows:</w:t>
      </w:r>
    </w:p>
    <w:p w14:paraId="48582181" w14:textId="77777777" w:rsidR="006A70C4" w:rsidRDefault="006A70C4" w:rsidP="006A70C4">
      <w:pPr>
        <w:rPr>
          <w:b/>
        </w:rPr>
      </w:pPr>
      <w:r>
        <w:rPr>
          <w:b/>
        </w:rPr>
        <w:t>Schedule 5 – Amend entry</w:t>
      </w:r>
    </w:p>
    <w:p w14:paraId="780A2D1F" w14:textId="77777777" w:rsidR="006A70C4" w:rsidRPr="005F53D0" w:rsidRDefault="006A70C4" w:rsidP="006A70C4">
      <w:pPr>
        <w:rPr>
          <w:bCs/>
        </w:rPr>
      </w:pPr>
      <w:r w:rsidRPr="005F53D0">
        <w:rPr>
          <w:bCs/>
        </w:rPr>
        <w:t>IRON COMPOUNDS:</w:t>
      </w:r>
    </w:p>
    <w:p w14:paraId="3972079B" w14:textId="77777777" w:rsidR="006A70C4" w:rsidRDefault="006A70C4" w:rsidP="00123E0C">
      <w:pPr>
        <w:pStyle w:val="ListBulleta"/>
      </w:pPr>
      <w:r>
        <w:t>for the treatment of animals (excluding up to 1 per cent of iron oxides when present as an excipient):</w:t>
      </w:r>
    </w:p>
    <w:p w14:paraId="669A9D33" w14:textId="77777777" w:rsidR="006A70C4" w:rsidRDefault="006A70C4" w:rsidP="00123E0C">
      <w:pPr>
        <w:pStyle w:val="ListBulleti"/>
      </w:pPr>
      <w:r>
        <w:t xml:space="preserve">in </w:t>
      </w:r>
      <w:r w:rsidRPr="00123E0C">
        <w:t>preparations</w:t>
      </w:r>
      <w:r>
        <w:t xml:space="preserve"> for injection containing 20 per cent or less of iron </w:t>
      </w:r>
      <w:r w:rsidRPr="00DE54D9">
        <w:rPr>
          <w:b/>
          <w:bCs/>
        </w:rPr>
        <w:t>except</w:t>
      </w:r>
      <w:r>
        <w:t xml:space="preserve"> in preparations containing 0.1 per cent or less of iron; or</w:t>
      </w:r>
    </w:p>
    <w:p w14:paraId="548D89D7" w14:textId="77777777" w:rsidR="006A70C4" w:rsidRDefault="006A70C4" w:rsidP="006A70C4">
      <w:pPr>
        <w:pStyle w:val="ListBulleti"/>
      </w:pPr>
      <w:r>
        <w:t xml:space="preserve">in other preparations containing 4 per cent or less of iron </w:t>
      </w:r>
      <w:r w:rsidRPr="00DE54D9">
        <w:rPr>
          <w:b/>
          <w:bCs/>
        </w:rPr>
        <w:t>except</w:t>
      </w:r>
      <w:r>
        <w:t>:</w:t>
      </w:r>
    </w:p>
    <w:p w14:paraId="54EDCE8D" w14:textId="77777777" w:rsidR="006A70C4" w:rsidRDefault="006A70C4" w:rsidP="006A70C4">
      <w:pPr>
        <w:pStyle w:val="ListBulleti"/>
        <w:numPr>
          <w:ilvl w:val="1"/>
          <w:numId w:val="7"/>
        </w:numPr>
      </w:pPr>
      <w:r>
        <w:t>in liquid or gel preparations containing 0.1 per cent or less of iron; or</w:t>
      </w:r>
    </w:p>
    <w:p w14:paraId="4219E212" w14:textId="77777777" w:rsidR="006A70C4" w:rsidRDefault="006A70C4" w:rsidP="006A70C4">
      <w:pPr>
        <w:pStyle w:val="ListBulleti"/>
        <w:numPr>
          <w:ilvl w:val="1"/>
          <w:numId w:val="7"/>
        </w:numPr>
      </w:pPr>
      <w:r>
        <w:t>in animal feeds or feed premixes; or</w:t>
      </w:r>
    </w:p>
    <w:p w14:paraId="7602A720" w14:textId="3F617A12" w:rsidR="006A70C4" w:rsidRPr="00B76897" w:rsidRDefault="006A70C4" w:rsidP="00123E0C">
      <w:pPr>
        <w:pStyle w:val="ListBulleta"/>
      </w:pPr>
      <w:r w:rsidRPr="00150ABE">
        <w:rPr>
          <w:strike/>
          <w:color w:val="FF0000"/>
        </w:rPr>
        <w:t>in</w:t>
      </w:r>
      <w:r>
        <w:t xml:space="preserve"> </w:t>
      </w:r>
      <w:r w:rsidR="00D35AB1">
        <w:rPr>
          <w:color w:val="00B050"/>
        </w:rPr>
        <w:t xml:space="preserve">for use as </w:t>
      </w:r>
      <w:r>
        <w:rPr>
          <w:color w:val="00B050"/>
        </w:rPr>
        <w:t>agricultural</w:t>
      </w:r>
      <w:r w:rsidR="00D35AB1" w:rsidRPr="00D35AB1">
        <w:rPr>
          <w:color w:val="00B050"/>
        </w:rPr>
        <w:t xml:space="preserve"> chemicals</w:t>
      </w:r>
      <w:r w:rsidRPr="00D35AB1">
        <w:rPr>
          <w:color w:val="00B050"/>
        </w:rPr>
        <w:t xml:space="preserve"> </w:t>
      </w:r>
      <w:r w:rsidRPr="00150ABE">
        <w:rPr>
          <w:strike/>
          <w:color w:val="FF0000"/>
        </w:rPr>
        <w:t>garden preparations</w:t>
      </w:r>
      <w:r w:rsidRPr="00150ABE">
        <w:rPr>
          <w:color w:val="FF0000"/>
        </w:rPr>
        <w:t xml:space="preserve"> </w:t>
      </w:r>
      <w:r w:rsidRPr="00DE54D9">
        <w:rPr>
          <w:b/>
          <w:bCs/>
        </w:rPr>
        <w:t>except</w:t>
      </w:r>
      <w:r>
        <w:t xml:space="preserve"> in preparations containing 4 per cent or less of iron.</w:t>
      </w:r>
    </w:p>
    <w:p w14:paraId="5ED2679E" w14:textId="77777777" w:rsidR="006A70C4" w:rsidRPr="005733D4" w:rsidRDefault="006A70C4" w:rsidP="006A70C4">
      <w:pPr>
        <w:pStyle w:val="Heading4"/>
      </w:pPr>
      <w:r w:rsidRPr="005733D4">
        <w:lastRenderedPageBreak/>
        <w:t xml:space="preserve">Materials </w:t>
      </w:r>
      <w:r w:rsidRPr="00372277">
        <w:t>considered</w:t>
      </w:r>
    </w:p>
    <w:p w14:paraId="48DDEEF1" w14:textId="77777777" w:rsidR="006A70C4" w:rsidRDefault="006A70C4" w:rsidP="006A70C4">
      <w:pPr>
        <w:pStyle w:val="ListBullet"/>
        <w:numPr>
          <w:ilvl w:val="0"/>
          <w:numId w:val="0"/>
        </w:numPr>
        <w:ind w:left="360" w:hanging="360"/>
        <w:rPr>
          <w:lang w:eastAsia="en-AU"/>
        </w:rPr>
      </w:pPr>
      <w:r>
        <w:rPr>
          <w:lang w:eastAsia="en-AU"/>
        </w:rPr>
        <w:t>In making this final decision, the Delegate considered the following material:</w:t>
      </w:r>
    </w:p>
    <w:p w14:paraId="05246587" w14:textId="77777777" w:rsidR="006A70C4" w:rsidRDefault="006A70C4" w:rsidP="006A70C4">
      <w:pPr>
        <w:pStyle w:val="ListBullet"/>
        <w:numPr>
          <w:ilvl w:val="0"/>
          <w:numId w:val="1"/>
        </w:numPr>
        <w:rPr>
          <w:lang w:eastAsia="en-AU"/>
        </w:rPr>
      </w:pPr>
      <w:r>
        <w:rPr>
          <w:lang w:eastAsia="en-AU"/>
        </w:rPr>
        <w:t xml:space="preserve">The application to amend the current Poisons Standard with respect to iron </w:t>
      </w:r>
      <w:proofErr w:type="gramStart"/>
      <w:r>
        <w:rPr>
          <w:lang w:eastAsia="en-AU"/>
        </w:rPr>
        <w:t>compounds;</w:t>
      </w:r>
      <w:proofErr w:type="gramEnd"/>
    </w:p>
    <w:p w14:paraId="60579494" w14:textId="77777777" w:rsidR="006A70C4" w:rsidRDefault="006A70C4" w:rsidP="006A70C4">
      <w:pPr>
        <w:pStyle w:val="ListBullet"/>
        <w:numPr>
          <w:ilvl w:val="0"/>
          <w:numId w:val="1"/>
        </w:numPr>
        <w:rPr>
          <w:lang w:eastAsia="en-AU"/>
        </w:rPr>
      </w:pPr>
      <w:r>
        <w:t xml:space="preserve">Subsection 52E(1) of the </w:t>
      </w:r>
      <w:r w:rsidRPr="00764E05">
        <w:rPr>
          <w:i/>
          <w:iCs/>
        </w:rPr>
        <w:t>Therapeutic Goods Act 1989</w:t>
      </w:r>
      <w:r>
        <w:t xml:space="preserve">,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w:t>
      </w:r>
    </w:p>
    <w:p w14:paraId="50327DEF" w14:textId="77777777" w:rsidR="00B17B8F" w:rsidRDefault="00B17B8F" w:rsidP="00B17B8F">
      <w:pPr>
        <w:pStyle w:val="ListBullet"/>
        <w:numPr>
          <w:ilvl w:val="0"/>
          <w:numId w:val="1"/>
        </w:numPr>
        <w:rPr>
          <w:lang w:eastAsia="en-AU"/>
        </w:rPr>
      </w:pPr>
      <w:r>
        <w:t xml:space="preserve">The SPF, pursuant to paragraph 52E(2)(a) of the Act; and </w:t>
      </w:r>
    </w:p>
    <w:p w14:paraId="3C160AAC" w14:textId="77777777" w:rsidR="00B17B8F" w:rsidRDefault="00B17B8F" w:rsidP="00B17B8F">
      <w:pPr>
        <w:pStyle w:val="ListBullet"/>
        <w:numPr>
          <w:ilvl w:val="0"/>
          <w:numId w:val="1"/>
        </w:numPr>
        <w:rPr>
          <w:lang w:eastAsia="en-AU"/>
        </w:rPr>
      </w:pPr>
      <w:r>
        <w:t xml:space="preserve">The Handbook. </w:t>
      </w:r>
    </w:p>
    <w:p w14:paraId="019C8399" w14:textId="77777777" w:rsidR="006A70C4" w:rsidRPr="005733D4" w:rsidRDefault="006A70C4" w:rsidP="006A70C4">
      <w:pPr>
        <w:pStyle w:val="Heading4"/>
      </w:pPr>
      <w:r w:rsidRPr="005733D4">
        <w:t>Reasons for the final decision (</w:t>
      </w:r>
      <w:r w:rsidRPr="00372277">
        <w:t>including</w:t>
      </w:r>
      <w:r w:rsidRPr="005733D4">
        <w:t xml:space="preserve"> findings on material questions of fact) </w:t>
      </w:r>
    </w:p>
    <w:p w14:paraId="6C713967" w14:textId="6FBA8DFD" w:rsidR="006A70C4" w:rsidRDefault="006A70C4" w:rsidP="006A70C4">
      <w:pPr>
        <w:pStyle w:val="ListBullet"/>
        <w:numPr>
          <w:ilvl w:val="0"/>
          <w:numId w:val="0"/>
        </w:numPr>
      </w:pPr>
      <w:r>
        <w:t xml:space="preserve">In determining that this matter will be a delegate-only decision I have taken into account the information provided in the application from the Applicant (Australian Pesticides and Veterinary Medicine Authority (APVMA)), and the matters outlined under Section 52E of the </w:t>
      </w:r>
      <w:r w:rsidR="00250EFD">
        <w:t>Act</w:t>
      </w:r>
      <w:r>
        <w:t xml:space="preserve"> and the </w:t>
      </w:r>
      <w:r w:rsidR="00250EFD">
        <w:t>SPF</w:t>
      </w:r>
      <w:r>
        <w:t xml:space="preserve">. </w:t>
      </w:r>
      <w:proofErr w:type="gramStart"/>
      <w:r>
        <w:t>In particular I</w:t>
      </w:r>
      <w:proofErr w:type="gramEnd"/>
      <w:r>
        <w:t xml:space="preserve"> note that:</w:t>
      </w:r>
    </w:p>
    <w:p w14:paraId="4EB426CB" w14:textId="231FE9A3" w:rsidR="006A70C4" w:rsidRDefault="00434E6E" w:rsidP="006A70C4">
      <w:pPr>
        <w:pStyle w:val="ListBullet"/>
        <w:numPr>
          <w:ilvl w:val="0"/>
          <w:numId w:val="1"/>
        </w:numPr>
        <w:rPr>
          <w:lang w:eastAsia="en-AU"/>
        </w:rPr>
      </w:pPr>
      <w:r>
        <w:t>In relation to paragraph 52E(1)(a)and (b) of the Act,</w:t>
      </w:r>
      <w:r>
        <w:rPr>
          <w:lang w:eastAsia="en-AU"/>
        </w:rPr>
        <w:t xml:space="preserve"> t</w:t>
      </w:r>
      <w:r w:rsidR="006A70C4">
        <w:rPr>
          <w:lang w:eastAsia="en-AU"/>
        </w:rPr>
        <w:t xml:space="preserve">he proposed amendment to the Poisons Standard is to expand the existing Schedule 5 entry for iron compounds to capture </w:t>
      </w:r>
      <w:r w:rsidR="00250EFD">
        <w:rPr>
          <w:lang w:eastAsia="en-AU"/>
        </w:rPr>
        <w:t>‘</w:t>
      </w:r>
      <w:r w:rsidR="006A70C4">
        <w:rPr>
          <w:lang w:eastAsia="en-AU"/>
        </w:rPr>
        <w:t>professional agricultural products</w:t>
      </w:r>
      <w:r w:rsidR="00250EFD">
        <w:rPr>
          <w:lang w:eastAsia="en-AU"/>
        </w:rPr>
        <w:t>’</w:t>
      </w:r>
      <w:r w:rsidR="006A70C4">
        <w:rPr>
          <w:lang w:eastAsia="en-AU"/>
        </w:rPr>
        <w:t xml:space="preserve"> such as snail baits that may not currently be considered subject to scheduling control. In its application the regulator (APVMA) stated that the current Schedule 5 entry was created to capture available products at that time, and that </w:t>
      </w:r>
      <w:r w:rsidR="006A70C4">
        <w:t xml:space="preserve">a recent review </w:t>
      </w:r>
      <w:r w:rsidR="00411E3F">
        <w:t xml:space="preserve">identified </w:t>
      </w:r>
      <w:r w:rsidR="0087733F">
        <w:t xml:space="preserve">a new </w:t>
      </w:r>
      <w:r w:rsidR="006A70C4">
        <w:t xml:space="preserve">product </w:t>
      </w:r>
      <w:r w:rsidR="00411E3F">
        <w:t xml:space="preserve">which is not </w:t>
      </w:r>
      <w:r w:rsidR="0087733F">
        <w:t xml:space="preserve">currently </w:t>
      </w:r>
      <w:r w:rsidR="006A70C4">
        <w:t>subject to scheduling controls but which contain</w:t>
      </w:r>
      <w:r w:rsidR="00411E3F">
        <w:t>s</w:t>
      </w:r>
      <w:r w:rsidR="006A70C4">
        <w:t xml:space="preserve"> between 5-20% elemental iron.</w:t>
      </w:r>
      <w:r w:rsidR="006A70C4">
        <w:rPr>
          <w:lang w:eastAsia="en-AU"/>
        </w:rPr>
        <w:t xml:space="preserve"> </w:t>
      </w:r>
    </w:p>
    <w:p w14:paraId="70412138" w14:textId="4527686D" w:rsidR="006A70C4" w:rsidRDefault="00EA3DF3" w:rsidP="006A70C4">
      <w:pPr>
        <w:pStyle w:val="ListBullet"/>
        <w:numPr>
          <w:ilvl w:val="0"/>
          <w:numId w:val="1"/>
        </w:numPr>
      </w:pPr>
      <w:r>
        <w:rPr>
          <w:lang w:eastAsia="en-AU"/>
        </w:rPr>
        <w:t>In relation to paragraph 52E(1)(c) of the Act, t</w:t>
      </w:r>
      <w:r w:rsidR="006A70C4">
        <w:rPr>
          <w:lang w:eastAsia="en-AU"/>
        </w:rPr>
        <w:t xml:space="preserve">he application provided data for iron compounds which indicated that the toxicity profile is consistent with inclusion into Schedule 5 when the concentration of iron </w:t>
      </w:r>
      <w:r w:rsidR="00AD2F18">
        <w:rPr>
          <w:lang w:eastAsia="en-AU"/>
        </w:rPr>
        <w:t>i</w:t>
      </w:r>
      <w:r w:rsidR="006A70C4">
        <w:rPr>
          <w:lang w:eastAsia="en-AU"/>
        </w:rPr>
        <w:t>s</w:t>
      </w:r>
      <w:r w:rsidR="00AD2F18">
        <w:rPr>
          <w:lang w:eastAsia="en-AU"/>
        </w:rPr>
        <w:t xml:space="preserve"> greater than 4 per cent. Of particular</w:t>
      </w:r>
      <w:r w:rsidR="006A70C4">
        <w:rPr>
          <w:lang w:eastAsia="en-AU"/>
        </w:rPr>
        <w:t xml:space="preserve"> </w:t>
      </w:r>
      <w:r w:rsidR="00AD2F18">
        <w:rPr>
          <w:lang w:eastAsia="en-AU"/>
        </w:rPr>
        <w:t>concern is the accidental consumption of products containing iron compounds by young children</w:t>
      </w:r>
      <w:r w:rsidR="00411E3F">
        <w:rPr>
          <w:lang w:eastAsia="en-AU"/>
        </w:rPr>
        <w:t xml:space="preserve">. </w:t>
      </w:r>
      <w:r w:rsidR="00411E3F">
        <w:t>T</w:t>
      </w:r>
      <w:r w:rsidR="00411E3F" w:rsidRPr="00C02852">
        <w:t xml:space="preserve">he acute toxic dose of iron in infants </w:t>
      </w:r>
      <w:proofErr w:type="gramStart"/>
      <w:r w:rsidR="00411E3F" w:rsidRPr="00C02852">
        <w:t>is considered to be</w:t>
      </w:r>
      <w:proofErr w:type="gramEnd"/>
      <w:r w:rsidR="00411E3F" w:rsidRPr="00C02852">
        <w:t xml:space="preserve"> approximately 20 mg/kg </w:t>
      </w:r>
      <w:proofErr w:type="spellStart"/>
      <w:r w:rsidR="00411E3F" w:rsidRPr="00C02852">
        <w:t>bw</w:t>
      </w:r>
      <w:proofErr w:type="spellEnd"/>
      <w:r w:rsidR="00411E3F" w:rsidRPr="00C02852">
        <w:t xml:space="preserve"> associated with gastrointestinal irritation, whilst systemic effects do not generally occur at doses </w:t>
      </w:r>
      <w:r w:rsidR="00411E3F">
        <w:t>&lt;</w:t>
      </w:r>
      <w:r w:rsidR="00411E3F" w:rsidRPr="00C02852">
        <w:t xml:space="preserve"> 60 mg/kg </w:t>
      </w:r>
      <w:proofErr w:type="spellStart"/>
      <w:r w:rsidR="00411E3F" w:rsidRPr="00C02852">
        <w:t>bw</w:t>
      </w:r>
      <w:proofErr w:type="spellEnd"/>
      <w:r w:rsidR="00411E3F">
        <w:t>.</w:t>
      </w:r>
      <w:r w:rsidR="00411E3F">
        <w:rPr>
          <w:lang w:eastAsia="en-AU"/>
        </w:rPr>
        <w:t xml:space="preserve"> The lethal dose in children is approximately 200-300 mg/kg </w:t>
      </w:r>
      <w:proofErr w:type="spellStart"/>
      <w:r w:rsidR="00411E3F">
        <w:rPr>
          <w:lang w:eastAsia="en-AU"/>
        </w:rPr>
        <w:t>bw</w:t>
      </w:r>
      <w:proofErr w:type="spellEnd"/>
      <w:r w:rsidR="006A70C4">
        <w:t>.</w:t>
      </w:r>
    </w:p>
    <w:p w14:paraId="0DA45BA1" w14:textId="13DDFBC9" w:rsidR="006A70C4" w:rsidRDefault="00970C5F" w:rsidP="006A70C4">
      <w:pPr>
        <w:pStyle w:val="ListBullet"/>
        <w:numPr>
          <w:ilvl w:val="0"/>
          <w:numId w:val="1"/>
        </w:numPr>
        <w:rPr>
          <w:lang w:eastAsia="en-AU"/>
        </w:rPr>
      </w:pPr>
      <w:r>
        <w:rPr>
          <w:lang w:eastAsia="en-AU"/>
        </w:rPr>
        <w:t>I am satisfied that</w:t>
      </w:r>
      <w:r w:rsidR="00150EA0">
        <w:rPr>
          <w:lang w:eastAsia="en-AU"/>
        </w:rPr>
        <w:t>, for the purposes of paragraph 52E(1)(d) of the Act,</w:t>
      </w:r>
      <w:r w:rsidR="006A70C4">
        <w:rPr>
          <w:lang w:eastAsia="en-AU"/>
        </w:rPr>
        <w:t xml:space="preserve"> the regulator </w:t>
      </w:r>
      <w:r>
        <w:rPr>
          <w:lang w:eastAsia="en-AU"/>
        </w:rPr>
        <w:t>(</w:t>
      </w:r>
      <w:r w:rsidR="006A70C4">
        <w:rPr>
          <w:lang w:eastAsia="en-AU"/>
        </w:rPr>
        <w:t>APVMA</w:t>
      </w:r>
      <w:r>
        <w:rPr>
          <w:lang w:eastAsia="en-AU"/>
        </w:rPr>
        <w:t>)</w:t>
      </w:r>
      <w:r w:rsidR="006A70C4">
        <w:rPr>
          <w:lang w:eastAsia="en-AU"/>
        </w:rPr>
        <w:t xml:space="preserve"> will consider the dosage, formulation, labelling, </w:t>
      </w:r>
      <w:proofErr w:type="gramStart"/>
      <w:r w:rsidR="006A70C4">
        <w:rPr>
          <w:lang w:eastAsia="en-AU"/>
        </w:rPr>
        <w:t>packaging</w:t>
      </w:r>
      <w:proofErr w:type="gramEnd"/>
      <w:r w:rsidR="006A70C4">
        <w:rPr>
          <w:lang w:eastAsia="en-AU"/>
        </w:rPr>
        <w:t xml:space="preserve"> and presentation of any commercial products.  </w:t>
      </w:r>
    </w:p>
    <w:p w14:paraId="755BF3BF" w14:textId="136CBC8D" w:rsidR="006A70C4" w:rsidRDefault="00EA3DF3" w:rsidP="006A70C4">
      <w:pPr>
        <w:pStyle w:val="ListBullet"/>
        <w:numPr>
          <w:ilvl w:val="0"/>
          <w:numId w:val="1"/>
        </w:numPr>
        <w:rPr>
          <w:lang w:eastAsia="en-AU"/>
        </w:rPr>
      </w:pPr>
      <w:r>
        <w:rPr>
          <w:lang w:eastAsia="en-AU"/>
        </w:rPr>
        <w:t>In relation to paragraph 52E(1)(e) of the Act</w:t>
      </w:r>
      <w:r>
        <w:t>, t</w:t>
      </w:r>
      <w:r w:rsidR="006A70C4" w:rsidRPr="00E87DC2">
        <w:t>he potential for misuse or abuse of the substance is unchanged from previous considerations</w:t>
      </w:r>
      <w:r w:rsidR="006A70C4">
        <w:rPr>
          <w:lang w:eastAsia="en-AU"/>
        </w:rPr>
        <w:t>.</w:t>
      </w:r>
    </w:p>
    <w:p w14:paraId="63A2D26E" w14:textId="30EF4BF1" w:rsidR="006A70C4" w:rsidRDefault="006A70C4" w:rsidP="006A70C4">
      <w:pPr>
        <w:pStyle w:val="ListBullet"/>
        <w:numPr>
          <w:ilvl w:val="0"/>
          <w:numId w:val="0"/>
        </w:numPr>
        <w:rPr>
          <w:lang w:eastAsia="en-AU"/>
        </w:rPr>
      </w:pPr>
      <w:r>
        <w:rPr>
          <w:lang w:eastAsia="en-AU"/>
        </w:rPr>
        <w:t xml:space="preserve">Therefore, based on the information provided in the application </w:t>
      </w:r>
      <w:r>
        <w:t xml:space="preserve">I have decided to address the inconsistency in the current scheduling for iron compounds by including professional agricultural preparations containing greater than 4 per cent of iron in the existing Schedule 5 entry. </w:t>
      </w:r>
      <w:r>
        <w:rPr>
          <w:lang w:eastAsia="en-AU"/>
        </w:rPr>
        <w:t>The proposed amendment was not referred to an expert advisory committee.</w:t>
      </w:r>
    </w:p>
    <w:p w14:paraId="786FC376" w14:textId="1A205E4E" w:rsidR="006A70C4" w:rsidRDefault="006A70C4" w:rsidP="006A70C4">
      <w:pPr>
        <w:pStyle w:val="Heading4"/>
      </w:pPr>
      <w:r w:rsidRPr="00B76897">
        <w:t>Date of effect</w:t>
      </w:r>
    </w:p>
    <w:p w14:paraId="66CE8FCE" w14:textId="35050DDD" w:rsidR="006A70C4" w:rsidRPr="006A70C4" w:rsidRDefault="006A70C4" w:rsidP="006A70C4">
      <w:r>
        <w:t xml:space="preserve">1 </w:t>
      </w:r>
      <w:r w:rsidR="00A4130D">
        <w:t>June</w:t>
      </w:r>
      <w:r>
        <w:t xml:space="preserve"> 202</w:t>
      </w:r>
      <w:r w:rsidR="00A4130D">
        <w:t>2</w:t>
      </w:r>
    </w:p>
    <w:p w14:paraId="1A55039D" w14:textId="77777777" w:rsidR="006A70C4" w:rsidRDefault="006A70C4" w:rsidP="006A70C4">
      <w:pPr>
        <w:pStyle w:val="Heading3"/>
      </w:pPr>
      <w:r>
        <w:lastRenderedPageBreak/>
        <w:t xml:space="preserve"> </w:t>
      </w:r>
      <w:bookmarkStart w:id="40" w:name="_Toc81841024"/>
      <w:bookmarkStart w:id="41" w:name="_Toc88836067"/>
      <w:bookmarkStart w:id="42" w:name="_Toc93916054"/>
      <w:r>
        <w:t xml:space="preserve">Final decision in relation to </w:t>
      </w:r>
      <w:proofErr w:type="spellStart"/>
      <w:r>
        <w:t>rescalure</w:t>
      </w:r>
      <w:bookmarkEnd w:id="40"/>
      <w:bookmarkEnd w:id="41"/>
      <w:bookmarkEnd w:id="42"/>
      <w:proofErr w:type="spellEnd"/>
    </w:p>
    <w:p w14:paraId="4A7854CF" w14:textId="77777777" w:rsidR="006A70C4" w:rsidRPr="005733D4" w:rsidRDefault="006A70C4" w:rsidP="006A70C4">
      <w:pPr>
        <w:pStyle w:val="Heading4"/>
      </w:pPr>
      <w:r w:rsidRPr="005733D4">
        <w:t xml:space="preserve">Final </w:t>
      </w:r>
      <w:r w:rsidRPr="00372277">
        <w:t>decision</w:t>
      </w:r>
      <w:r w:rsidRPr="005733D4">
        <w:t xml:space="preserve"> </w:t>
      </w:r>
    </w:p>
    <w:p w14:paraId="055A5A93" w14:textId="77777777" w:rsidR="006A70C4" w:rsidRDefault="006A70C4" w:rsidP="006A70C4">
      <w:r>
        <w:t xml:space="preserve">Pursuant to regulation 42ZCZU of the Regulations a Delegate of the Secretary has made a final decision to amend the current Poisons Standard in relation to </w:t>
      </w:r>
      <w:proofErr w:type="spellStart"/>
      <w:r>
        <w:t>rescalure</w:t>
      </w:r>
      <w:proofErr w:type="spellEnd"/>
      <w:r>
        <w:t xml:space="preserve"> as follows:</w:t>
      </w:r>
    </w:p>
    <w:p w14:paraId="765176EA" w14:textId="77777777" w:rsidR="006A70C4" w:rsidRDefault="006A70C4" w:rsidP="006A70C4">
      <w:pPr>
        <w:ind w:left="720"/>
        <w:rPr>
          <w:b/>
        </w:rPr>
      </w:pPr>
      <w:r>
        <w:rPr>
          <w:b/>
        </w:rPr>
        <w:t>Schedule 6 – New entry</w:t>
      </w:r>
    </w:p>
    <w:p w14:paraId="2E4BF415" w14:textId="77777777" w:rsidR="006A70C4" w:rsidRPr="00A807D7" w:rsidRDefault="006A70C4" w:rsidP="006A70C4">
      <w:pPr>
        <w:ind w:left="720"/>
        <w:rPr>
          <w:bCs/>
          <w:color w:val="00B050"/>
        </w:rPr>
      </w:pPr>
      <w:r w:rsidRPr="00A807D7">
        <w:rPr>
          <w:bCs/>
          <w:color w:val="00B050"/>
        </w:rPr>
        <w:t xml:space="preserve">RESCALURE for agricultural use </w:t>
      </w:r>
      <w:r w:rsidRPr="00A807D7">
        <w:rPr>
          <w:b/>
          <w:color w:val="00B050"/>
        </w:rPr>
        <w:t>except</w:t>
      </w:r>
      <w:r w:rsidRPr="00A807D7">
        <w:rPr>
          <w:bCs/>
          <w:color w:val="00B050"/>
        </w:rPr>
        <w:t xml:space="preserve"> when enclosed in a vapour releasing device which in normal use prevents access to its contents.</w:t>
      </w:r>
    </w:p>
    <w:p w14:paraId="32DF93E2" w14:textId="77777777" w:rsidR="006A70C4" w:rsidRDefault="006A70C4" w:rsidP="006A70C4">
      <w:pPr>
        <w:ind w:left="720"/>
        <w:rPr>
          <w:b/>
        </w:rPr>
      </w:pPr>
      <w:r w:rsidRPr="00DE54D9">
        <w:rPr>
          <w:b/>
        </w:rPr>
        <w:t>Index – New entry</w:t>
      </w:r>
    </w:p>
    <w:p w14:paraId="46391F2A" w14:textId="3B474715" w:rsidR="006A70C4" w:rsidRPr="00A807D7" w:rsidRDefault="006A70C4" w:rsidP="006A70C4">
      <w:pPr>
        <w:ind w:left="720"/>
        <w:rPr>
          <w:b/>
          <w:color w:val="00B050"/>
        </w:rPr>
      </w:pPr>
      <w:r w:rsidRPr="00A807D7">
        <w:rPr>
          <w:b/>
          <w:color w:val="00B050"/>
        </w:rPr>
        <w:t>RESCALURE</w:t>
      </w:r>
      <w:r w:rsidR="00411E3F">
        <w:rPr>
          <w:b/>
          <w:color w:val="00B050"/>
        </w:rPr>
        <w:br/>
        <w:t xml:space="preserve">cross reference: </w:t>
      </w:r>
      <w:r w:rsidR="0006653D" w:rsidRPr="0006653D">
        <w:rPr>
          <w:b/>
          <w:color w:val="00B050"/>
        </w:rPr>
        <w:t>(3S,6</w:t>
      </w:r>
      <w:proofErr w:type="gramStart"/>
      <w:r w:rsidR="0006653D" w:rsidRPr="0006653D">
        <w:rPr>
          <w:b/>
          <w:color w:val="00B050"/>
        </w:rPr>
        <w:t>R)-(</w:t>
      </w:r>
      <w:proofErr w:type="gramEnd"/>
      <w:r w:rsidR="0006653D" w:rsidRPr="0006653D">
        <w:rPr>
          <w:b/>
          <w:color w:val="00B050"/>
        </w:rPr>
        <w:t xml:space="preserve">3S,6S)-6-isopropenyl-3-methyldec-9-en-1-yl acetate  </w:t>
      </w:r>
    </w:p>
    <w:p w14:paraId="186D74D6" w14:textId="77777777" w:rsidR="006A70C4" w:rsidRPr="00A807D7" w:rsidRDefault="006A70C4" w:rsidP="006A70C4">
      <w:pPr>
        <w:ind w:left="720"/>
        <w:rPr>
          <w:bCs/>
          <w:color w:val="00B050"/>
        </w:rPr>
      </w:pPr>
      <w:r w:rsidRPr="00A807D7">
        <w:rPr>
          <w:bCs/>
          <w:color w:val="00B050"/>
        </w:rPr>
        <w:t>Schedule 6</w:t>
      </w:r>
    </w:p>
    <w:p w14:paraId="3A2802C5" w14:textId="77777777" w:rsidR="006A70C4" w:rsidRPr="005733D4" w:rsidRDefault="006A70C4" w:rsidP="006A70C4">
      <w:pPr>
        <w:pStyle w:val="Heading4"/>
      </w:pPr>
      <w:r w:rsidRPr="005733D4">
        <w:t>Materials considered</w:t>
      </w:r>
    </w:p>
    <w:p w14:paraId="2BFF0EEB" w14:textId="77777777" w:rsidR="006A70C4" w:rsidRDefault="006A70C4" w:rsidP="006A70C4">
      <w:pPr>
        <w:pStyle w:val="ListBullet"/>
        <w:numPr>
          <w:ilvl w:val="0"/>
          <w:numId w:val="0"/>
        </w:numPr>
        <w:ind w:left="360" w:hanging="360"/>
        <w:rPr>
          <w:lang w:eastAsia="en-AU"/>
        </w:rPr>
      </w:pPr>
      <w:r>
        <w:rPr>
          <w:lang w:eastAsia="en-AU"/>
        </w:rPr>
        <w:t>In making this final decision, the Delegate considered the following material:</w:t>
      </w:r>
    </w:p>
    <w:p w14:paraId="72EC0E8E" w14:textId="77777777" w:rsidR="006A70C4" w:rsidRDefault="006A70C4" w:rsidP="006A70C4">
      <w:pPr>
        <w:pStyle w:val="ListBullet"/>
        <w:numPr>
          <w:ilvl w:val="0"/>
          <w:numId w:val="1"/>
        </w:numPr>
        <w:rPr>
          <w:lang w:eastAsia="en-AU"/>
        </w:rPr>
      </w:pPr>
      <w:r>
        <w:rPr>
          <w:lang w:eastAsia="en-AU"/>
        </w:rPr>
        <w:t xml:space="preserve">The application to amend the current Poisons Standard with respect to </w:t>
      </w:r>
      <w:proofErr w:type="spellStart"/>
      <w:proofErr w:type="gramStart"/>
      <w:r>
        <w:rPr>
          <w:lang w:eastAsia="en-AU"/>
        </w:rPr>
        <w:t>rescalure</w:t>
      </w:r>
      <w:proofErr w:type="spellEnd"/>
      <w:r>
        <w:rPr>
          <w:lang w:eastAsia="en-AU"/>
        </w:rPr>
        <w:t>;</w:t>
      </w:r>
      <w:proofErr w:type="gramEnd"/>
    </w:p>
    <w:p w14:paraId="64F75ED6" w14:textId="77777777" w:rsidR="006A70C4" w:rsidRDefault="006A70C4" w:rsidP="006A70C4">
      <w:pPr>
        <w:pStyle w:val="ListBullet"/>
        <w:numPr>
          <w:ilvl w:val="0"/>
          <w:numId w:val="1"/>
        </w:numPr>
        <w:rPr>
          <w:lang w:eastAsia="en-AU"/>
        </w:rPr>
      </w:pPr>
      <w:r>
        <w:t xml:space="preserve">Subsection 52E(1) of the </w:t>
      </w:r>
      <w:r w:rsidRPr="00764E05">
        <w:rPr>
          <w:i/>
          <w:iCs/>
        </w:rPr>
        <w:t>Therapeutic Goods Act 1989</w:t>
      </w:r>
      <w:r>
        <w:t xml:space="preserve">,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w:t>
      </w:r>
    </w:p>
    <w:p w14:paraId="3D745B00" w14:textId="77777777" w:rsidR="00B17B8F" w:rsidRDefault="00B17B8F" w:rsidP="00B17B8F">
      <w:pPr>
        <w:pStyle w:val="ListBullet"/>
        <w:numPr>
          <w:ilvl w:val="0"/>
          <w:numId w:val="1"/>
        </w:numPr>
        <w:rPr>
          <w:lang w:eastAsia="en-AU"/>
        </w:rPr>
      </w:pPr>
      <w:r>
        <w:t xml:space="preserve">The SPF, pursuant to paragraph 52E(2)(a) of the Act; and </w:t>
      </w:r>
    </w:p>
    <w:p w14:paraId="2FDDFCD1" w14:textId="4AA10E45" w:rsidR="006A70C4" w:rsidRDefault="00B17B8F">
      <w:pPr>
        <w:pStyle w:val="ListBullet"/>
        <w:numPr>
          <w:ilvl w:val="0"/>
          <w:numId w:val="1"/>
        </w:numPr>
        <w:rPr>
          <w:lang w:eastAsia="en-AU"/>
        </w:rPr>
      </w:pPr>
      <w:r>
        <w:t xml:space="preserve">The Handbook. </w:t>
      </w:r>
    </w:p>
    <w:p w14:paraId="7238AD46" w14:textId="77777777" w:rsidR="006A70C4" w:rsidRPr="00372277" w:rsidRDefault="006A70C4" w:rsidP="006A70C4">
      <w:pPr>
        <w:pStyle w:val="Heading4"/>
      </w:pPr>
      <w:r w:rsidRPr="00372277">
        <w:t xml:space="preserve">Reasons for the final decision (including findings on material questions of fact) </w:t>
      </w:r>
    </w:p>
    <w:p w14:paraId="035C497C" w14:textId="2FC2119E" w:rsidR="006A70C4" w:rsidRDefault="006A70C4" w:rsidP="006A70C4">
      <w:pPr>
        <w:pStyle w:val="ListBullet"/>
        <w:numPr>
          <w:ilvl w:val="0"/>
          <w:numId w:val="0"/>
        </w:numPr>
      </w:pPr>
      <w:r>
        <w:t>In determining that this matter will be a delegate-only decision I have taken into account the information provided in the application from the</w:t>
      </w:r>
      <w:r w:rsidR="00250EFD">
        <w:t xml:space="preserve"> a</w:t>
      </w:r>
      <w:r>
        <w:t xml:space="preserve">pplicant (Australian Pesticides and Veterinary Medicine Authority (APVMA)), and the matters outlined under Section 52E of the </w:t>
      </w:r>
      <w:r w:rsidR="00250EFD">
        <w:t>Act</w:t>
      </w:r>
      <w:r>
        <w:t xml:space="preserve"> and the </w:t>
      </w:r>
      <w:r w:rsidR="00250EFD">
        <w:t>SPF</w:t>
      </w:r>
      <w:r>
        <w:t xml:space="preserve">. </w:t>
      </w:r>
      <w:proofErr w:type="gramStart"/>
      <w:r>
        <w:t>In particular I</w:t>
      </w:r>
      <w:proofErr w:type="gramEnd"/>
      <w:r>
        <w:t xml:space="preserve"> note that:</w:t>
      </w:r>
    </w:p>
    <w:p w14:paraId="067BDD43" w14:textId="0F0AACB4" w:rsidR="006A70C4" w:rsidRDefault="00E413B7" w:rsidP="006A70C4">
      <w:pPr>
        <w:pStyle w:val="ListBullet"/>
        <w:numPr>
          <w:ilvl w:val="0"/>
          <w:numId w:val="1"/>
        </w:numPr>
        <w:rPr>
          <w:lang w:eastAsia="en-AU"/>
        </w:rPr>
      </w:pPr>
      <w:r>
        <w:t xml:space="preserve">In relation to paragraph 52E(1)(a) of the Act, </w:t>
      </w:r>
      <w:r>
        <w:rPr>
          <w:lang w:eastAsia="en-AU"/>
        </w:rPr>
        <w:t>t</w:t>
      </w:r>
      <w:r w:rsidR="006A70C4">
        <w:rPr>
          <w:lang w:eastAsia="en-AU"/>
        </w:rPr>
        <w:t xml:space="preserve">he proposed amendment to the Poisons Standard is to include a new entry for </w:t>
      </w:r>
      <w:proofErr w:type="spellStart"/>
      <w:r w:rsidR="006A70C4">
        <w:rPr>
          <w:lang w:eastAsia="en-AU"/>
        </w:rPr>
        <w:t>rescalure</w:t>
      </w:r>
      <w:proofErr w:type="spellEnd"/>
      <w:r w:rsidR="006A70C4">
        <w:rPr>
          <w:lang w:eastAsia="en-AU"/>
        </w:rPr>
        <w:t xml:space="preserve"> in Schedule 6, based upon benefits to the agricultural industry from the introduction of a new pesticide. In its application the regulator (APVMA) provided a Human Health Risk Assessment (HHRA) which concluded that the risks to human health and safety posed by this substance are acceptable according to the criteria stipulated in </w:t>
      </w:r>
      <w:r w:rsidR="006A70C4">
        <w:t xml:space="preserve">Section 5A of the </w:t>
      </w:r>
      <w:r w:rsidR="006A70C4" w:rsidRPr="00694998">
        <w:rPr>
          <w:i/>
          <w:iCs/>
        </w:rPr>
        <w:t>Agricultural and Veterinary Chemicals Code Act (1994)</w:t>
      </w:r>
      <w:r w:rsidR="006A70C4">
        <w:t>.</w:t>
      </w:r>
      <w:r w:rsidR="006A70C4">
        <w:rPr>
          <w:lang w:eastAsia="en-AU"/>
        </w:rPr>
        <w:t xml:space="preserve"> </w:t>
      </w:r>
    </w:p>
    <w:p w14:paraId="58E40431" w14:textId="61D2AEEE" w:rsidR="006A70C4" w:rsidRDefault="00541E54" w:rsidP="006A70C4">
      <w:pPr>
        <w:pStyle w:val="ListBullet"/>
        <w:numPr>
          <w:ilvl w:val="0"/>
          <w:numId w:val="1"/>
        </w:numPr>
      </w:pPr>
      <w:r>
        <w:rPr>
          <w:lang w:eastAsia="en-AU"/>
        </w:rPr>
        <w:t xml:space="preserve">In relation to paragraph 52E(1)(b) of the Act, </w:t>
      </w:r>
      <w:proofErr w:type="spellStart"/>
      <w:r>
        <w:t>r</w:t>
      </w:r>
      <w:r w:rsidR="006A70C4">
        <w:t>escalure</w:t>
      </w:r>
      <w:proofErr w:type="spellEnd"/>
      <w:r w:rsidR="006A70C4">
        <w:t xml:space="preserve"> is a synthetic arthropod pheromone commercialised as a control for the California Red Scale pest in citrus and other crops. </w:t>
      </w:r>
      <w:proofErr w:type="spellStart"/>
      <w:r w:rsidR="006A70C4">
        <w:t>Rescalure</w:t>
      </w:r>
      <w:proofErr w:type="spellEnd"/>
      <w:r w:rsidR="006A70C4">
        <w:t xml:space="preserve"> is authorised for use in the USA, </w:t>
      </w:r>
      <w:proofErr w:type="gramStart"/>
      <w:r w:rsidR="006A70C4">
        <w:t>EU</w:t>
      </w:r>
      <w:proofErr w:type="gramEnd"/>
      <w:r w:rsidR="006A70C4">
        <w:t xml:space="preserve"> and Uruguay.</w:t>
      </w:r>
    </w:p>
    <w:p w14:paraId="3E81B620" w14:textId="7DB819DB" w:rsidR="006A70C4" w:rsidRDefault="00541E54" w:rsidP="006A70C4">
      <w:pPr>
        <w:pStyle w:val="ListBullet"/>
        <w:numPr>
          <w:ilvl w:val="0"/>
          <w:numId w:val="1"/>
        </w:numPr>
      </w:pPr>
      <w:r>
        <w:rPr>
          <w:lang w:eastAsia="en-AU"/>
        </w:rPr>
        <w:t>In relation to paragraph 52E(1)(e) of the Act, t</w:t>
      </w:r>
      <w:r w:rsidR="006A70C4">
        <w:rPr>
          <w:lang w:eastAsia="en-AU"/>
        </w:rPr>
        <w:t xml:space="preserve">he application provided data for </w:t>
      </w:r>
      <w:proofErr w:type="spellStart"/>
      <w:r w:rsidR="006A70C4">
        <w:rPr>
          <w:lang w:eastAsia="en-AU"/>
        </w:rPr>
        <w:t>rescalure</w:t>
      </w:r>
      <w:proofErr w:type="spellEnd"/>
      <w:r w:rsidR="006A70C4">
        <w:rPr>
          <w:lang w:eastAsia="en-AU"/>
        </w:rPr>
        <w:t xml:space="preserve"> which indicated that the toxicity profile is consistent with inclusion into Schedule 6, based </w:t>
      </w:r>
      <w:r w:rsidR="006A70C4">
        <w:rPr>
          <w:lang w:eastAsia="en-AU"/>
        </w:rPr>
        <w:lastRenderedPageBreak/>
        <w:t xml:space="preserve">on its low </w:t>
      </w:r>
      <w:r w:rsidR="006A70C4">
        <w:t>acute oral (LD</w:t>
      </w:r>
      <w:r w:rsidR="006A70C4" w:rsidRPr="00150ABE">
        <w:rPr>
          <w:vertAlign w:val="subscript"/>
        </w:rPr>
        <w:t>50</w:t>
      </w:r>
      <w:r w:rsidR="006A70C4">
        <w:t xml:space="preserve"> &gt; 5000</w:t>
      </w:r>
      <w:r w:rsidR="00250EFD">
        <w:t xml:space="preserve"> </w:t>
      </w:r>
      <w:r w:rsidR="006A70C4">
        <w:t xml:space="preserve">mg/kg </w:t>
      </w:r>
      <w:proofErr w:type="spellStart"/>
      <w:r w:rsidR="006A70C4">
        <w:t>bw</w:t>
      </w:r>
      <w:proofErr w:type="spellEnd"/>
      <w:r w:rsidR="006A70C4">
        <w:t>), dermal (LD</w:t>
      </w:r>
      <w:r w:rsidR="006A70C4" w:rsidRPr="00150ABE">
        <w:rPr>
          <w:vertAlign w:val="subscript"/>
        </w:rPr>
        <w:t>50</w:t>
      </w:r>
      <w:r w:rsidR="006A70C4">
        <w:t xml:space="preserve"> &gt; 5000</w:t>
      </w:r>
      <w:r w:rsidR="00250EFD">
        <w:t xml:space="preserve"> </w:t>
      </w:r>
      <w:r w:rsidR="006A70C4">
        <w:t xml:space="preserve">mg/kg </w:t>
      </w:r>
      <w:proofErr w:type="spellStart"/>
      <w:r w:rsidR="006A70C4">
        <w:t>bw</w:t>
      </w:r>
      <w:proofErr w:type="spellEnd"/>
      <w:r w:rsidR="006A70C4">
        <w:t>) and inhalational toxicity</w:t>
      </w:r>
      <w:r w:rsidR="0006653D">
        <w:rPr>
          <w:rStyle w:val="FootnoteReference"/>
        </w:rPr>
        <w:footnoteReference w:id="1"/>
      </w:r>
      <w:r w:rsidR="006A70C4">
        <w:t xml:space="preserve">. </w:t>
      </w:r>
      <w:proofErr w:type="spellStart"/>
      <w:r w:rsidR="006A70C4">
        <w:t>Rescalure</w:t>
      </w:r>
      <w:proofErr w:type="spellEnd"/>
      <w:r w:rsidR="006A70C4">
        <w:t xml:space="preserve"> is an eye irritant, a weak skin sensitiser and does not appear to cause skin irritation. The risk of genotoxicity appears to be negligible.</w:t>
      </w:r>
    </w:p>
    <w:p w14:paraId="1134B9CD" w14:textId="2841EC65" w:rsidR="006A70C4" w:rsidRDefault="00A80EE4" w:rsidP="006A70C4">
      <w:pPr>
        <w:pStyle w:val="ListBullet"/>
        <w:numPr>
          <w:ilvl w:val="0"/>
          <w:numId w:val="1"/>
        </w:numPr>
        <w:rPr>
          <w:lang w:eastAsia="en-AU"/>
        </w:rPr>
      </w:pPr>
      <w:r>
        <w:rPr>
          <w:lang w:eastAsia="en-AU"/>
        </w:rPr>
        <w:t>I am satisfied that</w:t>
      </w:r>
      <w:r w:rsidR="00150EA0">
        <w:rPr>
          <w:lang w:eastAsia="en-AU"/>
        </w:rPr>
        <w:t>, for the purposes of paragraph 52E(1)(d) of the Act,</w:t>
      </w:r>
      <w:r>
        <w:rPr>
          <w:lang w:eastAsia="en-AU"/>
        </w:rPr>
        <w:t xml:space="preserve"> the regulator (APVMA) will consider the dosage, formulation, labelling, </w:t>
      </w:r>
      <w:proofErr w:type="gramStart"/>
      <w:r>
        <w:rPr>
          <w:lang w:eastAsia="en-AU"/>
        </w:rPr>
        <w:t>packaging</w:t>
      </w:r>
      <w:proofErr w:type="gramEnd"/>
      <w:r>
        <w:rPr>
          <w:lang w:eastAsia="en-AU"/>
        </w:rPr>
        <w:t xml:space="preserve"> and presentation of any commercial products</w:t>
      </w:r>
      <w:r w:rsidR="00250EFD">
        <w:rPr>
          <w:lang w:eastAsia="en-AU"/>
        </w:rPr>
        <w:t>.</w:t>
      </w:r>
      <w:r>
        <w:rPr>
          <w:lang w:eastAsia="en-AU"/>
        </w:rPr>
        <w:t xml:space="preserve"> </w:t>
      </w:r>
      <w:r w:rsidR="005646AF">
        <w:rPr>
          <w:lang w:eastAsia="en-AU"/>
        </w:rPr>
        <w:t>The product whose details are included in the application consists of a small reservoir containing the active constituent within a plastic dispenser, which are suspended from tree branches</w:t>
      </w:r>
      <w:r w:rsidR="006A70C4">
        <w:rPr>
          <w:lang w:eastAsia="en-AU"/>
        </w:rPr>
        <w:t xml:space="preserve">.  </w:t>
      </w:r>
    </w:p>
    <w:p w14:paraId="2EC8AE96" w14:textId="0416B84F" w:rsidR="006A70C4" w:rsidRDefault="006A70C4" w:rsidP="006A70C4">
      <w:pPr>
        <w:pStyle w:val="ListBullet"/>
        <w:numPr>
          <w:ilvl w:val="0"/>
          <w:numId w:val="1"/>
        </w:numPr>
        <w:rPr>
          <w:lang w:eastAsia="en-AU"/>
        </w:rPr>
      </w:pPr>
      <w:r>
        <w:rPr>
          <w:lang w:eastAsia="en-AU"/>
        </w:rPr>
        <w:t xml:space="preserve">The substance has no human therapeutic value that would indicate a risk for diversion, </w:t>
      </w:r>
      <w:proofErr w:type="gramStart"/>
      <w:r>
        <w:rPr>
          <w:lang w:eastAsia="en-AU"/>
        </w:rPr>
        <w:t>misuse</w:t>
      </w:r>
      <w:proofErr w:type="gramEnd"/>
      <w:r>
        <w:rPr>
          <w:lang w:eastAsia="en-AU"/>
        </w:rPr>
        <w:t xml:space="preserve"> or abuse.</w:t>
      </w:r>
    </w:p>
    <w:p w14:paraId="63DE8469" w14:textId="77777777" w:rsidR="006A70C4" w:rsidRPr="00B05FAF" w:rsidRDefault="006A70C4" w:rsidP="006A70C4">
      <w:pPr>
        <w:pStyle w:val="ListBullet"/>
        <w:numPr>
          <w:ilvl w:val="0"/>
          <w:numId w:val="0"/>
        </w:numPr>
        <w:rPr>
          <w:lang w:eastAsia="en-AU"/>
        </w:rPr>
      </w:pPr>
      <w:r>
        <w:rPr>
          <w:lang w:eastAsia="en-AU"/>
        </w:rPr>
        <w:t xml:space="preserve">Therefore, based on the information provided in the application, I have decided to amend the current Poisons Standard in the manner set out in the application. The proposed amendment was not referred to an expert advisory committee.  </w:t>
      </w:r>
    </w:p>
    <w:p w14:paraId="6A8A9AC4" w14:textId="77777777" w:rsidR="006A70C4" w:rsidRPr="00B76897" w:rsidRDefault="006A70C4" w:rsidP="006A70C4">
      <w:pPr>
        <w:pStyle w:val="Heading4"/>
      </w:pPr>
      <w:r w:rsidRPr="00B76897">
        <w:t>Date of effect</w:t>
      </w:r>
      <w:r>
        <w:t xml:space="preserve"> </w:t>
      </w:r>
    </w:p>
    <w:p w14:paraId="62603D3F" w14:textId="77777777" w:rsidR="006A70C4" w:rsidRPr="00AE35CD" w:rsidRDefault="006A70C4" w:rsidP="006A70C4">
      <w:r w:rsidRPr="00AE35CD">
        <w:t>1 February 2022</w:t>
      </w:r>
    </w:p>
    <w:p w14:paraId="211A973E" w14:textId="62CF02A6" w:rsidR="006A70C4" w:rsidRDefault="006A70C4" w:rsidP="006A70C4">
      <w:pPr>
        <w:pStyle w:val="Heading3"/>
      </w:pPr>
      <w:bookmarkStart w:id="43" w:name="_Toc81841025"/>
      <w:bookmarkStart w:id="44" w:name="_Toc88836068"/>
      <w:bookmarkStart w:id="45" w:name="_Toc93916055"/>
      <w:r>
        <w:t>Final decision in relation to flu</w:t>
      </w:r>
      <w:r w:rsidR="006E1B24">
        <w:t>o</w:t>
      </w:r>
      <w:r>
        <w:t>xapiprolin</w:t>
      </w:r>
      <w:bookmarkEnd w:id="43"/>
      <w:bookmarkEnd w:id="44"/>
      <w:bookmarkEnd w:id="45"/>
    </w:p>
    <w:p w14:paraId="1428FAF2" w14:textId="77777777" w:rsidR="006A70C4" w:rsidRPr="00372277" w:rsidRDefault="006A70C4" w:rsidP="006A70C4">
      <w:pPr>
        <w:pStyle w:val="Heading4"/>
      </w:pPr>
      <w:r w:rsidRPr="00372277">
        <w:t>Final decision</w:t>
      </w:r>
    </w:p>
    <w:p w14:paraId="032FCC17" w14:textId="76D5657A" w:rsidR="006A70C4" w:rsidRDefault="006A70C4" w:rsidP="006A70C4">
      <w:r>
        <w:t>Pursuant to regulation 42ZCZU of the Regulations a Delegate of the Secretary has made a final decision to amend the current Poisons Standard in relation to flu</w:t>
      </w:r>
      <w:r w:rsidR="006E1B24">
        <w:t>ox</w:t>
      </w:r>
      <w:r>
        <w:t>apiprolin as follows:</w:t>
      </w:r>
    </w:p>
    <w:p w14:paraId="5BB54E58" w14:textId="77777777" w:rsidR="006A70C4" w:rsidRPr="00764E05" w:rsidRDefault="006A70C4" w:rsidP="00764E05">
      <w:pPr>
        <w:rPr>
          <w:b/>
          <w:bCs/>
        </w:rPr>
      </w:pPr>
      <w:r w:rsidRPr="00764E05">
        <w:rPr>
          <w:b/>
          <w:bCs/>
        </w:rPr>
        <w:t>Appendix B – New entry</w:t>
      </w:r>
    </w:p>
    <w:tbl>
      <w:tblPr>
        <w:tblStyle w:val="TableTGAblue"/>
        <w:tblW w:w="0" w:type="auto"/>
        <w:tblLook w:val="04A0" w:firstRow="1" w:lastRow="0" w:firstColumn="1" w:lastColumn="0" w:noHBand="0" w:noVBand="1"/>
      </w:tblPr>
      <w:tblGrid>
        <w:gridCol w:w="2265"/>
        <w:gridCol w:w="2262"/>
        <w:gridCol w:w="2262"/>
        <w:gridCol w:w="2261"/>
      </w:tblGrid>
      <w:tr w:rsidR="00682D18" w14:paraId="27308E55" w14:textId="77777777" w:rsidTr="00016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1A448EBC" w14:textId="067043BF" w:rsidR="00682D18" w:rsidRPr="00682D18" w:rsidRDefault="00974CC8" w:rsidP="00016510">
            <w:pPr>
              <w:jc w:val="center"/>
              <w:rPr>
                <w:bCs/>
                <w:color w:val="FFFFFF" w:themeColor="background1"/>
              </w:rPr>
            </w:pPr>
            <w:r w:rsidRPr="00682D18">
              <w:rPr>
                <w:bCs/>
                <w:color w:val="FFFFFF" w:themeColor="background1"/>
              </w:rPr>
              <w:t>Substance</w:t>
            </w:r>
          </w:p>
        </w:tc>
        <w:tc>
          <w:tcPr>
            <w:tcW w:w="2265" w:type="dxa"/>
            <w:vAlign w:val="center"/>
          </w:tcPr>
          <w:p w14:paraId="53247206" w14:textId="057471EE" w:rsidR="00682D18" w:rsidRPr="00682D18" w:rsidRDefault="00974CC8" w:rsidP="00016510">
            <w:pPr>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682D18">
              <w:rPr>
                <w:bCs/>
                <w:color w:val="FFFFFF" w:themeColor="background1"/>
              </w:rPr>
              <w:t>Date of entry</w:t>
            </w:r>
          </w:p>
        </w:tc>
        <w:tc>
          <w:tcPr>
            <w:tcW w:w="2265" w:type="dxa"/>
            <w:vAlign w:val="center"/>
          </w:tcPr>
          <w:p w14:paraId="38374512" w14:textId="38B5077F" w:rsidR="00682D18" w:rsidRPr="00682D18" w:rsidRDefault="00974CC8" w:rsidP="00016510">
            <w:pPr>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682D18">
              <w:rPr>
                <w:bCs/>
                <w:color w:val="FFFFFF" w:themeColor="background1"/>
              </w:rPr>
              <w:t>Reason for listing</w:t>
            </w:r>
          </w:p>
        </w:tc>
        <w:tc>
          <w:tcPr>
            <w:tcW w:w="2265" w:type="dxa"/>
            <w:vAlign w:val="center"/>
          </w:tcPr>
          <w:p w14:paraId="3B6184CD" w14:textId="1799F790" w:rsidR="00682D18" w:rsidRPr="00682D18" w:rsidRDefault="00974CC8" w:rsidP="00016510">
            <w:pPr>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682D18">
              <w:rPr>
                <w:bCs/>
                <w:color w:val="FFFFFF" w:themeColor="background1"/>
              </w:rPr>
              <w:t>Area of use</w:t>
            </w:r>
          </w:p>
        </w:tc>
      </w:tr>
      <w:tr w:rsidR="00682D18" w14:paraId="2509040F" w14:textId="77777777" w:rsidTr="00016510">
        <w:tc>
          <w:tcPr>
            <w:cnfStyle w:val="001000000000" w:firstRow="0" w:lastRow="0" w:firstColumn="1" w:lastColumn="0" w:oddVBand="0" w:evenVBand="0" w:oddHBand="0" w:evenHBand="0" w:firstRowFirstColumn="0" w:firstRowLastColumn="0" w:lastRowFirstColumn="0" w:lastRowLastColumn="0"/>
            <w:tcW w:w="2265" w:type="dxa"/>
          </w:tcPr>
          <w:p w14:paraId="0CD10EE6" w14:textId="4EBF9ED4" w:rsidR="00682D18" w:rsidRDefault="00682D18" w:rsidP="00016510">
            <w:pPr>
              <w:jc w:val="center"/>
              <w:rPr>
                <w:bCs/>
                <w:color w:val="00B050"/>
              </w:rPr>
            </w:pPr>
            <w:r>
              <w:rPr>
                <w:bCs/>
                <w:color w:val="00B050"/>
              </w:rPr>
              <w:t>FLUOXAPIPROLIN</w:t>
            </w:r>
          </w:p>
        </w:tc>
        <w:tc>
          <w:tcPr>
            <w:tcW w:w="2265" w:type="dxa"/>
          </w:tcPr>
          <w:p w14:paraId="4B3553FD" w14:textId="77777777" w:rsidR="00682D18" w:rsidRDefault="00682D18" w:rsidP="00016510">
            <w:pPr>
              <w:jc w:val="center"/>
              <w:cnfStyle w:val="000000000000" w:firstRow="0" w:lastRow="0" w:firstColumn="0" w:lastColumn="0" w:oddVBand="0" w:evenVBand="0" w:oddHBand="0" w:evenHBand="0" w:firstRowFirstColumn="0" w:firstRowLastColumn="0" w:lastRowFirstColumn="0" w:lastRowLastColumn="0"/>
              <w:rPr>
                <w:bCs/>
                <w:color w:val="00B050"/>
              </w:rPr>
            </w:pPr>
            <w:r>
              <w:rPr>
                <w:bCs/>
                <w:color w:val="00B050"/>
              </w:rPr>
              <w:t>February 2022</w:t>
            </w:r>
          </w:p>
        </w:tc>
        <w:tc>
          <w:tcPr>
            <w:tcW w:w="2265" w:type="dxa"/>
          </w:tcPr>
          <w:p w14:paraId="57E3E0DC" w14:textId="77777777" w:rsidR="00682D18" w:rsidRDefault="00682D18" w:rsidP="00016510">
            <w:pPr>
              <w:jc w:val="center"/>
              <w:cnfStyle w:val="000000000000" w:firstRow="0" w:lastRow="0" w:firstColumn="0" w:lastColumn="0" w:oddVBand="0" w:evenVBand="0" w:oddHBand="0" w:evenHBand="0" w:firstRowFirstColumn="0" w:firstRowLastColumn="0" w:lastRowFirstColumn="0" w:lastRowLastColumn="0"/>
              <w:rPr>
                <w:bCs/>
                <w:color w:val="00B050"/>
              </w:rPr>
            </w:pPr>
            <w:r>
              <w:rPr>
                <w:bCs/>
                <w:color w:val="00B050"/>
              </w:rPr>
              <w:t>a</w:t>
            </w:r>
          </w:p>
        </w:tc>
        <w:tc>
          <w:tcPr>
            <w:tcW w:w="2265" w:type="dxa"/>
          </w:tcPr>
          <w:p w14:paraId="5C362A7E" w14:textId="491B09C8" w:rsidR="00682D18" w:rsidRDefault="00682D18" w:rsidP="00016510">
            <w:pPr>
              <w:jc w:val="center"/>
              <w:cnfStyle w:val="000000000000" w:firstRow="0" w:lastRow="0" w:firstColumn="0" w:lastColumn="0" w:oddVBand="0" w:evenVBand="0" w:oddHBand="0" w:evenHBand="0" w:firstRowFirstColumn="0" w:firstRowLastColumn="0" w:lastRowFirstColumn="0" w:lastRowLastColumn="0"/>
              <w:rPr>
                <w:bCs/>
                <w:color w:val="00B050"/>
              </w:rPr>
            </w:pPr>
            <w:r>
              <w:rPr>
                <w:bCs/>
                <w:color w:val="00B050"/>
              </w:rPr>
              <w:t>1.3</w:t>
            </w:r>
          </w:p>
        </w:tc>
      </w:tr>
    </w:tbl>
    <w:p w14:paraId="5F99A8DB" w14:textId="77777777" w:rsidR="006A70C4" w:rsidRDefault="006A70C4" w:rsidP="00682D18">
      <w:pPr>
        <w:ind w:firstLine="720"/>
        <w:rPr>
          <w:b/>
        </w:rPr>
      </w:pPr>
      <w:r>
        <w:rPr>
          <w:b/>
        </w:rPr>
        <w:t>Index – New entry</w:t>
      </w:r>
    </w:p>
    <w:p w14:paraId="24EFB6EC" w14:textId="77777777" w:rsidR="006A70C4" w:rsidRPr="00BB3B06" w:rsidRDefault="006A70C4" w:rsidP="006A70C4">
      <w:pPr>
        <w:ind w:left="720"/>
        <w:rPr>
          <w:b/>
          <w:color w:val="00B050"/>
        </w:rPr>
      </w:pPr>
      <w:r w:rsidRPr="00BB3B06">
        <w:rPr>
          <w:b/>
          <w:color w:val="00B050"/>
        </w:rPr>
        <w:t>FLUOXAPIPROLIN</w:t>
      </w:r>
    </w:p>
    <w:p w14:paraId="1B493BA7" w14:textId="72CF0294" w:rsidR="006A70C4" w:rsidRPr="00BB3B06" w:rsidRDefault="006A70C4" w:rsidP="006A70C4">
      <w:pPr>
        <w:ind w:left="720"/>
        <w:rPr>
          <w:bCs/>
          <w:color w:val="00B050"/>
        </w:rPr>
      </w:pPr>
      <w:r w:rsidRPr="00BB3B06">
        <w:rPr>
          <w:bCs/>
          <w:color w:val="00B050"/>
        </w:rPr>
        <w:t>Appendix B</w:t>
      </w:r>
      <w:r w:rsidR="006558F3">
        <w:rPr>
          <w:bCs/>
          <w:color w:val="00B050"/>
        </w:rPr>
        <w:t>, Part 3</w:t>
      </w:r>
    </w:p>
    <w:p w14:paraId="638226D2" w14:textId="77777777" w:rsidR="006A70C4" w:rsidRPr="00372277" w:rsidRDefault="006A70C4" w:rsidP="006A70C4">
      <w:pPr>
        <w:pStyle w:val="Heading4"/>
      </w:pPr>
      <w:r w:rsidRPr="00372277">
        <w:t>Materials considered</w:t>
      </w:r>
    </w:p>
    <w:p w14:paraId="207B5951" w14:textId="77777777" w:rsidR="006A70C4" w:rsidRDefault="006A70C4" w:rsidP="006A70C4">
      <w:pPr>
        <w:pStyle w:val="ListBullet"/>
        <w:numPr>
          <w:ilvl w:val="0"/>
          <w:numId w:val="0"/>
        </w:numPr>
        <w:ind w:left="360" w:hanging="360"/>
        <w:rPr>
          <w:lang w:eastAsia="en-AU"/>
        </w:rPr>
      </w:pPr>
      <w:r>
        <w:rPr>
          <w:lang w:eastAsia="en-AU"/>
        </w:rPr>
        <w:t>In making this final decision, the Delegate considered the following material:</w:t>
      </w:r>
    </w:p>
    <w:p w14:paraId="371E3B0A" w14:textId="7A5BFBE6" w:rsidR="006A70C4" w:rsidRDefault="006A70C4" w:rsidP="006A70C4">
      <w:pPr>
        <w:pStyle w:val="ListBullet"/>
        <w:numPr>
          <w:ilvl w:val="0"/>
          <w:numId w:val="1"/>
        </w:numPr>
        <w:rPr>
          <w:lang w:eastAsia="en-AU"/>
        </w:rPr>
      </w:pPr>
      <w:r>
        <w:rPr>
          <w:lang w:eastAsia="en-AU"/>
        </w:rPr>
        <w:t xml:space="preserve">The application to amend the current Poisons Standard with respect to </w:t>
      </w:r>
      <w:proofErr w:type="gramStart"/>
      <w:r>
        <w:rPr>
          <w:lang w:eastAsia="en-AU"/>
        </w:rPr>
        <w:t>flu</w:t>
      </w:r>
      <w:r w:rsidR="006E1B24">
        <w:rPr>
          <w:lang w:eastAsia="en-AU"/>
        </w:rPr>
        <w:t>ox</w:t>
      </w:r>
      <w:r>
        <w:rPr>
          <w:lang w:eastAsia="en-AU"/>
        </w:rPr>
        <w:t>apiprolin;</w:t>
      </w:r>
      <w:proofErr w:type="gramEnd"/>
    </w:p>
    <w:p w14:paraId="1DCBB478" w14:textId="77777777" w:rsidR="006A70C4" w:rsidRDefault="006A70C4" w:rsidP="006A70C4">
      <w:pPr>
        <w:pStyle w:val="ListBullet"/>
        <w:numPr>
          <w:ilvl w:val="0"/>
          <w:numId w:val="1"/>
        </w:numPr>
        <w:rPr>
          <w:lang w:eastAsia="en-AU"/>
        </w:rPr>
      </w:pPr>
      <w:r>
        <w:t xml:space="preserve">Subsection 52E(1) of the </w:t>
      </w:r>
      <w:r w:rsidRPr="00764E05">
        <w:rPr>
          <w:i/>
          <w:iCs/>
        </w:rPr>
        <w:t>Therapeutic Goods Act 1989</w:t>
      </w:r>
      <w:r>
        <w:t xml:space="preserve">,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w:t>
      </w:r>
    </w:p>
    <w:p w14:paraId="12513ACC" w14:textId="77777777" w:rsidR="00B17B8F" w:rsidRDefault="00B17B8F" w:rsidP="00B17B8F">
      <w:pPr>
        <w:pStyle w:val="ListBullet"/>
        <w:numPr>
          <w:ilvl w:val="0"/>
          <w:numId w:val="1"/>
        </w:numPr>
        <w:rPr>
          <w:lang w:eastAsia="en-AU"/>
        </w:rPr>
      </w:pPr>
      <w:r>
        <w:lastRenderedPageBreak/>
        <w:t xml:space="preserve">The SPF, pursuant to paragraph 52E(2)(a) of the Act; and </w:t>
      </w:r>
    </w:p>
    <w:p w14:paraId="19ACD813" w14:textId="432AB955" w:rsidR="006A70C4" w:rsidRDefault="00B17B8F">
      <w:pPr>
        <w:pStyle w:val="ListBullet"/>
        <w:numPr>
          <w:ilvl w:val="0"/>
          <w:numId w:val="1"/>
        </w:numPr>
        <w:rPr>
          <w:lang w:eastAsia="en-AU"/>
        </w:rPr>
      </w:pPr>
      <w:r>
        <w:t xml:space="preserve">The Handbook. </w:t>
      </w:r>
    </w:p>
    <w:p w14:paraId="16EA07D4" w14:textId="77777777" w:rsidR="006A70C4" w:rsidRDefault="006A70C4" w:rsidP="006A70C4">
      <w:pPr>
        <w:pStyle w:val="Heading4"/>
      </w:pPr>
      <w:r>
        <w:t xml:space="preserve">Reasons for the final decision (including findings on material questions of fact) </w:t>
      </w:r>
    </w:p>
    <w:p w14:paraId="2B3B08F6" w14:textId="0EA43A56" w:rsidR="006A70C4" w:rsidRDefault="006A70C4" w:rsidP="006A70C4">
      <w:pPr>
        <w:pStyle w:val="ListBullet"/>
        <w:numPr>
          <w:ilvl w:val="0"/>
          <w:numId w:val="0"/>
        </w:numPr>
      </w:pPr>
      <w:r>
        <w:t xml:space="preserve">In determining that this matter will be a delegate-only decision I have taken into account the information provided in the application from the Applicant (Australian Pesticides and Veterinary Medicine Authority (APVMA)), and the matters outlined under Section 52E of the </w:t>
      </w:r>
      <w:r w:rsidR="009F141A">
        <w:t>Act</w:t>
      </w:r>
      <w:r>
        <w:t xml:space="preserve"> and the </w:t>
      </w:r>
      <w:r w:rsidR="009F141A">
        <w:t>SPF</w:t>
      </w:r>
      <w:r>
        <w:t xml:space="preserve">. </w:t>
      </w:r>
      <w:proofErr w:type="gramStart"/>
      <w:r>
        <w:t>In particular I</w:t>
      </w:r>
      <w:proofErr w:type="gramEnd"/>
      <w:r>
        <w:t xml:space="preserve"> note that:</w:t>
      </w:r>
    </w:p>
    <w:p w14:paraId="12D3A102" w14:textId="5C8C99FB" w:rsidR="006A70C4" w:rsidRPr="00354CE8" w:rsidRDefault="00E413B7" w:rsidP="006A70C4">
      <w:pPr>
        <w:pStyle w:val="ListBullet"/>
        <w:numPr>
          <w:ilvl w:val="0"/>
          <w:numId w:val="1"/>
        </w:numPr>
      </w:pPr>
      <w:r>
        <w:t>In relation to paragraph 52E(1)(a) of the Act, t</w:t>
      </w:r>
      <w:r w:rsidR="006A70C4" w:rsidRPr="00354CE8">
        <w:t>he proposed amendment to the Poisons Standard is to include a new entry for flu</w:t>
      </w:r>
      <w:r w:rsidR="006E1B24">
        <w:t>ox</w:t>
      </w:r>
      <w:r w:rsidR="006A70C4" w:rsidRPr="00354CE8">
        <w:t xml:space="preserve">apiprolin in Appendix B, </w:t>
      </w:r>
      <w:r w:rsidR="00411E3F">
        <w:t>thereby exempting the substance from any requirements that are imposed by scheduling,</w:t>
      </w:r>
      <w:r w:rsidR="00411E3F" w:rsidRPr="00354CE8">
        <w:t xml:space="preserve"> </w:t>
      </w:r>
      <w:r w:rsidR="006A70C4" w:rsidRPr="00354CE8">
        <w:t xml:space="preserve">based upon benefits to the agricultural industry from the introduction of a novel fungicide. In its application the regulator (APVMA) provided a Human Health Risk Assessment (HHRA) which concluded that the risks to human health and safety posed by this </w:t>
      </w:r>
      <w:r w:rsidR="006A70C4">
        <w:t>substance</w:t>
      </w:r>
      <w:r w:rsidR="006A70C4" w:rsidRPr="00354CE8">
        <w:t xml:space="preserve"> are acceptable according to the criteria stipulated in Section 5A of the </w:t>
      </w:r>
      <w:r w:rsidR="006A70C4" w:rsidRPr="00694998">
        <w:rPr>
          <w:i/>
          <w:iCs/>
        </w:rPr>
        <w:t>Agricultural and Veterinary Chemicals Code Act (1994)</w:t>
      </w:r>
      <w:r w:rsidR="006A70C4" w:rsidRPr="00354CE8">
        <w:t xml:space="preserve">. </w:t>
      </w:r>
    </w:p>
    <w:p w14:paraId="5BD482D2" w14:textId="3A2B5D18" w:rsidR="006A70C4" w:rsidRDefault="00150EA0" w:rsidP="006A70C4">
      <w:pPr>
        <w:pStyle w:val="ListBullet"/>
        <w:numPr>
          <w:ilvl w:val="0"/>
          <w:numId w:val="1"/>
        </w:numPr>
      </w:pPr>
      <w:r>
        <w:rPr>
          <w:lang w:eastAsia="en-AU"/>
        </w:rPr>
        <w:t xml:space="preserve">In relation to paragraph 52E(1)(b) of the Act, </w:t>
      </w:r>
      <w:proofErr w:type="spellStart"/>
      <w:r w:rsidR="00CB3AE4">
        <w:t>f</w:t>
      </w:r>
      <w:r w:rsidR="006A70C4">
        <w:t>luox</w:t>
      </w:r>
      <w:r w:rsidR="006E1B24">
        <w:t>a</w:t>
      </w:r>
      <w:r w:rsidR="006A70C4">
        <w:t>piprolin</w:t>
      </w:r>
      <w:proofErr w:type="spellEnd"/>
      <w:r w:rsidR="006A70C4">
        <w:t xml:space="preserve"> is a fungicide closely related to oxathiapiprolin, which is currently included in Appendix B of the Poisons Standard as a substance considered not to require control through scheduling.</w:t>
      </w:r>
    </w:p>
    <w:p w14:paraId="02AB9BDE" w14:textId="6AD1F087" w:rsidR="006A70C4" w:rsidRPr="00482B23" w:rsidRDefault="00CB3AE4" w:rsidP="006A70C4">
      <w:pPr>
        <w:pStyle w:val="ListBullet"/>
        <w:numPr>
          <w:ilvl w:val="0"/>
          <w:numId w:val="1"/>
        </w:numPr>
      </w:pPr>
      <w:r>
        <w:rPr>
          <w:lang w:eastAsia="en-AU"/>
        </w:rPr>
        <w:t>In relation to paragraph 52E(1)(c) of the Act, t</w:t>
      </w:r>
      <w:r w:rsidR="006A70C4">
        <w:rPr>
          <w:lang w:eastAsia="en-AU"/>
        </w:rPr>
        <w:t>he application provided data for a product containing flu</w:t>
      </w:r>
      <w:r w:rsidR="006E1B24">
        <w:rPr>
          <w:lang w:eastAsia="en-AU"/>
        </w:rPr>
        <w:t>ox</w:t>
      </w:r>
      <w:r w:rsidR="006A70C4">
        <w:rPr>
          <w:lang w:eastAsia="en-AU"/>
        </w:rPr>
        <w:t>apiprolin 20</w:t>
      </w:r>
      <w:r w:rsidR="009F141A">
        <w:rPr>
          <w:lang w:eastAsia="en-AU"/>
        </w:rPr>
        <w:t xml:space="preserve"> </w:t>
      </w:r>
      <w:r w:rsidR="006A70C4">
        <w:rPr>
          <w:lang w:eastAsia="en-AU"/>
        </w:rPr>
        <w:t xml:space="preserve">g/L which indicated that the toxicity profile is not consistent with inclusion into the Schedules, based on its </w:t>
      </w:r>
      <w:r w:rsidR="006A70C4">
        <w:t>very low acute oral, dermal and inhalational toxicity. Flu</w:t>
      </w:r>
      <w:r w:rsidR="006E1B24">
        <w:t>ox</w:t>
      </w:r>
      <w:r w:rsidR="006A70C4">
        <w:t xml:space="preserve">apiprolin is a slight eye irritant, but not a skin irritant or sensitiser, and the applicant concluded that irritation </w:t>
      </w:r>
      <w:r w:rsidR="005646AF">
        <w:t xml:space="preserve">caused </w:t>
      </w:r>
      <w:r w:rsidR="006A70C4">
        <w:t>was due to excipients in the commercial formulation assessed in the application. Fluoxapiprolin has not demonstrated developmental or reproductive toxicity, is not neurotoxic, and is not a human-relevant carcinogen at expected exposure levels.</w:t>
      </w:r>
    </w:p>
    <w:p w14:paraId="0C874481" w14:textId="51354A1D" w:rsidR="006A70C4" w:rsidRDefault="00150EA0" w:rsidP="006A70C4">
      <w:pPr>
        <w:pStyle w:val="ListBullet"/>
        <w:numPr>
          <w:ilvl w:val="0"/>
          <w:numId w:val="1"/>
        </w:numPr>
      </w:pPr>
      <w:r>
        <w:rPr>
          <w:lang w:eastAsia="en-AU"/>
        </w:rPr>
        <w:t>In relation to paragraph 52E(1)(d) of the Act</w:t>
      </w:r>
      <w:r>
        <w:t>, t</w:t>
      </w:r>
      <w:r w:rsidR="006A70C4">
        <w:t xml:space="preserve">he substance is the active constituent of a new product that is proposed for the control of downy mildew on grapes, intended for application by </w:t>
      </w:r>
      <w:proofErr w:type="spellStart"/>
      <w:r w:rsidR="006A70C4">
        <w:t>airblast</w:t>
      </w:r>
      <w:proofErr w:type="spellEnd"/>
      <w:r w:rsidR="006A70C4">
        <w:t xml:space="preserve"> or hand-held spray equipment. Use of the substance, and therefore potential exposure, </w:t>
      </w:r>
      <w:proofErr w:type="gramStart"/>
      <w:r w:rsidR="006A70C4">
        <w:t>is considered to be</w:t>
      </w:r>
      <w:proofErr w:type="gramEnd"/>
      <w:r w:rsidR="006A70C4">
        <w:t xml:space="preserve"> discontinuous, seasonal and of short duration.</w:t>
      </w:r>
    </w:p>
    <w:p w14:paraId="3C5BCCD3" w14:textId="502B026E" w:rsidR="006A70C4" w:rsidRDefault="00150EA0" w:rsidP="006A70C4">
      <w:pPr>
        <w:pStyle w:val="ListBullet"/>
        <w:numPr>
          <w:ilvl w:val="0"/>
          <w:numId w:val="1"/>
        </w:numPr>
        <w:rPr>
          <w:lang w:eastAsia="en-AU"/>
        </w:rPr>
      </w:pPr>
      <w:r>
        <w:rPr>
          <w:lang w:eastAsia="en-AU"/>
        </w:rPr>
        <w:t>In relation to paragraph 52E(1)(e) of the Act, t</w:t>
      </w:r>
      <w:r w:rsidR="006A70C4">
        <w:rPr>
          <w:lang w:eastAsia="en-AU"/>
        </w:rPr>
        <w:t xml:space="preserve">he substance has no human therapeutic value that would indicate a risk for diversion, </w:t>
      </w:r>
      <w:proofErr w:type="gramStart"/>
      <w:r w:rsidR="006A70C4">
        <w:rPr>
          <w:lang w:eastAsia="en-AU"/>
        </w:rPr>
        <w:t>misuse</w:t>
      </w:r>
      <w:proofErr w:type="gramEnd"/>
      <w:r w:rsidR="006A70C4">
        <w:rPr>
          <w:lang w:eastAsia="en-AU"/>
        </w:rPr>
        <w:t xml:space="preserve"> or abuse.</w:t>
      </w:r>
    </w:p>
    <w:p w14:paraId="28CDA1D2" w14:textId="458F3497" w:rsidR="006A70C4" w:rsidRPr="00B05FAF" w:rsidRDefault="009F141A" w:rsidP="006A70C4">
      <w:pPr>
        <w:pStyle w:val="ListBullet"/>
        <w:numPr>
          <w:ilvl w:val="0"/>
          <w:numId w:val="0"/>
        </w:numPr>
        <w:rPr>
          <w:lang w:eastAsia="en-AU"/>
        </w:rPr>
      </w:pPr>
      <w:proofErr w:type="gramStart"/>
      <w:r>
        <w:rPr>
          <w:lang w:eastAsia="en-AU"/>
        </w:rPr>
        <w:t>On the basis of</w:t>
      </w:r>
      <w:proofErr w:type="gramEnd"/>
      <w:r>
        <w:rPr>
          <w:lang w:eastAsia="en-AU"/>
        </w:rPr>
        <w:t xml:space="preserve"> the above considerations and the information provided in the application</w:t>
      </w:r>
      <w:r w:rsidR="006A70C4">
        <w:rPr>
          <w:lang w:eastAsia="en-AU"/>
        </w:rPr>
        <w:t xml:space="preserve">, I have decided to amend the current Poisons Standard in the manner set out in the application. The proposed amendment was not referred to an expert advisory committee.  </w:t>
      </w:r>
    </w:p>
    <w:p w14:paraId="73C5C469" w14:textId="5EA43CB4" w:rsidR="006A70C4" w:rsidRPr="00B76897" w:rsidRDefault="006A70C4" w:rsidP="006A70C4">
      <w:pPr>
        <w:pStyle w:val="Heading4"/>
      </w:pPr>
      <w:r w:rsidRPr="00B76897">
        <w:t>Date of effect</w:t>
      </w:r>
    </w:p>
    <w:p w14:paraId="050CE928" w14:textId="77777777" w:rsidR="006A70C4" w:rsidRPr="00AE35CD" w:rsidRDefault="006A70C4" w:rsidP="006A70C4">
      <w:pPr>
        <w:rPr>
          <w:rFonts w:asciiTheme="minorHAnsi" w:hAnsiTheme="minorHAnsi"/>
        </w:rPr>
      </w:pPr>
      <w:r w:rsidRPr="00AE35CD">
        <w:t>1 February 2022</w:t>
      </w:r>
    </w:p>
    <w:p w14:paraId="5B59647E" w14:textId="77777777" w:rsidR="006A70C4" w:rsidRDefault="006A70C4" w:rsidP="006A70C4">
      <w:pPr>
        <w:pStyle w:val="Heading3"/>
      </w:pPr>
      <w:bookmarkStart w:id="46" w:name="_Hlk92183255"/>
      <w:r>
        <w:lastRenderedPageBreak/>
        <w:t xml:space="preserve"> </w:t>
      </w:r>
      <w:bookmarkStart w:id="47" w:name="_Toc88836069"/>
      <w:bookmarkStart w:id="48" w:name="_Toc93916056"/>
      <w:r>
        <w:t>Final decision in relation to disodium manganese EDTA</w:t>
      </w:r>
      <w:bookmarkEnd w:id="47"/>
      <w:bookmarkEnd w:id="48"/>
    </w:p>
    <w:bookmarkEnd w:id="46"/>
    <w:p w14:paraId="0F71221F" w14:textId="77777777" w:rsidR="006A70C4" w:rsidRPr="004E0C24" w:rsidRDefault="006A70C4" w:rsidP="006A70C4">
      <w:pPr>
        <w:pStyle w:val="Heading4"/>
      </w:pPr>
      <w:r w:rsidRPr="004E0C24">
        <w:t xml:space="preserve">Final </w:t>
      </w:r>
      <w:r w:rsidRPr="00372277">
        <w:t>decision</w:t>
      </w:r>
    </w:p>
    <w:p w14:paraId="0236CBC5" w14:textId="77777777" w:rsidR="006A70C4" w:rsidRPr="00DC75AB" w:rsidRDefault="006A70C4" w:rsidP="006A70C4">
      <w:r w:rsidRPr="00DC75AB">
        <w:t xml:space="preserve">Pursuant to regulation 42ZCZU of the Regulations, a Delegate of the Secretary has made a final decision to amend the current Poisons Standard in relation to </w:t>
      </w:r>
      <w:r>
        <w:t>disodium manganese EDTA</w:t>
      </w:r>
      <w:r w:rsidRPr="00DC75AB">
        <w:t xml:space="preserve"> as follows:</w:t>
      </w:r>
    </w:p>
    <w:p w14:paraId="0B33E324" w14:textId="77777777" w:rsidR="006A70C4" w:rsidRPr="00764E05" w:rsidRDefault="006A70C4" w:rsidP="00764E05">
      <w:pPr>
        <w:rPr>
          <w:b/>
          <w:bCs/>
        </w:rPr>
      </w:pPr>
      <w:r w:rsidRPr="00764E05">
        <w:rPr>
          <w:b/>
          <w:bCs/>
        </w:rPr>
        <w:t>Appendix B – New Entry</w:t>
      </w:r>
    </w:p>
    <w:tbl>
      <w:tblPr>
        <w:tblStyle w:val="TableTGAblue"/>
        <w:tblW w:w="0" w:type="auto"/>
        <w:tblLook w:val="04A0" w:firstRow="1" w:lastRow="0" w:firstColumn="1" w:lastColumn="0" w:noHBand="0" w:noVBand="1"/>
      </w:tblPr>
      <w:tblGrid>
        <w:gridCol w:w="2263"/>
        <w:gridCol w:w="2263"/>
        <w:gridCol w:w="2262"/>
        <w:gridCol w:w="2262"/>
      </w:tblGrid>
      <w:tr w:rsidR="00682D18" w14:paraId="68EE6A17" w14:textId="77777777" w:rsidTr="00016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230950E6" w14:textId="14BCC770" w:rsidR="00682D18" w:rsidRPr="00682D18" w:rsidRDefault="00974CC8" w:rsidP="00016510">
            <w:pPr>
              <w:jc w:val="center"/>
              <w:rPr>
                <w:bCs/>
                <w:color w:val="FFFFFF" w:themeColor="background1"/>
              </w:rPr>
            </w:pPr>
            <w:r w:rsidRPr="00682D18">
              <w:rPr>
                <w:bCs/>
                <w:color w:val="FFFFFF" w:themeColor="background1"/>
              </w:rPr>
              <w:t>Substance</w:t>
            </w:r>
          </w:p>
        </w:tc>
        <w:tc>
          <w:tcPr>
            <w:tcW w:w="2265" w:type="dxa"/>
            <w:vAlign w:val="center"/>
          </w:tcPr>
          <w:p w14:paraId="37714991" w14:textId="78BB60BE" w:rsidR="00682D18" w:rsidRPr="00682D18" w:rsidRDefault="00974CC8" w:rsidP="00016510">
            <w:pPr>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682D18">
              <w:rPr>
                <w:bCs/>
                <w:color w:val="FFFFFF" w:themeColor="background1"/>
              </w:rPr>
              <w:t>Date of entry</w:t>
            </w:r>
          </w:p>
        </w:tc>
        <w:tc>
          <w:tcPr>
            <w:tcW w:w="2265" w:type="dxa"/>
            <w:vAlign w:val="center"/>
          </w:tcPr>
          <w:p w14:paraId="10201A7E" w14:textId="5EE1DCDB" w:rsidR="00682D18" w:rsidRPr="00682D18" w:rsidRDefault="00974CC8" w:rsidP="00016510">
            <w:pPr>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682D18">
              <w:rPr>
                <w:bCs/>
                <w:color w:val="FFFFFF" w:themeColor="background1"/>
              </w:rPr>
              <w:t>Reason for listing</w:t>
            </w:r>
          </w:p>
        </w:tc>
        <w:tc>
          <w:tcPr>
            <w:tcW w:w="2265" w:type="dxa"/>
            <w:vAlign w:val="center"/>
          </w:tcPr>
          <w:p w14:paraId="3AA50CF2" w14:textId="298B5F8A" w:rsidR="00682D18" w:rsidRPr="00682D18" w:rsidRDefault="00974CC8" w:rsidP="00016510">
            <w:pPr>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682D18">
              <w:rPr>
                <w:bCs/>
                <w:color w:val="FFFFFF" w:themeColor="background1"/>
              </w:rPr>
              <w:t>Area of use</w:t>
            </w:r>
          </w:p>
        </w:tc>
      </w:tr>
      <w:tr w:rsidR="00682D18" w14:paraId="4A3DC93C" w14:textId="77777777" w:rsidTr="00682D18">
        <w:tc>
          <w:tcPr>
            <w:cnfStyle w:val="001000000000" w:firstRow="0" w:lastRow="0" w:firstColumn="1" w:lastColumn="0" w:oddVBand="0" w:evenVBand="0" w:oddHBand="0" w:evenHBand="0" w:firstRowFirstColumn="0" w:firstRowLastColumn="0" w:lastRowFirstColumn="0" w:lastRowLastColumn="0"/>
            <w:tcW w:w="2265" w:type="dxa"/>
            <w:vAlign w:val="center"/>
          </w:tcPr>
          <w:p w14:paraId="1D68EDD1" w14:textId="1E02251A" w:rsidR="00682D18" w:rsidRDefault="00682D18" w:rsidP="00016510">
            <w:pPr>
              <w:jc w:val="center"/>
              <w:rPr>
                <w:bCs/>
                <w:color w:val="00B050"/>
              </w:rPr>
            </w:pPr>
            <w:r>
              <w:rPr>
                <w:bCs/>
                <w:color w:val="00B050"/>
              </w:rPr>
              <w:t>DISODIUM MANGANESE EDTA</w:t>
            </w:r>
          </w:p>
        </w:tc>
        <w:tc>
          <w:tcPr>
            <w:tcW w:w="2265" w:type="dxa"/>
            <w:vAlign w:val="center"/>
          </w:tcPr>
          <w:p w14:paraId="5D782F42" w14:textId="77777777" w:rsidR="00682D18" w:rsidRDefault="00682D18" w:rsidP="00016510">
            <w:pPr>
              <w:jc w:val="center"/>
              <w:cnfStyle w:val="000000000000" w:firstRow="0" w:lastRow="0" w:firstColumn="0" w:lastColumn="0" w:oddVBand="0" w:evenVBand="0" w:oddHBand="0" w:evenHBand="0" w:firstRowFirstColumn="0" w:firstRowLastColumn="0" w:lastRowFirstColumn="0" w:lastRowLastColumn="0"/>
              <w:rPr>
                <w:bCs/>
                <w:color w:val="00B050"/>
              </w:rPr>
            </w:pPr>
            <w:r>
              <w:rPr>
                <w:bCs/>
                <w:color w:val="00B050"/>
              </w:rPr>
              <w:t>February 2022</w:t>
            </w:r>
          </w:p>
        </w:tc>
        <w:tc>
          <w:tcPr>
            <w:tcW w:w="2265" w:type="dxa"/>
            <w:vAlign w:val="center"/>
          </w:tcPr>
          <w:p w14:paraId="66B9E9FD" w14:textId="77777777" w:rsidR="00682D18" w:rsidRDefault="00682D18" w:rsidP="00016510">
            <w:pPr>
              <w:jc w:val="center"/>
              <w:cnfStyle w:val="000000000000" w:firstRow="0" w:lastRow="0" w:firstColumn="0" w:lastColumn="0" w:oddVBand="0" w:evenVBand="0" w:oddHBand="0" w:evenHBand="0" w:firstRowFirstColumn="0" w:firstRowLastColumn="0" w:lastRowFirstColumn="0" w:lastRowLastColumn="0"/>
              <w:rPr>
                <w:bCs/>
                <w:color w:val="00B050"/>
              </w:rPr>
            </w:pPr>
            <w:r>
              <w:rPr>
                <w:bCs/>
                <w:color w:val="00B050"/>
              </w:rPr>
              <w:t>a</w:t>
            </w:r>
          </w:p>
        </w:tc>
        <w:tc>
          <w:tcPr>
            <w:tcW w:w="2265" w:type="dxa"/>
            <w:vAlign w:val="center"/>
          </w:tcPr>
          <w:p w14:paraId="05528826" w14:textId="340E79C3" w:rsidR="00682D18" w:rsidRDefault="00682D18" w:rsidP="00016510">
            <w:pPr>
              <w:jc w:val="center"/>
              <w:cnfStyle w:val="000000000000" w:firstRow="0" w:lastRow="0" w:firstColumn="0" w:lastColumn="0" w:oddVBand="0" w:evenVBand="0" w:oddHBand="0" w:evenHBand="0" w:firstRowFirstColumn="0" w:firstRowLastColumn="0" w:lastRowFirstColumn="0" w:lastRowLastColumn="0"/>
              <w:rPr>
                <w:bCs/>
                <w:color w:val="00B050"/>
              </w:rPr>
            </w:pPr>
            <w:r>
              <w:rPr>
                <w:bCs/>
                <w:color w:val="00B050"/>
              </w:rPr>
              <w:t>2.1</w:t>
            </w:r>
          </w:p>
        </w:tc>
      </w:tr>
    </w:tbl>
    <w:p w14:paraId="183A1C03" w14:textId="77777777" w:rsidR="006A70C4" w:rsidRDefault="006A70C4" w:rsidP="00682D18">
      <w:pPr>
        <w:ind w:firstLine="720"/>
        <w:rPr>
          <w:b/>
        </w:rPr>
      </w:pPr>
      <w:r>
        <w:rPr>
          <w:b/>
        </w:rPr>
        <w:t>Index – New Entry</w:t>
      </w:r>
    </w:p>
    <w:p w14:paraId="08515F88" w14:textId="77777777" w:rsidR="006A70C4" w:rsidRPr="00680FFB" w:rsidRDefault="006A70C4" w:rsidP="006A70C4">
      <w:pPr>
        <w:ind w:firstLine="720"/>
        <w:rPr>
          <w:b/>
          <w:color w:val="00B050"/>
        </w:rPr>
      </w:pPr>
      <w:r w:rsidRPr="00680FFB">
        <w:rPr>
          <w:b/>
          <w:color w:val="00B050"/>
        </w:rPr>
        <w:t>DISODIUM MANGANESE EDTA</w:t>
      </w:r>
    </w:p>
    <w:p w14:paraId="34CA9FFA" w14:textId="2ED8CA57" w:rsidR="006A70C4" w:rsidRPr="0013049F" w:rsidRDefault="006A70C4" w:rsidP="006A70C4">
      <w:pPr>
        <w:ind w:firstLine="720"/>
        <w:rPr>
          <w:bCs/>
        </w:rPr>
      </w:pPr>
      <w:r w:rsidRPr="00680FFB">
        <w:rPr>
          <w:bCs/>
          <w:color w:val="00B050"/>
        </w:rPr>
        <w:t>Appendix B</w:t>
      </w:r>
      <w:r w:rsidR="006558F3">
        <w:rPr>
          <w:bCs/>
          <w:color w:val="00B050"/>
        </w:rPr>
        <w:t>, Part 3</w:t>
      </w:r>
    </w:p>
    <w:p w14:paraId="5C67FCCE" w14:textId="77777777" w:rsidR="006A70C4" w:rsidRPr="004E0C24" w:rsidRDefault="006A70C4" w:rsidP="006A70C4">
      <w:pPr>
        <w:pStyle w:val="Heading4"/>
      </w:pPr>
      <w:r w:rsidRPr="004E0C24">
        <w:t xml:space="preserve">Materials </w:t>
      </w:r>
      <w:r w:rsidRPr="00372277">
        <w:t>considered</w:t>
      </w:r>
    </w:p>
    <w:p w14:paraId="1C5A5383" w14:textId="77777777" w:rsidR="006A70C4" w:rsidRDefault="006A70C4" w:rsidP="006A70C4">
      <w:r>
        <w:t>In making this final decision, the Delegate considered the following material:</w:t>
      </w:r>
    </w:p>
    <w:p w14:paraId="504298EA" w14:textId="77777777" w:rsidR="006A70C4" w:rsidRDefault="006A70C4" w:rsidP="00974CC8">
      <w:pPr>
        <w:pStyle w:val="ListBullet"/>
      </w:pPr>
      <w:r>
        <w:t xml:space="preserve">The application to amend the current Poisons Standard with respect to disodium manganese </w:t>
      </w:r>
      <w:proofErr w:type="gramStart"/>
      <w:r>
        <w:t>EDTA;</w:t>
      </w:r>
      <w:proofErr w:type="gramEnd"/>
    </w:p>
    <w:p w14:paraId="25F1180F" w14:textId="77777777" w:rsidR="006A70C4" w:rsidRDefault="006A70C4" w:rsidP="00974CC8">
      <w:pPr>
        <w:pStyle w:val="ListBullet"/>
      </w:pPr>
      <w:r>
        <w:t xml:space="preserve">Subsection 52E(1) of the </w:t>
      </w:r>
      <w:r w:rsidRPr="00764E05">
        <w:rPr>
          <w:i/>
          <w:iCs/>
        </w:rPr>
        <w:t>Therapeutic Goods Act 1989</w:t>
      </w:r>
      <w:r>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w:t>
      </w:r>
    </w:p>
    <w:p w14:paraId="3714541C" w14:textId="77777777" w:rsidR="00B17B8F" w:rsidRDefault="00B17B8F" w:rsidP="00974CC8">
      <w:pPr>
        <w:pStyle w:val="ListBullet"/>
        <w:rPr>
          <w:lang w:eastAsia="en-AU"/>
        </w:rPr>
      </w:pPr>
      <w:r>
        <w:t xml:space="preserve">The SPF, pursuant to paragraph 52E(2)(a) of the Act; and </w:t>
      </w:r>
    </w:p>
    <w:p w14:paraId="5C2E8DFF" w14:textId="5DB9B82E" w:rsidR="006A70C4" w:rsidRPr="00DC75AB" w:rsidRDefault="00B17B8F" w:rsidP="00974CC8">
      <w:pPr>
        <w:pStyle w:val="ListBullet"/>
        <w:rPr>
          <w:lang w:eastAsia="en-AU"/>
        </w:rPr>
      </w:pPr>
      <w:r>
        <w:t>The Handbook.</w:t>
      </w:r>
    </w:p>
    <w:p w14:paraId="010A54A5" w14:textId="77777777" w:rsidR="006A70C4" w:rsidRDefault="006A70C4" w:rsidP="006A70C4">
      <w:pPr>
        <w:pStyle w:val="Heading4"/>
      </w:pPr>
      <w:r w:rsidRPr="004E0C24">
        <w:t xml:space="preserve">Reasons for the final decision (including findings </w:t>
      </w:r>
      <w:r w:rsidRPr="00372277">
        <w:t>on</w:t>
      </w:r>
      <w:r w:rsidRPr="004E0C24">
        <w:t xml:space="preserve"> material questions of fact)</w:t>
      </w:r>
    </w:p>
    <w:p w14:paraId="045DEBBA" w14:textId="000830BF" w:rsidR="006A70C4" w:rsidRDefault="006A70C4" w:rsidP="006A70C4">
      <w:r>
        <w:t xml:space="preserve">In determining that this matter will be a delegate-only decision I have </w:t>
      </w:r>
      <w:proofErr w:type="gramStart"/>
      <w:r>
        <w:t>taken into account</w:t>
      </w:r>
      <w:proofErr w:type="gramEnd"/>
      <w:r>
        <w:t xml:space="preserve"> the information provided in the application from the Applicant (APVMA), and the matters outlined under Section 52E of the</w:t>
      </w:r>
      <w:r w:rsidR="009F141A" w:rsidRPr="00694998">
        <w:t xml:space="preserve"> Act </w:t>
      </w:r>
      <w:r>
        <w:t xml:space="preserve">and the </w:t>
      </w:r>
      <w:r w:rsidR="009F141A">
        <w:t>SPF</w:t>
      </w:r>
      <w:r>
        <w:t xml:space="preserve">. </w:t>
      </w:r>
      <w:proofErr w:type="gramStart"/>
      <w:r>
        <w:t>In particular I</w:t>
      </w:r>
      <w:proofErr w:type="gramEnd"/>
      <w:r>
        <w:t xml:space="preserve"> note that:</w:t>
      </w:r>
    </w:p>
    <w:p w14:paraId="2228F160" w14:textId="033F3427" w:rsidR="006A70C4" w:rsidRDefault="00E7375C" w:rsidP="006A70C4">
      <w:pPr>
        <w:pStyle w:val="ListBullet"/>
        <w:numPr>
          <w:ilvl w:val="0"/>
          <w:numId w:val="1"/>
        </w:numPr>
      </w:pPr>
      <w:r>
        <w:t>In relation to paragraph 52E(1)(a) and (b) of the Act, t</w:t>
      </w:r>
      <w:r w:rsidR="006A70C4">
        <w:t xml:space="preserve">he proposed amendment to the Poisons Standard is to include a new entry for disodium manganese EDTA in Appendix B, thereby exempting the substance from any requirements that are imposed by scheduling. The risks to human health and safety from disodium manganese EDTA have been addressed by the regulator (APVMA) in its application that concluded that the human health risk posed by the product is acceptable according to the criteria stipulated in Section 5A of the </w:t>
      </w:r>
      <w:r w:rsidR="006A70C4" w:rsidRPr="0039785A">
        <w:rPr>
          <w:i/>
          <w:iCs/>
        </w:rPr>
        <w:t>Agricultural and Veterinary Chemicals Code Act</w:t>
      </w:r>
      <w:r w:rsidR="006A70C4">
        <w:t xml:space="preserve"> (1994).</w:t>
      </w:r>
    </w:p>
    <w:p w14:paraId="17C0B4B2" w14:textId="70ED60CC" w:rsidR="006A70C4" w:rsidRDefault="00541E54" w:rsidP="006A70C4">
      <w:pPr>
        <w:pStyle w:val="ListBullet"/>
        <w:numPr>
          <w:ilvl w:val="0"/>
          <w:numId w:val="1"/>
        </w:numPr>
      </w:pPr>
      <w:r>
        <w:rPr>
          <w:lang w:eastAsia="en-AU"/>
        </w:rPr>
        <w:t>In relation to paragraph 52E(1)(c) and (d) of the Act</w:t>
      </w:r>
      <w:r>
        <w:t>, t</w:t>
      </w:r>
      <w:r w:rsidR="006A70C4">
        <w:t>he applicant provided toxicity data indicating that a product containing 10 mg/mL disodium manganese EDTA for use as a nutritional supplement for injection in cattle to have low acute oral (LD</w:t>
      </w:r>
      <w:r w:rsidR="006A70C4" w:rsidRPr="00AB65FC">
        <w:rPr>
          <w:vertAlign w:val="subscript"/>
        </w:rPr>
        <w:t>50</w:t>
      </w:r>
      <w:r w:rsidR="00F014AA">
        <w:rPr>
          <w:vertAlign w:val="subscript"/>
        </w:rPr>
        <w:t xml:space="preserve"> </w:t>
      </w:r>
      <w:r w:rsidR="006A70C4">
        <w:t xml:space="preserve">&gt;2000 mg/kg </w:t>
      </w:r>
      <w:proofErr w:type="spellStart"/>
      <w:r w:rsidR="006A70C4">
        <w:t>bw</w:t>
      </w:r>
      <w:proofErr w:type="spellEnd"/>
      <w:r w:rsidR="006A70C4">
        <w:t xml:space="preserve">), </w:t>
      </w:r>
      <w:r w:rsidR="006A70C4">
        <w:lastRenderedPageBreak/>
        <w:t>dermal (LD</w:t>
      </w:r>
      <w:r w:rsidR="006A70C4" w:rsidRPr="00AB65FC">
        <w:rPr>
          <w:vertAlign w:val="subscript"/>
        </w:rPr>
        <w:t>50</w:t>
      </w:r>
      <w:r w:rsidR="00F014AA">
        <w:rPr>
          <w:vertAlign w:val="subscript"/>
        </w:rPr>
        <w:t xml:space="preserve"> </w:t>
      </w:r>
      <w:r w:rsidR="006A70C4">
        <w:t xml:space="preserve">&gt;2000 mg/kg </w:t>
      </w:r>
      <w:proofErr w:type="spellStart"/>
      <w:r w:rsidR="006A70C4">
        <w:t>bw</w:t>
      </w:r>
      <w:proofErr w:type="spellEnd"/>
      <w:r w:rsidR="006A70C4">
        <w:t>) and inhalational (LC</w:t>
      </w:r>
      <w:r w:rsidR="006A70C4" w:rsidRPr="00AB65FC">
        <w:rPr>
          <w:vertAlign w:val="subscript"/>
        </w:rPr>
        <w:t>50</w:t>
      </w:r>
      <w:r w:rsidR="00F014AA">
        <w:rPr>
          <w:vertAlign w:val="subscript"/>
        </w:rPr>
        <w:t xml:space="preserve"> </w:t>
      </w:r>
      <w:r w:rsidR="006A70C4">
        <w:t>&gt;5000 mg/m</w:t>
      </w:r>
      <w:r w:rsidR="006A70C4" w:rsidRPr="00AB65FC">
        <w:rPr>
          <w:vertAlign w:val="superscript"/>
        </w:rPr>
        <w:t>3</w:t>
      </w:r>
      <w:r w:rsidR="006A70C4">
        <w:t xml:space="preserve">) toxicity, is a slight to moderate irritant to the eye and skin, and is unlikely to cause allergic skin reactions. It is non-genotoxic and not carcinogenic in studies in mice, </w:t>
      </w:r>
      <w:proofErr w:type="gramStart"/>
      <w:r w:rsidR="006A70C4">
        <w:t>rats</w:t>
      </w:r>
      <w:proofErr w:type="gramEnd"/>
      <w:r w:rsidR="006A70C4">
        <w:t xml:space="preserve"> and dogs. There is no reported evidence of adverse reproductive outcomes in humans.</w:t>
      </w:r>
    </w:p>
    <w:p w14:paraId="089C11A3" w14:textId="173010AA" w:rsidR="006A70C4" w:rsidRPr="004E0C24" w:rsidRDefault="00541E54" w:rsidP="006A70C4">
      <w:pPr>
        <w:pStyle w:val="ListBullet"/>
        <w:numPr>
          <w:ilvl w:val="0"/>
          <w:numId w:val="1"/>
        </w:numPr>
      </w:pPr>
      <w:r>
        <w:rPr>
          <w:lang w:eastAsia="en-AU"/>
        </w:rPr>
        <w:t>In relation to paragraph 52E(1)(e) of the Act</w:t>
      </w:r>
      <w:r>
        <w:t>, p</w:t>
      </w:r>
      <w:r w:rsidR="006A70C4">
        <w:t xml:space="preserve">roducts containing disodium manganese EDTA have negligible potential for abuse. The substance has an established therapeutic value in humans as a nutritional supplement, and there is no associated risk of dependency, abuse, </w:t>
      </w:r>
      <w:proofErr w:type="gramStart"/>
      <w:r w:rsidR="006A70C4">
        <w:t>misuse</w:t>
      </w:r>
      <w:proofErr w:type="gramEnd"/>
      <w:r w:rsidR="006A70C4">
        <w:t xml:space="preserve"> or diversion into illicit use. </w:t>
      </w:r>
      <w:r w:rsidR="00B81E8D">
        <w:t>P</w:t>
      </w:r>
      <w:r w:rsidR="006A70C4">
        <w:t xml:space="preserve">roducts </w:t>
      </w:r>
      <w:r w:rsidR="00B81E8D">
        <w:t xml:space="preserve">containing manganese </w:t>
      </w:r>
      <w:r w:rsidR="006A70C4">
        <w:t xml:space="preserve">for human consumption are available </w:t>
      </w:r>
      <w:proofErr w:type="gramStart"/>
      <w:r w:rsidR="006A70C4">
        <w:t>over-the-counter</w:t>
      </w:r>
      <w:proofErr w:type="gramEnd"/>
      <w:r w:rsidR="006A70C4">
        <w:t>. An equivalent formulation to that outlined in the application is registered for use in cattle in South Africa and New Zealand.</w:t>
      </w:r>
    </w:p>
    <w:p w14:paraId="665D4A77" w14:textId="5542BA78" w:rsidR="006A70C4" w:rsidRDefault="009F141A" w:rsidP="006A70C4">
      <w:proofErr w:type="gramStart"/>
      <w:r>
        <w:rPr>
          <w:lang w:eastAsia="en-AU"/>
        </w:rPr>
        <w:t>On the basis of</w:t>
      </w:r>
      <w:proofErr w:type="gramEnd"/>
      <w:r>
        <w:rPr>
          <w:lang w:eastAsia="en-AU"/>
        </w:rPr>
        <w:t xml:space="preserve"> the above considerations and the information provided in the application</w:t>
      </w:r>
      <w:r w:rsidR="006A70C4" w:rsidRPr="004E0C24">
        <w:t>, I have decided to amend the current Poisons Standard in the manner set out in the application. The proposed amendment was not referred to an expert advisory committee.</w:t>
      </w:r>
    </w:p>
    <w:p w14:paraId="23FEB689" w14:textId="00DB6A37" w:rsidR="006A70C4" w:rsidRDefault="006A70C4" w:rsidP="006A70C4">
      <w:pPr>
        <w:pStyle w:val="Heading4"/>
      </w:pPr>
      <w:r w:rsidRPr="00B76897">
        <w:t xml:space="preserve">Date of effect </w:t>
      </w:r>
    </w:p>
    <w:p w14:paraId="2110EAA0" w14:textId="4FCE109D" w:rsidR="00C36E69" w:rsidRDefault="006A70C4" w:rsidP="00C36E69">
      <w:r>
        <w:t>1 February 2022</w:t>
      </w:r>
    </w:p>
    <w:p w14:paraId="2F603645" w14:textId="3A2F1F9C" w:rsidR="00C36E69" w:rsidRDefault="00C36E69" w:rsidP="00C36E69">
      <w:pPr>
        <w:pStyle w:val="Heading3"/>
      </w:pPr>
      <w:r>
        <w:t xml:space="preserve"> </w:t>
      </w:r>
      <w:bookmarkStart w:id="49" w:name="_Toc93916057"/>
      <w:r>
        <w:t xml:space="preserve">Final decision in relation to </w:t>
      </w:r>
      <w:proofErr w:type="spellStart"/>
      <w:r>
        <w:t>deutetrabenazine</w:t>
      </w:r>
      <w:bookmarkEnd w:id="49"/>
      <w:proofErr w:type="spellEnd"/>
    </w:p>
    <w:p w14:paraId="03DA0C8E" w14:textId="788487EA" w:rsidR="003228ED" w:rsidRDefault="00535B54" w:rsidP="00535B54">
      <w:r>
        <w:t xml:space="preserve">Note that </w:t>
      </w:r>
      <w:hyperlink r:id="rId17" w:history="1">
        <w:r w:rsidRPr="00535B54">
          <w:rPr>
            <w:rStyle w:val="Hyperlink"/>
          </w:rPr>
          <w:t>final decision</w:t>
        </w:r>
      </w:hyperlink>
      <w:r>
        <w:t xml:space="preserve"> on </w:t>
      </w:r>
      <w:proofErr w:type="spellStart"/>
      <w:r>
        <w:t>deutetrabenazine</w:t>
      </w:r>
      <w:proofErr w:type="spellEnd"/>
      <w:r>
        <w:t xml:space="preserve"> inadvertently misspelled the substance name as </w:t>
      </w:r>
      <w:proofErr w:type="spellStart"/>
      <w:r>
        <w:t>deutetrabenzine</w:t>
      </w:r>
      <w:proofErr w:type="spellEnd"/>
      <w:r>
        <w:t xml:space="preserve">. A delegate-only decision has been made to correct this </w:t>
      </w:r>
      <w:r w:rsidR="003228ED">
        <w:t>as follows:</w:t>
      </w:r>
    </w:p>
    <w:p w14:paraId="77346CEC" w14:textId="47FBC400" w:rsidR="003228ED" w:rsidRDefault="003228ED" w:rsidP="003228ED">
      <w:pPr>
        <w:ind w:left="720"/>
        <w:rPr>
          <w:b/>
          <w:bCs/>
        </w:rPr>
      </w:pPr>
      <w:r>
        <w:rPr>
          <w:b/>
          <w:bCs/>
        </w:rPr>
        <w:t>Schedule 4 – Amend Entry</w:t>
      </w:r>
    </w:p>
    <w:p w14:paraId="209B2059" w14:textId="1784FEE0" w:rsidR="003228ED" w:rsidRDefault="003228ED" w:rsidP="003228ED">
      <w:pPr>
        <w:ind w:left="720"/>
      </w:pPr>
      <w:r>
        <w:t>DEUTETRABEN</w:t>
      </w:r>
      <w:r w:rsidRPr="00DB3EFD">
        <w:rPr>
          <w:color w:val="00B050"/>
        </w:rPr>
        <w:t>A</w:t>
      </w:r>
      <w:r>
        <w:t>ZINE.</w:t>
      </w:r>
    </w:p>
    <w:p w14:paraId="64329FFB" w14:textId="647370D4" w:rsidR="003228ED" w:rsidRDefault="003228ED" w:rsidP="003228ED">
      <w:pPr>
        <w:ind w:left="720"/>
        <w:rPr>
          <w:b/>
          <w:bCs/>
        </w:rPr>
      </w:pPr>
      <w:r>
        <w:rPr>
          <w:b/>
          <w:bCs/>
        </w:rPr>
        <w:t>Appendix K – Amend Entry</w:t>
      </w:r>
    </w:p>
    <w:p w14:paraId="3BBC5DB1" w14:textId="4536A904" w:rsidR="003228ED" w:rsidRDefault="003228ED" w:rsidP="003228ED">
      <w:pPr>
        <w:ind w:left="720"/>
      </w:pPr>
      <w:r>
        <w:t>DEUTETRABEN</w:t>
      </w:r>
      <w:r w:rsidRPr="00DB3EFD">
        <w:rPr>
          <w:color w:val="00B050"/>
        </w:rPr>
        <w:t>A</w:t>
      </w:r>
      <w:r>
        <w:t>ZINE.</w:t>
      </w:r>
    </w:p>
    <w:p w14:paraId="1248954C" w14:textId="701FD7FE" w:rsidR="003228ED" w:rsidRDefault="003228ED" w:rsidP="003228ED">
      <w:pPr>
        <w:ind w:left="720"/>
        <w:rPr>
          <w:b/>
          <w:bCs/>
        </w:rPr>
      </w:pPr>
      <w:r>
        <w:rPr>
          <w:b/>
          <w:bCs/>
        </w:rPr>
        <w:t>Index – Amend Entry</w:t>
      </w:r>
    </w:p>
    <w:p w14:paraId="10AE24F6" w14:textId="179AE655" w:rsidR="003228ED" w:rsidRDefault="003228ED" w:rsidP="003228ED">
      <w:pPr>
        <w:ind w:left="720"/>
        <w:rPr>
          <w:b/>
          <w:bCs/>
        </w:rPr>
      </w:pPr>
      <w:r>
        <w:rPr>
          <w:b/>
          <w:bCs/>
        </w:rPr>
        <w:t>DEUTETRABEN</w:t>
      </w:r>
      <w:r w:rsidRPr="00DB3EFD">
        <w:rPr>
          <w:b/>
          <w:bCs/>
          <w:color w:val="00B050"/>
        </w:rPr>
        <w:t>A</w:t>
      </w:r>
      <w:r>
        <w:rPr>
          <w:b/>
          <w:bCs/>
        </w:rPr>
        <w:t>ZINE</w:t>
      </w:r>
    </w:p>
    <w:p w14:paraId="2C82F7B0" w14:textId="08D36023" w:rsidR="003228ED" w:rsidRDefault="003228ED" w:rsidP="00DB3EFD">
      <w:pPr>
        <w:spacing w:after="0"/>
        <w:ind w:left="720"/>
      </w:pPr>
      <w:r>
        <w:t>Schedule 4</w:t>
      </w:r>
    </w:p>
    <w:p w14:paraId="301BC54E" w14:textId="01758716" w:rsidR="003228ED" w:rsidRPr="003228ED" w:rsidRDefault="003228ED" w:rsidP="00DB3EFD">
      <w:pPr>
        <w:spacing w:before="0"/>
        <w:ind w:left="720"/>
      </w:pPr>
      <w:r>
        <w:t>Appendix K</w:t>
      </w:r>
    </w:p>
    <w:p w14:paraId="22BBE2B4" w14:textId="77777777" w:rsidR="00E334C6" w:rsidRDefault="00E334C6" w:rsidP="00E334C6">
      <w:pPr>
        <w:pStyle w:val="Heading4"/>
      </w:pPr>
      <w:r w:rsidRPr="00B76897">
        <w:t xml:space="preserve">Date of effect </w:t>
      </w:r>
    </w:p>
    <w:p w14:paraId="1CF4E391" w14:textId="77777777" w:rsidR="00E334C6" w:rsidRDefault="00E334C6" w:rsidP="00E334C6">
      <w:r>
        <w:t>1 February 2022</w:t>
      </w:r>
    </w:p>
    <w:sectPr w:rsidR="00E334C6" w:rsidSect="003A48A2">
      <w:headerReference w:type="default" r:id="rId18"/>
      <w:footerReference w:type="default" r:id="rId19"/>
      <w:headerReference w:type="first" r:id="rId20"/>
      <w:footerReference w:type="first" r:id="rId21"/>
      <w:type w:val="continuous"/>
      <w:pgSz w:w="11906" w:h="16838" w:code="9"/>
      <w:pgMar w:top="1134" w:right="1418" w:bottom="1361"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2A2B5" w14:textId="77777777" w:rsidR="00764E05" w:rsidRDefault="00764E05" w:rsidP="00C40A36">
      <w:pPr>
        <w:spacing w:after="0"/>
      </w:pPr>
      <w:r>
        <w:separator/>
      </w:r>
    </w:p>
  </w:endnote>
  <w:endnote w:type="continuationSeparator" w:id="0">
    <w:p w14:paraId="11D0461A" w14:textId="77777777" w:rsidR="00764E05" w:rsidRDefault="00764E05"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Cambria-Bold">
    <w:altName w:val="Cambria"/>
    <w:panose1 w:val="00000000000000000000"/>
    <w:charset w:val="00"/>
    <w:family w:val="roman"/>
    <w:notTrueType/>
    <w:pitch w:val="default"/>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AFB57" w14:textId="77777777" w:rsidR="00764E05" w:rsidRDefault="00764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382"/>
    </w:tblGrid>
    <w:tr w:rsidR="00764E05" w:rsidRPr="00257138" w14:paraId="14B40608" w14:textId="77777777" w:rsidTr="009B00CC">
      <w:trPr>
        <w:trHeight w:val="423"/>
      </w:trPr>
      <w:tc>
        <w:tcPr>
          <w:tcW w:w="7338" w:type="dxa"/>
          <w:tcBorders>
            <w:top w:val="single" w:sz="4" w:space="0" w:color="auto"/>
          </w:tcBorders>
        </w:tcPr>
        <w:p w14:paraId="01C0B506" w14:textId="77777777" w:rsidR="00764E05" w:rsidRDefault="00764E05" w:rsidP="003F3095">
          <w:pPr>
            <w:pStyle w:val="Footer"/>
          </w:pPr>
          <w:r>
            <w:t>Record of the 29th meeting of the Advisory Committee on Medicines Scheduling</w:t>
          </w:r>
        </w:p>
        <w:p w14:paraId="5C7A2176" w14:textId="13ECDCE6" w:rsidR="00764E05" w:rsidRPr="00257138" w:rsidRDefault="00764E05" w:rsidP="003F3095">
          <w:pPr>
            <w:pStyle w:val="Footer"/>
          </w:pPr>
          <w:r>
            <w:t>12 March 2020</w:t>
          </w:r>
          <w:r>
            <w:br/>
          </w:r>
        </w:p>
      </w:tc>
      <w:tc>
        <w:tcPr>
          <w:tcW w:w="1382" w:type="dxa"/>
          <w:tcBorders>
            <w:top w:val="single" w:sz="4" w:space="0" w:color="auto"/>
          </w:tcBorders>
        </w:tcPr>
        <w:sdt>
          <w:sdtPr>
            <w:id w:val="21514580"/>
            <w:docPartObj>
              <w:docPartGallery w:val="Page Numbers (Top of Page)"/>
              <w:docPartUnique/>
            </w:docPartObj>
          </w:sdtPr>
          <w:sdtContent>
            <w:p w14:paraId="54629571" w14:textId="77777777" w:rsidR="00764E05" w:rsidRDefault="00764E05" w:rsidP="00782870">
              <w:pPr>
                <w:pStyle w:val="Footer"/>
                <w:jc w:val="right"/>
              </w:pPr>
            </w:p>
            <w:p w14:paraId="650BE744" w14:textId="13D229EC" w:rsidR="00764E05" w:rsidRPr="00257138" w:rsidRDefault="00764E05" w:rsidP="0078287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8</w:t>
                </w:r>
              </w:fldSimple>
            </w:p>
          </w:sdtContent>
        </w:sdt>
      </w:tc>
    </w:tr>
    <w:tr w:rsidR="00764E05" w:rsidRPr="00257138" w14:paraId="10AB8BED" w14:textId="77777777" w:rsidTr="009B00CC">
      <w:trPr>
        <w:trHeight w:val="263"/>
      </w:trPr>
      <w:tc>
        <w:tcPr>
          <w:tcW w:w="7338" w:type="dxa"/>
        </w:tcPr>
        <w:p w14:paraId="59580AB7" w14:textId="19B73688" w:rsidR="00764E05" w:rsidRPr="00257138" w:rsidRDefault="00764E05" w:rsidP="00782870">
          <w:pPr>
            <w:pStyle w:val="Footer"/>
          </w:pPr>
        </w:p>
      </w:tc>
      <w:tc>
        <w:tcPr>
          <w:tcW w:w="1382" w:type="dxa"/>
        </w:tcPr>
        <w:p w14:paraId="219FF5F5" w14:textId="77777777" w:rsidR="00764E05" w:rsidRPr="00257138" w:rsidRDefault="00764E05" w:rsidP="00782870">
          <w:pPr>
            <w:pStyle w:val="Footer"/>
            <w:jc w:val="right"/>
          </w:pPr>
        </w:p>
      </w:tc>
    </w:tr>
  </w:tbl>
  <w:p w14:paraId="2023C75C" w14:textId="77777777" w:rsidR="00764E05" w:rsidRPr="00826007" w:rsidRDefault="00764E05" w:rsidP="002001F1">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B66BD" w14:textId="77777777" w:rsidR="00764E05" w:rsidRDefault="00764E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764E05" w:rsidRPr="00257138" w14:paraId="11075AFF" w14:textId="77777777" w:rsidTr="009468C6">
      <w:trPr>
        <w:trHeight w:val="423"/>
      </w:trPr>
      <w:tc>
        <w:tcPr>
          <w:tcW w:w="7338" w:type="dxa"/>
        </w:tcPr>
        <w:p w14:paraId="6B1446C9" w14:textId="77777777" w:rsidR="00764E05" w:rsidRDefault="00764E05">
          <w:pPr>
            <w:pStyle w:val="Footer"/>
          </w:pPr>
          <w:r>
            <w:t>Notification</w:t>
          </w:r>
          <w:r w:rsidRPr="00597B50">
            <w:t xml:space="preserve"> of </w:t>
          </w:r>
          <w:r>
            <w:t xml:space="preserve">amendments to the </w:t>
          </w:r>
          <w:r w:rsidRPr="00597B50">
            <w:t>Poisons Standard</w:t>
          </w:r>
          <w:r>
            <w:t xml:space="preserve"> in relation to New Chemical Entities (NCEs) and Delegate-only decisions </w:t>
          </w:r>
        </w:p>
        <w:p w14:paraId="13E7B9DF" w14:textId="314EA90F" w:rsidR="00764E05" w:rsidRPr="00257138" w:rsidRDefault="00764E05">
          <w:pPr>
            <w:pStyle w:val="Footer"/>
          </w:pPr>
          <w:r>
            <w:t>January 2022</w:t>
          </w:r>
        </w:p>
      </w:tc>
      <w:tc>
        <w:tcPr>
          <w:tcW w:w="1382" w:type="dxa"/>
        </w:tcPr>
        <w:sdt>
          <w:sdtPr>
            <w:id w:val="6788836"/>
            <w:docPartObj>
              <w:docPartGallery w:val="Page Numbers (Top of Page)"/>
              <w:docPartUnique/>
            </w:docPartObj>
          </w:sdtPr>
          <w:sdtContent>
            <w:p w14:paraId="3BD26206" w14:textId="19C86CC7" w:rsidR="00764E05" w:rsidRPr="00257138" w:rsidRDefault="00764E05" w:rsidP="009468C6">
              <w:pPr>
                <w:pStyle w:val="Footer"/>
                <w:jc w:val="right"/>
              </w:pPr>
              <w:r w:rsidRPr="00257138">
                <w:t xml:space="preserve">Page </w:t>
              </w:r>
              <w:r>
                <w:fldChar w:fldCharType="begin"/>
              </w:r>
              <w:r>
                <w:instrText xml:space="preserve"> PAGE </w:instrText>
              </w:r>
              <w:r>
                <w:fldChar w:fldCharType="separate"/>
              </w:r>
              <w:r>
                <w:rPr>
                  <w:noProof/>
                </w:rPr>
                <w:t>5</w:t>
              </w:r>
              <w:r>
                <w:fldChar w:fldCharType="end"/>
              </w:r>
              <w:r w:rsidRPr="00257138">
                <w:t xml:space="preserve"> of </w:t>
              </w:r>
              <w:fldSimple w:instr=" NUMPAGES  ">
                <w:r>
                  <w:rPr>
                    <w:noProof/>
                  </w:rPr>
                  <w:t>5</w:t>
                </w:r>
              </w:fldSimple>
            </w:p>
          </w:sdtContent>
        </w:sdt>
      </w:tc>
    </w:tr>
  </w:tbl>
  <w:p w14:paraId="623AA1CE" w14:textId="77777777" w:rsidR="00764E05" w:rsidRPr="00826007" w:rsidRDefault="00764E05" w:rsidP="002001F1">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764E05" w:rsidRPr="00257138" w14:paraId="76052F65" w14:textId="77777777" w:rsidTr="003A48A2">
      <w:trPr>
        <w:trHeight w:val="423"/>
      </w:trPr>
      <w:tc>
        <w:tcPr>
          <w:tcW w:w="7338" w:type="dxa"/>
        </w:tcPr>
        <w:p w14:paraId="3A4A67F0" w14:textId="77777777" w:rsidR="00764E05" w:rsidRDefault="00764E05" w:rsidP="00335D6F">
          <w:pPr>
            <w:pStyle w:val="Footer"/>
          </w:pPr>
          <w:r>
            <w:t>Notification</w:t>
          </w:r>
          <w:r w:rsidRPr="00597B50">
            <w:t xml:space="preserve"> of </w:t>
          </w:r>
          <w:r>
            <w:t xml:space="preserve">amendments to the </w:t>
          </w:r>
          <w:r w:rsidRPr="00597B50">
            <w:t>Poisons Standard</w:t>
          </w:r>
          <w:r>
            <w:t xml:space="preserve"> in relation to New Chemical Entities (NCEs) and Delegate-only decisions </w:t>
          </w:r>
        </w:p>
        <w:p w14:paraId="6A331473" w14:textId="2B7AABA4" w:rsidR="00764E05" w:rsidRPr="00257138" w:rsidRDefault="00764E05" w:rsidP="00335D6F">
          <w:pPr>
            <w:pStyle w:val="Footer"/>
          </w:pPr>
          <w:r>
            <w:t>January 2022</w:t>
          </w:r>
        </w:p>
      </w:tc>
      <w:tc>
        <w:tcPr>
          <w:tcW w:w="1382" w:type="dxa"/>
        </w:tcPr>
        <w:sdt>
          <w:sdtPr>
            <w:id w:val="5342774"/>
            <w:docPartObj>
              <w:docPartGallery w:val="Page Numbers (Top of Page)"/>
              <w:docPartUnique/>
            </w:docPartObj>
          </w:sdtPr>
          <w:sdtContent>
            <w:p w14:paraId="44A48167" w14:textId="75EFF8BA" w:rsidR="00764E05" w:rsidRPr="00257138" w:rsidRDefault="00764E05" w:rsidP="003A48A2">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5</w:t>
                </w:r>
              </w:fldSimple>
            </w:p>
          </w:sdtContent>
        </w:sdt>
      </w:tc>
    </w:tr>
  </w:tbl>
  <w:p w14:paraId="3FF833DF" w14:textId="77777777" w:rsidR="00764E05" w:rsidRDefault="00764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E199C" w14:textId="77777777" w:rsidR="00764E05" w:rsidRDefault="00764E05" w:rsidP="00C40A36">
      <w:pPr>
        <w:spacing w:after="0"/>
      </w:pPr>
      <w:r>
        <w:separator/>
      </w:r>
    </w:p>
  </w:footnote>
  <w:footnote w:type="continuationSeparator" w:id="0">
    <w:p w14:paraId="0436CE19" w14:textId="77777777" w:rsidR="00764E05" w:rsidRDefault="00764E05" w:rsidP="00C40A36">
      <w:pPr>
        <w:spacing w:after="0"/>
      </w:pPr>
      <w:r>
        <w:continuationSeparator/>
      </w:r>
    </w:p>
  </w:footnote>
  <w:footnote w:id="1">
    <w:p w14:paraId="1AC4DBE6" w14:textId="3B408B7A" w:rsidR="00764E05" w:rsidRPr="0006653D" w:rsidRDefault="00764E05">
      <w:pPr>
        <w:pStyle w:val="FootnoteText"/>
      </w:pPr>
      <w:r>
        <w:rPr>
          <w:rStyle w:val="FootnoteReference"/>
        </w:rPr>
        <w:footnoteRef/>
      </w:r>
      <w:r>
        <w:t xml:space="preserve"> The applicant reported an LC</w:t>
      </w:r>
      <w:r w:rsidRPr="00A90465">
        <w:rPr>
          <w:vertAlign w:val="subscript"/>
        </w:rPr>
        <w:t>50</w:t>
      </w:r>
      <w:r>
        <w:t xml:space="preserve"> &gt;5000 mg/m</w:t>
      </w:r>
      <w:r w:rsidRPr="00A90465">
        <w:rPr>
          <w:vertAlign w:val="superscript"/>
        </w:rPr>
        <w:t>3</w:t>
      </w:r>
      <w:r>
        <w:t xml:space="preserve"> from a QSAR (</w:t>
      </w:r>
      <w:r w:rsidRPr="00A90465">
        <w:rPr>
          <w:i/>
          <w:iCs/>
        </w:rPr>
        <w:t>in silico</w:t>
      </w:r>
      <w:r>
        <w:t>) extrapolation. Although this extrapolation was not in the submitted data, it was reported in EFSA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8C5C9" w14:textId="77777777" w:rsidR="00764E05" w:rsidRDefault="00764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764E05" w:rsidRPr="00DA24C7" w14:paraId="081A8C01" w14:textId="77777777" w:rsidTr="00F923D6">
      <w:trPr>
        <w:trHeight w:val="709"/>
      </w:trPr>
      <w:tc>
        <w:tcPr>
          <w:tcW w:w="4035" w:type="dxa"/>
        </w:tcPr>
        <w:p w14:paraId="32A34B13" w14:textId="54FCF61C" w:rsidR="00764E05" w:rsidRPr="00DA24C7" w:rsidRDefault="00764E05" w:rsidP="00DA24C7">
          <w:pPr>
            <w:rPr>
              <w:rStyle w:val="HeaderChar"/>
              <w:sz w:val="32"/>
            </w:rPr>
          </w:pPr>
        </w:p>
      </w:tc>
      <w:tc>
        <w:tcPr>
          <w:tcW w:w="4685" w:type="dxa"/>
          <w:tcBorders>
            <w:bottom w:val="single" w:sz="4" w:space="0" w:color="auto"/>
          </w:tcBorders>
          <w:vAlign w:val="bottom"/>
        </w:tcPr>
        <w:p w14:paraId="3D83E5FA" w14:textId="3A406F5C" w:rsidR="00764E05" w:rsidRPr="000F5176" w:rsidRDefault="00764E05" w:rsidP="000F5176">
          <w:pPr>
            <w:pStyle w:val="HeaderNoLine"/>
            <w:rPr>
              <w:rStyle w:val="HeaderChar"/>
            </w:rPr>
          </w:pPr>
        </w:p>
      </w:tc>
    </w:tr>
  </w:tbl>
  <w:p w14:paraId="7D79B037" w14:textId="77777777" w:rsidR="00764E05" w:rsidRDefault="00764E05" w:rsidP="00F923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314CE" w14:textId="28BF94E3" w:rsidR="00764E05" w:rsidRDefault="00764E05" w:rsidP="006E08B3">
    <w:pPr>
      <w:rPr>
        <w:noProof/>
      </w:rPr>
    </w:pPr>
    <w:r w:rsidRPr="00E57B71">
      <w:rPr>
        <w:noProof/>
        <w:lang w:eastAsia="en-AU"/>
      </w:rPr>
      <w:drawing>
        <wp:anchor distT="0" distB="0" distL="114300" distR="114300" simplePos="0" relativeHeight="251660288" behindDoc="0" locked="0" layoutInCell="1" allowOverlap="1" wp14:anchorId="4ED3BB99" wp14:editId="491EAEE4">
          <wp:simplePos x="0" y="0"/>
          <wp:positionH relativeFrom="column">
            <wp:posOffset>-195580</wp:posOffset>
          </wp:positionH>
          <wp:positionV relativeFrom="paragraph">
            <wp:posOffset>-58420</wp:posOffset>
          </wp:positionV>
          <wp:extent cx="3524250" cy="1209675"/>
          <wp:effectExtent l="19050" t="0" r="0" b="0"/>
          <wp:wrapTopAndBottom/>
          <wp:docPr id="37" name="Picture 37"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64E05" w:rsidRPr="00DE02AE" w14:paraId="6C8DF45D" w14:textId="77777777" w:rsidTr="00782870">
      <w:trPr>
        <w:trHeight w:hRule="exact" w:val="8845"/>
      </w:trPr>
      <w:tc>
        <w:tcPr>
          <w:tcW w:w="11964" w:type="dxa"/>
        </w:tcPr>
        <w:p w14:paraId="1F71D1E5" w14:textId="65307D5D" w:rsidR="00764E05" w:rsidRPr="00DE02AE" w:rsidRDefault="00764E05" w:rsidP="00782870">
          <w:pPr>
            <w:pStyle w:val="Date"/>
            <w:ind w:left="-28"/>
          </w:pPr>
          <w:r w:rsidRPr="002B29B2">
            <w:rPr>
              <w:noProof/>
              <w:lang w:eastAsia="en-AU"/>
            </w:rPr>
            <w:drawing>
              <wp:anchor distT="0" distB="0" distL="114300" distR="114300" simplePos="0" relativeHeight="251662336" behindDoc="0" locked="0" layoutInCell="0" allowOverlap="1" wp14:anchorId="61F4C4D4" wp14:editId="1206443C">
                <wp:simplePos x="0" y="0"/>
                <wp:positionH relativeFrom="page">
                  <wp:posOffset>-22437</wp:posOffset>
                </wp:positionH>
                <wp:positionV relativeFrom="page">
                  <wp:posOffset>-16087</wp:posOffset>
                </wp:positionV>
                <wp:extent cx="7581900" cy="2447925"/>
                <wp:effectExtent l="19050" t="0" r="0" b="0"/>
                <wp:wrapNone/>
                <wp:docPr id="38" name="Picture 3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2"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tc>
    </w:tr>
  </w:tbl>
  <w:p w14:paraId="1CE47A24" w14:textId="6D657221" w:rsidR="00764E05" w:rsidRDefault="00764E05" w:rsidP="006D03E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764E05" w:rsidRPr="00DA24C7" w14:paraId="7C724D59" w14:textId="77777777" w:rsidTr="00C6376F">
      <w:trPr>
        <w:trHeight w:val="558"/>
      </w:trPr>
      <w:tc>
        <w:tcPr>
          <w:tcW w:w="4035" w:type="dxa"/>
          <w:vAlign w:val="center"/>
        </w:tcPr>
        <w:p w14:paraId="047292FC" w14:textId="62B95FE3" w:rsidR="00764E05" w:rsidRPr="00EB74A7" w:rsidRDefault="00764E05" w:rsidP="00C6376F">
          <w:pPr>
            <w:rPr>
              <w:rStyle w:val="HeaderChar"/>
              <w:rFonts w:ascii="Arial" w:hAnsi="Arial" w:cs="Arial"/>
              <w:b/>
              <w:sz w:val="28"/>
              <w:szCs w:val="28"/>
            </w:rPr>
          </w:pPr>
        </w:p>
      </w:tc>
      <w:tc>
        <w:tcPr>
          <w:tcW w:w="4685" w:type="dxa"/>
          <w:vAlign w:val="center"/>
        </w:tcPr>
        <w:p w14:paraId="3A7D855E" w14:textId="77777777" w:rsidR="00764E05" w:rsidRPr="000F5176" w:rsidRDefault="00764E05" w:rsidP="00C6376F">
          <w:pPr>
            <w:pStyle w:val="HeaderNoLine"/>
            <w:rPr>
              <w:rStyle w:val="HeaderChar"/>
            </w:rPr>
          </w:pPr>
          <w:r w:rsidRPr="000F5176">
            <w:t>Therapeutic Goods Administration</w:t>
          </w:r>
        </w:p>
      </w:tc>
    </w:tr>
  </w:tbl>
  <w:p w14:paraId="480E463E" w14:textId="77777777" w:rsidR="00764E05" w:rsidRDefault="00764E05" w:rsidP="0010176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764E05" w:rsidRPr="00DA24C7" w14:paraId="28E03D4B" w14:textId="77777777" w:rsidTr="00C6376F">
      <w:trPr>
        <w:trHeight w:val="558"/>
      </w:trPr>
      <w:tc>
        <w:tcPr>
          <w:tcW w:w="4035" w:type="dxa"/>
        </w:tcPr>
        <w:p w14:paraId="02A4F856" w14:textId="69123A4C" w:rsidR="00764E05" w:rsidRPr="00EB74A7" w:rsidRDefault="00764E05" w:rsidP="00C6376F">
          <w:pPr>
            <w:pStyle w:val="HeaderNoLine"/>
            <w:jc w:val="left"/>
            <w:rPr>
              <w:rStyle w:val="HeaderChar"/>
              <w:rFonts w:ascii="Arial" w:hAnsi="Arial" w:cs="Arial"/>
              <w:b/>
              <w:sz w:val="28"/>
              <w:szCs w:val="28"/>
            </w:rPr>
          </w:pPr>
        </w:p>
      </w:tc>
      <w:tc>
        <w:tcPr>
          <w:tcW w:w="4685" w:type="dxa"/>
          <w:vAlign w:val="center"/>
        </w:tcPr>
        <w:p w14:paraId="0DD7BFA8" w14:textId="77777777" w:rsidR="00764E05" w:rsidRPr="000F5176" w:rsidRDefault="00764E05" w:rsidP="00C6376F">
          <w:pPr>
            <w:pStyle w:val="HeaderNoLine"/>
            <w:rPr>
              <w:rStyle w:val="HeaderChar"/>
            </w:rPr>
          </w:pPr>
          <w:r w:rsidRPr="000F5176">
            <w:t>Therapeutic Goods Administration</w:t>
          </w:r>
        </w:p>
      </w:tc>
    </w:tr>
  </w:tbl>
  <w:p w14:paraId="3D9C25A3" w14:textId="77777777" w:rsidR="00764E05" w:rsidRDefault="00764E05" w:rsidP="00764E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FB834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347B6B"/>
    <w:multiLevelType w:val="hybridMultilevel"/>
    <w:tmpl w:val="23E2D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C799F"/>
    <w:multiLevelType w:val="hybridMultilevel"/>
    <w:tmpl w:val="3B6AA8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DB7AF1"/>
    <w:multiLevelType w:val="hybridMultilevel"/>
    <w:tmpl w:val="A75873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8F13E9"/>
    <w:multiLevelType w:val="multilevel"/>
    <w:tmpl w:val="8C10A6FA"/>
    <w:styleLink w:val="ListBullets"/>
    <w:lvl w:ilvl="0">
      <w:start w:val="1"/>
      <w:numFmt w:val="bullet"/>
      <w:pStyle w:val="ListBullet"/>
      <w:lvlText w:val="•"/>
      <w:lvlJc w:val="left"/>
      <w:pPr>
        <w:ind w:left="360" w:hanging="360"/>
      </w:pPr>
      <w:rPr>
        <w:rFonts w:ascii="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ABD74D0"/>
    <w:multiLevelType w:val="hybridMultilevel"/>
    <w:tmpl w:val="A52AEBFA"/>
    <w:lvl w:ilvl="0" w:tplc="4BD20BAA">
      <w:start w:val="1"/>
      <w:numFmt w:val="lowerRoman"/>
      <w:pStyle w:val="ListBulleti"/>
      <w:lvlText w:val="%1)"/>
      <w:lvlJc w:val="left"/>
      <w:pPr>
        <w:ind w:left="1800" w:hanging="360"/>
      </w:pPr>
      <w:rPr>
        <w:rFonts w:hint="default"/>
      </w:rPr>
    </w:lvl>
    <w:lvl w:ilvl="1" w:tplc="0C090015">
      <w:start w:val="1"/>
      <w:numFmt w:val="upp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E2A369B"/>
    <w:multiLevelType w:val="multilevel"/>
    <w:tmpl w:val="963C25C0"/>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0" w15:restartNumberingAfterBreak="0">
    <w:nsid w:val="318D2A64"/>
    <w:multiLevelType w:val="multilevel"/>
    <w:tmpl w:val="963C25C0"/>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8209B1"/>
    <w:multiLevelType w:val="multilevel"/>
    <w:tmpl w:val="963C25C0"/>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486248"/>
    <w:multiLevelType w:val="multilevel"/>
    <w:tmpl w:val="6D60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D0184"/>
    <w:multiLevelType w:val="hybridMultilevel"/>
    <w:tmpl w:val="CD3E5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A636F4"/>
    <w:multiLevelType w:val="multilevel"/>
    <w:tmpl w:val="963C25C0"/>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377B83"/>
    <w:multiLevelType w:val="multilevel"/>
    <w:tmpl w:val="963C25C0"/>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B60012"/>
    <w:multiLevelType w:val="multilevel"/>
    <w:tmpl w:val="B6AEA62C"/>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3363426"/>
    <w:multiLevelType w:val="multilevel"/>
    <w:tmpl w:val="963C25C0"/>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7E367C"/>
    <w:multiLevelType w:val="hybridMultilevel"/>
    <w:tmpl w:val="D320F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5"/>
  </w:num>
  <w:num w:numId="4">
    <w:abstractNumId w:val="4"/>
  </w:num>
  <w:num w:numId="5">
    <w:abstractNumId w:val="7"/>
  </w:num>
  <w:num w:numId="6">
    <w:abstractNumId w:val="9"/>
  </w:num>
  <w:num w:numId="7">
    <w:abstractNumId w:val="6"/>
  </w:num>
  <w:num w:numId="8">
    <w:abstractNumId w:val="17"/>
  </w:num>
  <w:num w:numId="9">
    <w:abstractNumId w:val="13"/>
  </w:num>
  <w:num w:numId="10">
    <w:abstractNumId w:val="1"/>
  </w:num>
  <w:num w:numId="11">
    <w:abstractNumId w:val="18"/>
  </w:num>
  <w:num w:numId="12">
    <w:abstractNumId w:val="11"/>
  </w:num>
  <w:num w:numId="13">
    <w:abstractNumId w:val="14"/>
  </w:num>
  <w:num w:numId="14">
    <w:abstractNumId w:val="0"/>
  </w:num>
  <w:num w:numId="15">
    <w:abstractNumId w:val="12"/>
  </w:num>
  <w:num w:numId="16">
    <w:abstractNumId w:val="3"/>
  </w:num>
  <w:num w:numId="17">
    <w:abstractNumId w:val="10"/>
  </w:num>
  <w:num w:numId="18">
    <w:abstractNumId w:val="15"/>
  </w:num>
  <w:num w:numId="19">
    <w:abstractNumId w:val="8"/>
  </w:num>
  <w:num w:numId="20">
    <w:abstractNumId w:val="16"/>
  </w:num>
  <w:num w:numId="21">
    <w:abstractNumId w:val="7"/>
    <w:lvlOverride w:ilvl="0">
      <w:startOverride w:val="2"/>
    </w:lvlOverride>
    <w:lvlOverride w:ilvl="1">
      <w:startOverride w:val="3"/>
    </w:lvlOverride>
  </w:num>
  <w:num w:numId="22">
    <w:abstractNumId w:val="2"/>
  </w:num>
  <w:num w:numId="2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48"/>
    <w:rsid w:val="00000166"/>
    <w:rsid w:val="00001B6C"/>
    <w:rsid w:val="00001B7D"/>
    <w:rsid w:val="00002031"/>
    <w:rsid w:val="00003EE4"/>
    <w:rsid w:val="000042DA"/>
    <w:rsid w:val="00004734"/>
    <w:rsid w:val="00005188"/>
    <w:rsid w:val="00006AE7"/>
    <w:rsid w:val="00006B22"/>
    <w:rsid w:val="0001276A"/>
    <w:rsid w:val="00012D9E"/>
    <w:rsid w:val="00016510"/>
    <w:rsid w:val="0002023D"/>
    <w:rsid w:val="00023C6E"/>
    <w:rsid w:val="000246AE"/>
    <w:rsid w:val="00025266"/>
    <w:rsid w:val="00025C67"/>
    <w:rsid w:val="000335FC"/>
    <w:rsid w:val="00033F14"/>
    <w:rsid w:val="00041297"/>
    <w:rsid w:val="00042573"/>
    <w:rsid w:val="00044AD1"/>
    <w:rsid w:val="000465B5"/>
    <w:rsid w:val="0005081A"/>
    <w:rsid w:val="00052322"/>
    <w:rsid w:val="00053B34"/>
    <w:rsid w:val="00053C6C"/>
    <w:rsid w:val="0005559E"/>
    <w:rsid w:val="00056156"/>
    <w:rsid w:val="00057FFC"/>
    <w:rsid w:val="00061765"/>
    <w:rsid w:val="00061F55"/>
    <w:rsid w:val="0006427F"/>
    <w:rsid w:val="00065585"/>
    <w:rsid w:val="00065D1A"/>
    <w:rsid w:val="0006653D"/>
    <w:rsid w:val="00072D02"/>
    <w:rsid w:val="00074EBD"/>
    <w:rsid w:val="000755F8"/>
    <w:rsid w:val="00076FAA"/>
    <w:rsid w:val="00077548"/>
    <w:rsid w:val="00077775"/>
    <w:rsid w:val="00081BFB"/>
    <w:rsid w:val="0008417D"/>
    <w:rsid w:val="00085DD5"/>
    <w:rsid w:val="000860B4"/>
    <w:rsid w:val="000869F6"/>
    <w:rsid w:val="00090471"/>
    <w:rsid w:val="000A4EF4"/>
    <w:rsid w:val="000A56BE"/>
    <w:rsid w:val="000B0759"/>
    <w:rsid w:val="000B3532"/>
    <w:rsid w:val="000B3A75"/>
    <w:rsid w:val="000B47E7"/>
    <w:rsid w:val="000B56DE"/>
    <w:rsid w:val="000B7084"/>
    <w:rsid w:val="000C31F2"/>
    <w:rsid w:val="000C351B"/>
    <w:rsid w:val="000C5F0B"/>
    <w:rsid w:val="000C64ED"/>
    <w:rsid w:val="000C6B99"/>
    <w:rsid w:val="000D0ABB"/>
    <w:rsid w:val="000D2B49"/>
    <w:rsid w:val="000D391B"/>
    <w:rsid w:val="000D3D6D"/>
    <w:rsid w:val="000D45F7"/>
    <w:rsid w:val="000D4FC7"/>
    <w:rsid w:val="000F04C4"/>
    <w:rsid w:val="000F35CA"/>
    <w:rsid w:val="000F3A5D"/>
    <w:rsid w:val="000F4869"/>
    <w:rsid w:val="000F5176"/>
    <w:rsid w:val="000F5B42"/>
    <w:rsid w:val="000F6E6F"/>
    <w:rsid w:val="001003F2"/>
    <w:rsid w:val="00101762"/>
    <w:rsid w:val="0010601F"/>
    <w:rsid w:val="00106BF9"/>
    <w:rsid w:val="00110AE1"/>
    <w:rsid w:val="00110EA5"/>
    <w:rsid w:val="00112440"/>
    <w:rsid w:val="00112F3C"/>
    <w:rsid w:val="00115240"/>
    <w:rsid w:val="001157F7"/>
    <w:rsid w:val="00116990"/>
    <w:rsid w:val="001169AC"/>
    <w:rsid w:val="00117127"/>
    <w:rsid w:val="00122776"/>
    <w:rsid w:val="00123BB2"/>
    <w:rsid w:val="00123E0C"/>
    <w:rsid w:val="00125091"/>
    <w:rsid w:val="00125148"/>
    <w:rsid w:val="00125318"/>
    <w:rsid w:val="0012669D"/>
    <w:rsid w:val="001268BE"/>
    <w:rsid w:val="001305A2"/>
    <w:rsid w:val="00130EB7"/>
    <w:rsid w:val="001327EC"/>
    <w:rsid w:val="00133238"/>
    <w:rsid w:val="00136D79"/>
    <w:rsid w:val="00140FE3"/>
    <w:rsid w:val="0014197B"/>
    <w:rsid w:val="00143B58"/>
    <w:rsid w:val="001447CD"/>
    <w:rsid w:val="00150A66"/>
    <w:rsid w:val="00150ABE"/>
    <w:rsid w:val="00150EA0"/>
    <w:rsid w:val="001516B1"/>
    <w:rsid w:val="001525B4"/>
    <w:rsid w:val="0015270F"/>
    <w:rsid w:val="0015428E"/>
    <w:rsid w:val="00155651"/>
    <w:rsid w:val="00156316"/>
    <w:rsid w:val="00156847"/>
    <w:rsid w:val="00157601"/>
    <w:rsid w:val="001578C5"/>
    <w:rsid w:val="00161226"/>
    <w:rsid w:val="00165389"/>
    <w:rsid w:val="001653CE"/>
    <w:rsid w:val="00173C6A"/>
    <w:rsid w:val="0017693F"/>
    <w:rsid w:val="00176CB0"/>
    <w:rsid w:val="0018056A"/>
    <w:rsid w:val="0018110E"/>
    <w:rsid w:val="00181684"/>
    <w:rsid w:val="00182A4A"/>
    <w:rsid w:val="001843C6"/>
    <w:rsid w:val="001850E0"/>
    <w:rsid w:val="00185CE9"/>
    <w:rsid w:val="00186517"/>
    <w:rsid w:val="00193183"/>
    <w:rsid w:val="001A2179"/>
    <w:rsid w:val="001A327D"/>
    <w:rsid w:val="001A3925"/>
    <w:rsid w:val="001A525F"/>
    <w:rsid w:val="001A5FFE"/>
    <w:rsid w:val="001A77F0"/>
    <w:rsid w:val="001B09F9"/>
    <w:rsid w:val="001B0F8B"/>
    <w:rsid w:val="001B5CE3"/>
    <w:rsid w:val="001B6448"/>
    <w:rsid w:val="001C0D8C"/>
    <w:rsid w:val="001C1A78"/>
    <w:rsid w:val="001C2A9E"/>
    <w:rsid w:val="001C2D91"/>
    <w:rsid w:val="001C3E24"/>
    <w:rsid w:val="001C4E44"/>
    <w:rsid w:val="001C5266"/>
    <w:rsid w:val="001C7F0A"/>
    <w:rsid w:val="001E07CF"/>
    <w:rsid w:val="001E51C6"/>
    <w:rsid w:val="001E5555"/>
    <w:rsid w:val="001E59F1"/>
    <w:rsid w:val="001F04D7"/>
    <w:rsid w:val="001F32EC"/>
    <w:rsid w:val="001F3D96"/>
    <w:rsid w:val="001F49EB"/>
    <w:rsid w:val="001F4F04"/>
    <w:rsid w:val="001F653E"/>
    <w:rsid w:val="001F6CBA"/>
    <w:rsid w:val="001F7B5C"/>
    <w:rsid w:val="002001F1"/>
    <w:rsid w:val="0020028B"/>
    <w:rsid w:val="00200A9C"/>
    <w:rsid w:val="00201D4E"/>
    <w:rsid w:val="00202086"/>
    <w:rsid w:val="00204DF0"/>
    <w:rsid w:val="0020793B"/>
    <w:rsid w:val="0020799C"/>
    <w:rsid w:val="002101CA"/>
    <w:rsid w:val="002147E0"/>
    <w:rsid w:val="00220B8A"/>
    <w:rsid w:val="002226DD"/>
    <w:rsid w:val="002257F3"/>
    <w:rsid w:val="0023267B"/>
    <w:rsid w:val="00233456"/>
    <w:rsid w:val="002339A5"/>
    <w:rsid w:val="00236140"/>
    <w:rsid w:val="00240781"/>
    <w:rsid w:val="00242707"/>
    <w:rsid w:val="002445F4"/>
    <w:rsid w:val="002452B8"/>
    <w:rsid w:val="002458D4"/>
    <w:rsid w:val="00245CF3"/>
    <w:rsid w:val="00247223"/>
    <w:rsid w:val="00250EFD"/>
    <w:rsid w:val="0025120A"/>
    <w:rsid w:val="002535AC"/>
    <w:rsid w:val="0025660C"/>
    <w:rsid w:val="00257138"/>
    <w:rsid w:val="00257848"/>
    <w:rsid w:val="00267925"/>
    <w:rsid w:val="0027084A"/>
    <w:rsid w:val="0027115A"/>
    <w:rsid w:val="00275590"/>
    <w:rsid w:val="002769FE"/>
    <w:rsid w:val="00283E63"/>
    <w:rsid w:val="00286434"/>
    <w:rsid w:val="00286C59"/>
    <w:rsid w:val="002929C2"/>
    <w:rsid w:val="00292BB3"/>
    <w:rsid w:val="002942D1"/>
    <w:rsid w:val="002971EB"/>
    <w:rsid w:val="002A0556"/>
    <w:rsid w:val="002A3961"/>
    <w:rsid w:val="002A5857"/>
    <w:rsid w:val="002A5F56"/>
    <w:rsid w:val="002A6E38"/>
    <w:rsid w:val="002B0E0E"/>
    <w:rsid w:val="002B1638"/>
    <w:rsid w:val="002B27E1"/>
    <w:rsid w:val="002B3304"/>
    <w:rsid w:val="002C07AF"/>
    <w:rsid w:val="002C1418"/>
    <w:rsid w:val="002C1B84"/>
    <w:rsid w:val="002C383A"/>
    <w:rsid w:val="002C3CBC"/>
    <w:rsid w:val="002C43C3"/>
    <w:rsid w:val="002C48BF"/>
    <w:rsid w:val="002C6D34"/>
    <w:rsid w:val="002D0B05"/>
    <w:rsid w:val="002D2A42"/>
    <w:rsid w:val="002E430E"/>
    <w:rsid w:val="002E4C9A"/>
    <w:rsid w:val="002E5C31"/>
    <w:rsid w:val="002E69BE"/>
    <w:rsid w:val="002F11F8"/>
    <w:rsid w:val="002F38EC"/>
    <w:rsid w:val="002F3F56"/>
    <w:rsid w:val="002F44B5"/>
    <w:rsid w:val="002F53E0"/>
    <w:rsid w:val="00302504"/>
    <w:rsid w:val="003026B7"/>
    <w:rsid w:val="00303CBB"/>
    <w:rsid w:val="0030508C"/>
    <w:rsid w:val="003055BD"/>
    <w:rsid w:val="00311AC0"/>
    <w:rsid w:val="00314331"/>
    <w:rsid w:val="00316F8D"/>
    <w:rsid w:val="003208A0"/>
    <w:rsid w:val="003228ED"/>
    <w:rsid w:val="003251D0"/>
    <w:rsid w:val="003261C8"/>
    <w:rsid w:val="00330A2E"/>
    <w:rsid w:val="00331DBB"/>
    <w:rsid w:val="00334439"/>
    <w:rsid w:val="00335BEC"/>
    <w:rsid w:val="00335D6F"/>
    <w:rsid w:val="003367E4"/>
    <w:rsid w:val="00343736"/>
    <w:rsid w:val="003521E8"/>
    <w:rsid w:val="00352A2E"/>
    <w:rsid w:val="00353AC2"/>
    <w:rsid w:val="003555D7"/>
    <w:rsid w:val="00356F04"/>
    <w:rsid w:val="00360648"/>
    <w:rsid w:val="00360DFD"/>
    <w:rsid w:val="00362473"/>
    <w:rsid w:val="00362F16"/>
    <w:rsid w:val="003662D5"/>
    <w:rsid w:val="003664BF"/>
    <w:rsid w:val="0036794C"/>
    <w:rsid w:val="0037034E"/>
    <w:rsid w:val="0037036E"/>
    <w:rsid w:val="00371F4B"/>
    <w:rsid w:val="0037215C"/>
    <w:rsid w:val="003728F3"/>
    <w:rsid w:val="00373D31"/>
    <w:rsid w:val="00377E76"/>
    <w:rsid w:val="0038110B"/>
    <w:rsid w:val="00386152"/>
    <w:rsid w:val="00386EF7"/>
    <w:rsid w:val="00390900"/>
    <w:rsid w:val="00393CC3"/>
    <w:rsid w:val="003964E2"/>
    <w:rsid w:val="003A0110"/>
    <w:rsid w:val="003A0B29"/>
    <w:rsid w:val="003A0B68"/>
    <w:rsid w:val="003A19BA"/>
    <w:rsid w:val="003A48A2"/>
    <w:rsid w:val="003B1FAD"/>
    <w:rsid w:val="003B3601"/>
    <w:rsid w:val="003B629A"/>
    <w:rsid w:val="003B6E20"/>
    <w:rsid w:val="003B774D"/>
    <w:rsid w:val="003B7E39"/>
    <w:rsid w:val="003C04B2"/>
    <w:rsid w:val="003C1BBB"/>
    <w:rsid w:val="003C58DC"/>
    <w:rsid w:val="003C62FC"/>
    <w:rsid w:val="003C7673"/>
    <w:rsid w:val="003D1DEC"/>
    <w:rsid w:val="003D1E36"/>
    <w:rsid w:val="003D26B4"/>
    <w:rsid w:val="003D497F"/>
    <w:rsid w:val="003D5D86"/>
    <w:rsid w:val="003E0E6A"/>
    <w:rsid w:val="003E1945"/>
    <w:rsid w:val="003E2889"/>
    <w:rsid w:val="003E3208"/>
    <w:rsid w:val="003E33D4"/>
    <w:rsid w:val="003E3CA3"/>
    <w:rsid w:val="003E7390"/>
    <w:rsid w:val="003F0B04"/>
    <w:rsid w:val="003F3092"/>
    <w:rsid w:val="003F3095"/>
    <w:rsid w:val="003F48DD"/>
    <w:rsid w:val="003F78F6"/>
    <w:rsid w:val="0040134E"/>
    <w:rsid w:val="00402EF6"/>
    <w:rsid w:val="00403ACE"/>
    <w:rsid w:val="00403D3E"/>
    <w:rsid w:val="00404AD5"/>
    <w:rsid w:val="0040598C"/>
    <w:rsid w:val="0040726C"/>
    <w:rsid w:val="004072A5"/>
    <w:rsid w:val="00411710"/>
    <w:rsid w:val="00411E3F"/>
    <w:rsid w:val="0041244F"/>
    <w:rsid w:val="00412E40"/>
    <w:rsid w:val="00414BA2"/>
    <w:rsid w:val="0042040D"/>
    <w:rsid w:val="00421B7E"/>
    <w:rsid w:val="00423F10"/>
    <w:rsid w:val="004247DA"/>
    <w:rsid w:val="004302D7"/>
    <w:rsid w:val="0043074F"/>
    <w:rsid w:val="00430AAA"/>
    <w:rsid w:val="00432CDD"/>
    <w:rsid w:val="00433211"/>
    <w:rsid w:val="00434E6E"/>
    <w:rsid w:val="00435B13"/>
    <w:rsid w:val="00436C41"/>
    <w:rsid w:val="004407B2"/>
    <w:rsid w:val="00440A2D"/>
    <w:rsid w:val="00441972"/>
    <w:rsid w:val="004422DF"/>
    <w:rsid w:val="004432FB"/>
    <w:rsid w:val="004446E3"/>
    <w:rsid w:val="004454B4"/>
    <w:rsid w:val="0044589C"/>
    <w:rsid w:val="0044722D"/>
    <w:rsid w:val="0044785B"/>
    <w:rsid w:val="00451EEC"/>
    <w:rsid w:val="00455ECA"/>
    <w:rsid w:val="004564A7"/>
    <w:rsid w:val="00457FE3"/>
    <w:rsid w:val="004617BF"/>
    <w:rsid w:val="004618AB"/>
    <w:rsid w:val="00461999"/>
    <w:rsid w:val="00464DFB"/>
    <w:rsid w:val="0046516E"/>
    <w:rsid w:val="004658BC"/>
    <w:rsid w:val="00470EC2"/>
    <w:rsid w:val="00472080"/>
    <w:rsid w:val="00484BAB"/>
    <w:rsid w:val="00484DDA"/>
    <w:rsid w:val="00485BFD"/>
    <w:rsid w:val="00487716"/>
    <w:rsid w:val="004923FF"/>
    <w:rsid w:val="00494E60"/>
    <w:rsid w:val="004970FD"/>
    <w:rsid w:val="004A2400"/>
    <w:rsid w:val="004A4EB5"/>
    <w:rsid w:val="004A6F05"/>
    <w:rsid w:val="004B211D"/>
    <w:rsid w:val="004B21D7"/>
    <w:rsid w:val="004B2BD3"/>
    <w:rsid w:val="004B545E"/>
    <w:rsid w:val="004B6701"/>
    <w:rsid w:val="004B7B76"/>
    <w:rsid w:val="004C0070"/>
    <w:rsid w:val="004C241F"/>
    <w:rsid w:val="004C3BFD"/>
    <w:rsid w:val="004C4791"/>
    <w:rsid w:val="004C60B4"/>
    <w:rsid w:val="004D3F80"/>
    <w:rsid w:val="004D51A6"/>
    <w:rsid w:val="004D6739"/>
    <w:rsid w:val="004D722C"/>
    <w:rsid w:val="004E5523"/>
    <w:rsid w:val="004F0F38"/>
    <w:rsid w:val="004F4580"/>
    <w:rsid w:val="005009C0"/>
    <w:rsid w:val="00501179"/>
    <w:rsid w:val="00501921"/>
    <w:rsid w:val="00501CBA"/>
    <w:rsid w:val="005042C1"/>
    <w:rsid w:val="005164BD"/>
    <w:rsid w:val="005168C9"/>
    <w:rsid w:val="00516E40"/>
    <w:rsid w:val="00520F6C"/>
    <w:rsid w:val="00521BEF"/>
    <w:rsid w:val="005220E5"/>
    <w:rsid w:val="005221E1"/>
    <w:rsid w:val="005274DA"/>
    <w:rsid w:val="005302F5"/>
    <w:rsid w:val="00530354"/>
    <w:rsid w:val="0053393D"/>
    <w:rsid w:val="00533970"/>
    <w:rsid w:val="00534871"/>
    <w:rsid w:val="0053538C"/>
    <w:rsid w:val="00535B54"/>
    <w:rsid w:val="0053770B"/>
    <w:rsid w:val="0053781A"/>
    <w:rsid w:val="00541352"/>
    <w:rsid w:val="0054163A"/>
    <w:rsid w:val="00541E54"/>
    <w:rsid w:val="005434C6"/>
    <w:rsid w:val="00543B39"/>
    <w:rsid w:val="00550096"/>
    <w:rsid w:val="00551F1D"/>
    <w:rsid w:val="00552DB2"/>
    <w:rsid w:val="005540F9"/>
    <w:rsid w:val="005576C9"/>
    <w:rsid w:val="00557FF9"/>
    <w:rsid w:val="00560BAF"/>
    <w:rsid w:val="00561B1B"/>
    <w:rsid w:val="005645C7"/>
    <w:rsid w:val="005646AF"/>
    <w:rsid w:val="00566F9A"/>
    <w:rsid w:val="005729B0"/>
    <w:rsid w:val="00575A6D"/>
    <w:rsid w:val="00576378"/>
    <w:rsid w:val="00577E38"/>
    <w:rsid w:val="005824DB"/>
    <w:rsid w:val="00585069"/>
    <w:rsid w:val="00585322"/>
    <w:rsid w:val="0058774D"/>
    <w:rsid w:val="00591975"/>
    <w:rsid w:val="00593AD1"/>
    <w:rsid w:val="00593E11"/>
    <w:rsid w:val="005955CF"/>
    <w:rsid w:val="00597B50"/>
    <w:rsid w:val="005A1131"/>
    <w:rsid w:val="005A15BC"/>
    <w:rsid w:val="005A3F2F"/>
    <w:rsid w:val="005A5916"/>
    <w:rsid w:val="005A5A5E"/>
    <w:rsid w:val="005A6611"/>
    <w:rsid w:val="005B1DEF"/>
    <w:rsid w:val="005C00B1"/>
    <w:rsid w:val="005C03F2"/>
    <w:rsid w:val="005C0499"/>
    <w:rsid w:val="005C1D90"/>
    <w:rsid w:val="005C22EA"/>
    <w:rsid w:val="005C2732"/>
    <w:rsid w:val="005C2FB2"/>
    <w:rsid w:val="005C3414"/>
    <w:rsid w:val="005C5570"/>
    <w:rsid w:val="005C6864"/>
    <w:rsid w:val="005C6D87"/>
    <w:rsid w:val="005C79A4"/>
    <w:rsid w:val="005D060C"/>
    <w:rsid w:val="005D16DC"/>
    <w:rsid w:val="005D1C14"/>
    <w:rsid w:val="005D4E06"/>
    <w:rsid w:val="005D5442"/>
    <w:rsid w:val="005E1A89"/>
    <w:rsid w:val="005E3393"/>
    <w:rsid w:val="005E5885"/>
    <w:rsid w:val="005E6395"/>
    <w:rsid w:val="005F3EA0"/>
    <w:rsid w:val="005F745A"/>
    <w:rsid w:val="00601594"/>
    <w:rsid w:val="00601FD3"/>
    <w:rsid w:val="0060581D"/>
    <w:rsid w:val="00607DB5"/>
    <w:rsid w:val="00612B30"/>
    <w:rsid w:val="006131AB"/>
    <w:rsid w:val="00613211"/>
    <w:rsid w:val="006132E8"/>
    <w:rsid w:val="006210F2"/>
    <w:rsid w:val="0062266E"/>
    <w:rsid w:val="00623676"/>
    <w:rsid w:val="006238C7"/>
    <w:rsid w:val="00632284"/>
    <w:rsid w:val="00632D4C"/>
    <w:rsid w:val="006352D8"/>
    <w:rsid w:val="006400CB"/>
    <w:rsid w:val="00640FC3"/>
    <w:rsid w:val="00642020"/>
    <w:rsid w:val="00643E67"/>
    <w:rsid w:val="00650434"/>
    <w:rsid w:val="00651316"/>
    <w:rsid w:val="00652CEE"/>
    <w:rsid w:val="0065337B"/>
    <w:rsid w:val="0065419D"/>
    <w:rsid w:val="006558F3"/>
    <w:rsid w:val="006604D8"/>
    <w:rsid w:val="00664A5B"/>
    <w:rsid w:val="006664CB"/>
    <w:rsid w:val="00667942"/>
    <w:rsid w:val="006733CD"/>
    <w:rsid w:val="00674BA2"/>
    <w:rsid w:val="00677050"/>
    <w:rsid w:val="006804A8"/>
    <w:rsid w:val="00680C08"/>
    <w:rsid w:val="00682D18"/>
    <w:rsid w:val="0068543D"/>
    <w:rsid w:val="00686C19"/>
    <w:rsid w:val="0068741A"/>
    <w:rsid w:val="00691DBE"/>
    <w:rsid w:val="006931B1"/>
    <w:rsid w:val="00694998"/>
    <w:rsid w:val="00695C78"/>
    <w:rsid w:val="00696F04"/>
    <w:rsid w:val="00697E44"/>
    <w:rsid w:val="006A15C0"/>
    <w:rsid w:val="006A1DC0"/>
    <w:rsid w:val="006A64F4"/>
    <w:rsid w:val="006A70C4"/>
    <w:rsid w:val="006A7FD9"/>
    <w:rsid w:val="006B1BCF"/>
    <w:rsid w:val="006B3B74"/>
    <w:rsid w:val="006B3CF2"/>
    <w:rsid w:val="006C0A51"/>
    <w:rsid w:val="006C1A83"/>
    <w:rsid w:val="006C1AD9"/>
    <w:rsid w:val="006C1F3B"/>
    <w:rsid w:val="006C3E2A"/>
    <w:rsid w:val="006C450D"/>
    <w:rsid w:val="006C57B7"/>
    <w:rsid w:val="006C642F"/>
    <w:rsid w:val="006D03E5"/>
    <w:rsid w:val="006D08C1"/>
    <w:rsid w:val="006D26BE"/>
    <w:rsid w:val="006D5D3E"/>
    <w:rsid w:val="006D6A23"/>
    <w:rsid w:val="006E08B3"/>
    <w:rsid w:val="006E1B24"/>
    <w:rsid w:val="006E21BD"/>
    <w:rsid w:val="006E5071"/>
    <w:rsid w:val="006E5916"/>
    <w:rsid w:val="006F01FE"/>
    <w:rsid w:val="006F1A67"/>
    <w:rsid w:val="006F572E"/>
    <w:rsid w:val="006F65A9"/>
    <w:rsid w:val="007046D6"/>
    <w:rsid w:val="00705DB0"/>
    <w:rsid w:val="00706AFE"/>
    <w:rsid w:val="007105C8"/>
    <w:rsid w:val="00711BAE"/>
    <w:rsid w:val="007127A7"/>
    <w:rsid w:val="00717545"/>
    <w:rsid w:val="00717B5D"/>
    <w:rsid w:val="007249F8"/>
    <w:rsid w:val="0073205A"/>
    <w:rsid w:val="00732B06"/>
    <w:rsid w:val="0073345D"/>
    <w:rsid w:val="00736B85"/>
    <w:rsid w:val="00736EFA"/>
    <w:rsid w:val="00737627"/>
    <w:rsid w:val="0074253D"/>
    <w:rsid w:val="0074429B"/>
    <w:rsid w:val="007477F8"/>
    <w:rsid w:val="00750057"/>
    <w:rsid w:val="00750368"/>
    <w:rsid w:val="007560C5"/>
    <w:rsid w:val="0075678F"/>
    <w:rsid w:val="007615BC"/>
    <w:rsid w:val="00761AA7"/>
    <w:rsid w:val="00762F05"/>
    <w:rsid w:val="007637F0"/>
    <w:rsid w:val="00763BB7"/>
    <w:rsid w:val="00764E05"/>
    <w:rsid w:val="007652FF"/>
    <w:rsid w:val="00765C7B"/>
    <w:rsid w:val="00766729"/>
    <w:rsid w:val="00766888"/>
    <w:rsid w:val="0077025F"/>
    <w:rsid w:val="00771329"/>
    <w:rsid w:val="00773EF7"/>
    <w:rsid w:val="0077463F"/>
    <w:rsid w:val="007748DC"/>
    <w:rsid w:val="00774E1D"/>
    <w:rsid w:val="00775DC7"/>
    <w:rsid w:val="0077675A"/>
    <w:rsid w:val="00780355"/>
    <w:rsid w:val="00782870"/>
    <w:rsid w:val="00783116"/>
    <w:rsid w:val="00783FF8"/>
    <w:rsid w:val="00784124"/>
    <w:rsid w:val="00785721"/>
    <w:rsid w:val="00786DBC"/>
    <w:rsid w:val="007907BF"/>
    <w:rsid w:val="00793A59"/>
    <w:rsid w:val="00793B11"/>
    <w:rsid w:val="00794519"/>
    <w:rsid w:val="007954D4"/>
    <w:rsid w:val="00797C67"/>
    <w:rsid w:val="007A2162"/>
    <w:rsid w:val="007A2464"/>
    <w:rsid w:val="007A2B0B"/>
    <w:rsid w:val="007A58C5"/>
    <w:rsid w:val="007B0412"/>
    <w:rsid w:val="007B0A15"/>
    <w:rsid w:val="007B1ED1"/>
    <w:rsid w:val="007B7728"/>
    <w:rsid w:val="007B7F38"/>
    <w:rsid w:val="007C0F3D"/>
    <w:rsid w:val="007C1AF7"/>
    <w:rsid w:val="007C4782"/>
    <w:rsid w:val="007D2CFA"/>
    <w:rsid w:val="007D31C7"/>
    <w:rsid w:val="007D404B"/>
    <w:rsid w:val="007D4385"/>
    <w:rsid w:val="007D7B54"/>
    <w:rsid w:val="007E29E1"/>
    <w:rsid w:val="007E3E3E"/>
    <w:rsid w:val="007E49A7"/>
    <w:rsid w:val="007E4DCE"/>
    <w:rsid w:val="007E662C"/>
    <w:rsid w:val="007F4565"/>
    <w:rsid w:val="008030CD"/>
    <w:rsid w:val="00804357"/>
    <w:rsid w:val="0080449A"/>
    <w:rsid w:val="00811949"/>
    <w:rsid w:val="00812029"/>
    <w:rsid w:val="008122AC"/>
    <w:rsid w:val="00813E46"/>
    <w:rsid w:val="00816093"/>
    <w:rsid w:val="00816405"/>
    <w:rsid w:val="00816D30"/>
    <w:rsid w:val="00817471"/>
    <w:rsid w:val="00821776"/>
    <w:rsid w:val="00821AF4"/>
    <w:rsid w:val="00826007"/>
    <w:rsid w:val="0082653E"/>
    <w:rsid w:val="008266E2"/>
    <w:rsid w:val="008317AD"/>
    <w:rsid w:val="0083209C"/>
    <w:rsid w:val="008321F5"/>
    <w:rsid w:val="00832369"/>
    <w:rsid w:val="00832486"/>
    <w:rsid w:val="0083329F"/>
    <w:rsid w:val="00834660"/>
    <w:rsid w:val="008357ED"/>
    <w:rsid w:val="00836BC2"/>
    <w:rsid w:val="0084109D"/>
    <w:rsid w:val="008423DC"/>
    <w:rsid w:val="00842746"/>
    <w:rsid w:val="00846E23"/>
    <w:rsid w:val="0085641B"/>
    <w:rsid w:val="00857136"/>
    <w:rsid w:val="008617CA"/>
    <w:rsid w:val="008702B3"/>
    <w:rsid w:val="008707DF"/>
    <w:rsid w:val="00871013"/>
    <w:rsid w:val="00871E49"/>
    <w:rsid w:val="00872807"/>
    <w:rsid w:val="00876EAC"/>
    <w:rsid w:val="0087733F"/>
    <w:rsid w:val="00877D5C"/>
    <w:rsid w:val="00881EA0"/>
    <w:rsid w:val="0088496A"/>
    <w:rsid w:val="0088678E"/>
    <w:rsid w:val="0089392A"/>
    <w:rsid w:val="00893C5D"/>
    <w:rsid w:val="00896018"/>
    <w:rsid w:val="00896E1F"/>
    <w:rsid w:val="008A00FE"/>
    <w:rsid w:val="008A2B9D"/>
    <w:rsid w:val="008A2D18"/>
    <w:rsid w:val="008A5E0B"/>
    <w:rsid w:val="008A69D0"/>
    <w:rsid w:val="008A6A7F"/>
    <w:rsid w:val="008A6B96"/>
    <w:rsid w:val="008A6D59"/>
    <w:rsid w:val="008B0015"/>
    <w:rsid w:val="008B2A53"/>
    <w:rsid w:val="008B2B27"/>
    <w:rsid w:val="008B4B03"/>
    <w:rsid w:val="008B596F"/>
    <w:rsid w:val="008B7C43"/>
    <w:rsid w:val="008C0C69"/>
    <w:rsid w:val="008C159F"/>
    <w:rsid w:val="008C1623"/>
    <w:rsid w:val="008C2B58"/>
    <w:rsid w:val="008C51A9"/>
    <w:rsid w:val="008C5225"/>
    <w:rsid w:val="008C7E46"/>
    <w:rsid w:val="008D0620"/>
    <w:rsid w:val="008D1287"/>
    <w:rsid w:val="008D3215"/>
    <w:rsid w:val="008D3724"/>
    <w:rsid w:val="008D3FCE"/>
    <w:rsid w:val="008D67F7"/>
    <w:rsid w:val="008D7BD4"/>
    <w:rsid w:val="008E1496"/>
    <w:rsid w:val="008E2C70"/>
    <w:rsid w:val="008E6463"/>
    <w:rsid w:val="008F1CCC"/>
    <w:rsid w:val="008F2967"/>
    <w:rsid w:val="008F2AD4"/>
    <w:rsid w:val="008F4A62"/>
    <w:rsid w:val="008F57B4"/>
    <w:rsid w:val="008F6881"/>
    <w:rsid w:val="00900E78"/>
    <w:rsid w:val="00911537"/>
    <w:rsid w:val="0091165D"/>
    <w:rsid w:val="00915525"/>
    <w:rsid w:val="00916AAC"/>
    <w:rsid w:val="00917AB4"/>
    <w:rsid w:val="00920330"/>
    <w:rsid w:val="009207ED"/>
    <w:rsid w:val="00920FF4"/>
    <w:rsid w:val="009219D7"/>
    <w:rsid w:val="00922D53"/>
    <w:rsid w:val="00923B70"/>
    <w:rsid w:val="0092465F"/>
    <w:rsid w:val="00924FB8"/>
    <w:rsid w:val="00925333"/>
    <w:rsid w:val="00925AFC"/>
    <w:rsid w:val="0092600B"/>
    <w:rsid w:val="00926BE5"/>
    <w:rsid w:val="00926F1C"/>
    <w:rsid w:val="00930237"/>
    <w:rsid w:val="009310B4"/>
    <w:rsid w:val="0093296B"/>
    <w:rsid w:val="00935659"/>
    <w:rsid w:val="0093749E"/>
    <w:rsid w:val="00942751"/>
    <w:rsid w:val="00943A3F"/>
    <w:rsid w:val="00944B14"/>
    <w:rsid w:val="00945041"/>
    <w:rsid w:val="009468C6"/>
    <w:rsid w:val="0094735E"/>
    <w:rsid w:val="00951677"/>
    <w:rsid w:val="00952C3D"/>
    <w:rsid w:val="00953EA8"/>
    <w:rsid w:val="00955A46"/>
    <w:rsid w:val="009628B7"/>
    <w:rsid w:val="00963C08"/>
    <w:rsid w:val="00963C0D"/>
    <w:rsid w:val="0096662A"/>
    <w:rsid w:val="00966970"/>
    <w:rsid w:val="00966BD0"/>
    <w:rsid w:val="00967C5A"/>
    <w:rsid w:val="00970367"/>
    <w:rsid w:val="00970C5F"/>
    <w:rsid w:val="00973DB8"/>
    <w:rsid w:val="009741DD"/>
    <w:rsid w:val="00974CC8"/>
    <w:rsid w:val="009752DD"/>
    <w:rsid w:val="00975379"/>
    <w:rsid w:val="00981AC6"/>
    <w:rsid w:val="00981D0A"/>
    <w:rsid w:val="009835B6"/>
    <w:rsid w:val="00983F7C"/>
    <w:rsid w:val="00984803"/>
    <w:rsid w:val="00984CAD"/>
    <w:rsid w:val="00987D65"/>
    <w:rsid w:val="009927F3"/>
    <w:rsid w:val="00993AB0"/>
    <w:rsid w:val="009A15B1"/>
    <w:rsid w:val="009A190E"/>
    <w:rsid w:val="009A4825"/>
    <w:rsid w:val="009A4976"/>
    <w:rsid w:val="009A4CED"/>
    <w:rsid w:val="009B00CC"/>
    <w:rsid w:val="009B1D12"/>
    <w:rsid w:val="009B20A0"/>
    <w:rsid w:val="009B2B3C"/>
    <w:rsid w:val="009B3475"/>
    <w:rsid w:val="009B3B14"/>
    <w:rsid w:val="009B416B"/>
    <w:rsid w:val="009B6348"/>
    <w:rsid w:val="009C4BD5"/>
    <w:rsid w:val="009C4D05"/>
    <w:rsid w:val="009C5F04"/>
    <w:rsid w:val="009C683C"/>
    <w:rsid w:val="009D0801"/>
    <w:rsid w:val="009D0A6D"/>
    <w:rsid w:val="009D0DC8"/>
    <w:rsid w:val="009D2144"/>
    <w:rsid w:val="009D2E04"/>
    <w:rsid w:val="009D7B77"/>
    <w:rsid w:val="009E0BB0"/>
    <w:rsid w:val="009E37F8"/>
    <w:rsid w:val="009E3FBB"/>
    <w:rsid w:val="009F018D"/>
    <w:rsid w:val="009F01FD"/>
    <w:rsid w:val="009F141A"/>
    <w:rsid w:val="009F207B"/>
    <w:rsid w:val="009F20E4"/>
    <w:rsid w:val="00A0156E"/>
    <w:rsid w:val="00A10C68"/>
    <w:rsid w:val="00A11324"/>
    <w:rsid w:val="00A1235B"/>
    <w:rsid w:val="00A14028"/>
    <w:rsid w:val="00A14DF7"/>
    <w:rsid w:val="00A20B00"/>
    <w:rsid w:val="00A22E19"/>
    <w:rsid w:val="00A27B10"/>
    <w:rsid w:val="00A31294"/>
    <w:rsid w:val="00A3246D"/>
    <w:rsid w:val="00A32C51"/>
    <w:rsid w:val="00A342E4"/>
    <w:rsid w:val="00A36E8D"/>
    <w:rsid w:val="00A36FA7"/>
    <w:rsid w:val="00A40944"/>
    <w:rsid w:val="00A4130D"/>
    <w:rsid w:val="00A41E88"/>
    <w:rsid w:val="00A45BE1"/>
    <w:rsid w:val="00A46A96"/>
    <w:rsid w:val="00A47209"/>
    <w:rsid w:val="00A475B7"/>
    <w:rsid w:val="00A47AF7"/>
    <w:rsid w:val="00A47C3E"/>
    <w:rsid w:val="00A50226"/>
    <w:rsid w:val="00A50992"/>
    <w:rsid w:val="00A51890"/>
    <w:rsid w:val="00A60BAD"/>
    <w:rsid w:val="00A66207"/>
    <w:rsid w:val="00A66962"/>
    <w:rsid w:val="00A70B59"/>
    <w:rsid w:val="00A73339"/>
    <w:rsid w:val="00A737A1"/>
    <w:rsid w:val="00A73A8D"/>
    <w:rsid w:val="00A77C79"/>
    <w:rsid w:val="00A8051A"/>
    <w:rsid w:val="00A806AE"/>
    <w:rsid w:val="00A80EE4"/>
    <w:rsid w:val="00A8571D"/>
    <w:rsid w:val="00A85A41"/>
    <w:rsid w:val="00A87334"/>
    <w:rsid w:val="00A90465"/>
    <w:rsid w:val="00A92E6D"/>
    <w:rsid w:val="00A934D5"/>
    <w:rsid w:val="00A957C4"/>
    <w:rsid w:val="00AA34FC"/>
    <w:rsid w:val="00AB201E"/>
    <w:rsid w:val="00AB3F92"/>
    <w:rsid w:val="00AB42C4"/>
    <w:rsid w:val="00AB581C"/>
    <w:rsid w:val="00AB5C96"/>
    <w:rsid w:val="00AC262B"/>
    <w:rsid w:val="00AC2B40"/>
    <w:rsid w:val="00AC2BB2"/>
    <w:rsid w:val="00AC2C3C"/>
    <w:rsid w:val="00AC386B"/>
    <w:rsid w:val="00AC3BD9"/>
    <w:rsid w:val="00AC44FA"/>
    <w:rsid w:val="00AC54D1"/>
    <w:rsid w:val="00AC6EBE"/>
    <w:rsid w:val="00AD2969"/>
    <w:rsid w:val="00AD2F18"/>
    <w:rsid w:val="00AD4722"/>
    <w:rsid w:val="00AD4C80"/>
    <w:rsid w:val="00AD58C6"/>
    <w:rsid w:val="00AD7220"/>
    <w:rsid w:val="00AD7E78"/>
    <w:rsid w:val="00AE2270"/>
    <w:rsid w:val="00AE2C01"/>
    <w:rsid w:val="00AE35CD"/>
    <w:rsid w:val="00AE4205"/>
    <w:rsid w:val="00AE6155"/>
    <w:rsid w:val="00AE65EB"/>
    <w:rsid w:val="00AE670F"/>
    <w:rsid w:val="00AF18C5"/>
    <w:rsid w:val="00AF1D94"/>
    <w:rsid w:val="00AF27F0"/>
    <w:rsid w:val="00AF316D"/>
    <w:rsid w:val="00AF3A8C"/>
    <w:rsid w:val="00AF60C5"/>
    <w:rsid w:val="00B009C6"/>
    <w:rsid w:val="00B01548"/>
    <w:rsid w:val="00B138BE"/>
    <w:rsid w:val="00B15AE2"/>
    <w:rsid w:val="00B15C1C"/>
    <w:rsid w:val="00B17A0B"/>
    <w:rsid w:val="00B17B8F"/>
    <w:rsid w:val="00B17CB3"/>
    <w:rsid w:val="00B21D29"/>
    <w:rsid w:val="00B21FC5"/>
    <w:rsid w:val="00B25034"/>
    <w:rsid w:val="00B27B29"/>
    <w:rsid w:val="00B27EA3"/>
    <w:rsid w:val="00B325C7"/>
    <w:rsid w:val="00B33863"/>
    <w:rsid w:val="00B34F51"/>
    <w:rsid w:val="00B37BA4"/>
    <w:rsid w:val="00B37D17"/>
    <w:rsid w:val="00B4175E"/>
    <w:rsid w:val="00B4289C"/>
    <w:rsid w:val="00B4454F"/>
    <w:rsid w:val="00B50EE7"/>
    <w:rsid w:val="00B510E1"/>
    <w:rsid w:val="00B54C25"/>
    <w:rsid w:val="00B55E71"/>
    <w:rsid w:val="00B57049"/>
    <w:rsid w:val="00B572B2"/>
    <w:rsid w:val="00B60801"/>
    <w:rsid w:val="00B617EA"/>
    <w:rsid w:val="00B63F3E"/>
    <w:rsid w:val="00B6409A"/>
    <w:rsid w:val="00B6569A"/>
    <w:rsid w:val="00B6677B"/>
    <w:rsid w:val="00B71B18"/>
    <w:rsid w:val="00B7359B"/>
    <w:rsid w:val="00B7672F"/>
    <w:rsid w:val="00B76897"/>
    <w:rsid w:val="00B76B91"/>
    <w:rsid w:val="00B81E8D"/>
    <w:rsid w:val="00B83FC7"/>
    <w:rsid w:val="00B8473E"/>
    <w:rsid w:val="00B86F81"/>
    <w:rsid w:val="00B929EB"/>
    <w:rsid w:val="00B931D0"/>
    <w:rsid w:val="00B94276"/>
    <w:rsid w:val="00B94618"/>
    <w:rsid w:val="00B978A9"/>
    <w:rsid w:val="00BA1E2C"/>
    <w:rsid w:val="00BA507D"/>
    <w:rsid w:val="00BA7097"/>
    <w:rsid w:val="00BB0BD8"/>
    <w:rsid w:val="00BB538A"/>
    <w:rsid w:val="00BB6DFC"/>
    <w:rsid w:val="00BB7836"/>
    <w:rsid w:val="00BB7F56"/>
    <w:rsid w:val="00BC1CAB"/>
    <w:rsid w:val="00BC2009"/>
    <w:rsid w:val="00BC50DB"/>
    <w:rsid w:val="00BC526C"/>
    <w:rsid w:val="00BC5AC3"/>
    <w:rsid w:val="00BC5AE6"/>
    <w:rsid w:val="00BC622A"/>
    <w:rsid w:val="00BD05E9"/>
    <w:rsid w:val="00BD48EC"/>
    <w:rsid w:val="00BD520E"/>
    <w:rsid w:val="00BE0A78"/>
    <w:rsid w:val="00BE79F0"/>
    <w:rsid w:val="00BE7E2A"/>
    <w:rsid w:val="00BF046D"/>
    <w:rsid w:val="00BF46E4"/>
    <w:rsid w:val="00BF5D04"/>
    <w:rsid w:val="00BF6D2F"/>
    <w:rsid w:val="00C007D3"/>
    <w:rsid w:val="00C019E6"/>
    <w:rsid w:val="00C0357E"/>
    <w:rsid w:val="00C1305B"/>
    <w:rsid w:val="00C13563"/>
    <w:rsid w:val="00C155A7"/>
    <w:rsid w:val="00C16CCE"/>
    <w:rsid w:val="00C17E00"/>
    <w:rsid w:val="00C24035"/>
    <w:rsid w:val="00C25FC2"/>
    <w:rsid w:val="00C26045"/>
    <w:rsid w:val="00C31D44"/>
    <w:rsid w:val="00C32A88"/>
    <w:rsid w:val="00C33FDE"/>
    <w:rsid w:val="00C3534F"/>
    <w:rsid w:val="00C3536F"/>
    <w:rsid w:val="00C364D5"/>
    <w:rsid w:val="00C36810"/>
    <w:rsid w:val="00C36E69"/>
    <w:rsid w:val="00C404A6"/>
    <w:rsid w:val="00C40A36"/>
    <w:rsid w:val="00C434EA"/>
    <w:rsid w:val="00C44419"/>
    <w:rsid w:val="00C4563B"/>
    <w:rsid w:val="00C45E7B"/>
    <w:rsid w:val="00C471B1"/>
    <w:rsid w:val="00C54222"/>
    <w:rsid w:val="00C55437"/>
    <w:rsid w:val="00C55C1A"/>
    <w:rsid w:val="00C6204C"/>
    <w:rsid w:val="00C6316B"/>
    <w:rsid w:val="00C634A9"/>
    <w:rsid w:val="00C6376F"/>
    <w:rsid w:val="00C6446D"/>
    <w:rsid w:val="00C651B1"/>
    <w:rsid w:val="00C669EE"/>
    <w:rsid w:val="00C73315"/>
    <w:rsid w:val="00C741A3"/>
    <w:rsid w:val="00C74DD6"/>
    <w:rsid w:val="00C76E42"/>
    <w:rsid w:val="00C772FF"/>
    <w:rsid w:val="00C801AF"/>
    <w:rsid w:val="00C80256"/>
    <w:rsid w:val="00C81696"/>
    <w:rsid w:val="00C81E27"/>
    <w:rsid w:val="00C85809"/>
    <w:rsid w:val="00C87CA5"/>
    <w:rsid w:val="00C93228"/>
    <w:rsid w:val="00C94239"/>
    <w:rsid w:val="00C95D76"/>
    <w:rsid w:val="00CA068B"/>
    <w:rsid w:val="00CA0F79"/>
    <w:rsid w:val="00CA3A38"/>
    <w:rsid w:val="00CA62E0"/>
    <w:rsid w:val="00CA7F35"/>
    <w:rsid w:val="00CB27FE"/>
    <w:rsid w:val="00CB3AE4"/>
    <w:rsid w:val="00CB6BC0"/>
    <w:rsid w:val="00CC1B7C"/>
    <w:rsid w:val="00CC2AFA"/>
    <w:rsid w:val="00CC314F"/>
    <w:rsid w:val="00CC50DE"/>
    <w:rsid w:val="00CC66CA"/>
    <w:rsid w:val="00CC727F"/>
    <w:rsid w:val="00CD3CE9"/>
    <w:rsid w:val="00CD6EB8"/>
    <w:rsid w:val="00CE5BB0"/>
    <w:rsid w:val="00CE5E4B"/>
    <w:rsid w:val="00CF15C3"/>
    <w:rsid w:val="00CF2B6F"/>
    <w:rsid w:val="00CF3BC4"/>
    <w:rsid w:val="00CF3FF5"/>
    <w:rsid w:val="00CF4F15"/>
    <w:rsid w:val="00CF6340"/>
    <w:rsid w:val="00D017ED"/>
    <w:rsid w:val="00D026F6"/>
    <w:rsid w:val="00D02AD9"/>
    <w:rsid w:val="00D059F5"/>
    <w:rsid w:val="00D07496"/>
    <w:rsid w:val="00D07BFC"/>
    <w:rsid w:val="00D135F8"/>
    <w:rsid w:val="00D13E26"/>
    <w:rsid w:val="00D153B1"/>
    <w:rsid w:val="00D1617A"/>
    <w:rsid w:val="00D224FE"/>
    <w:rsid w:val="00D229BA"/>
    <w:rsid w:val="00D24C02"/>
    <w:rsid w:val="00D35AB1"/>
    <w:rsid w:val="00D37600"/>
    <w:rsid w:val="00D42949"/>
    <w:rsid w:val="00D46E89"/>
    <w:rsid w:val="00D47415"/>
    <w:rsid w:val="00D50690"/>
    <w:rsid w:val="00D51CD8"/>
    <w:rsid w:val="00D55A5F"/>
    <w:rsid w:val="00D624D6"/>
    <w:rsid w:val="00D63084"/>
    <w:rsid w:val="00D63F91"/>
    <w:rsid w:val="00D6493E"/>
    <w:rsid w:val="00D67798"/>
    <w:rsid w:val="00D72783"/>
    <w:rsid w:val="00D73C01"/>
    <w:rsid w:val="00D74637"/>
    <w:rsid w:val="00D763E2"/>
    <w:rsid w:val="00D80DD3"/>
    <w:rsid w:val="00D82F24"/>
    <w:rsid w:val="00D834EE"/>
    <w:rsid w:val="00D83A95"/>
    <w:rsid w:val="00D84A25"/>
    <w:rsid w:val="00D84EE1"/>
    <w:rsid w:val="00D855AE"/>
    <w:rsid w:val="00D86C12"/>
    <w:rsid w:val="00D87F31"/>
    <w:rsid w:val="00D91F34"/>
    <w:rsid w:val="00D9326B"/>
    <w:rsid w:val="00D97D00"/>
    <w:rsid w:val="00DA1124"/>
    <w:rsid w:val="00DA24C7"/>
    <w:rsid w:val="00DA2BE7"/>
    <w:rsid w:val="00DA3BFE"/>
    <w:rsid w:val="00DA5B9B"/>
    <w:rsid w:val="00DA7A0C"/>
    <w:rsid w:val="00DB33CF"/>
    <w:rsid w:val="00DB34F5"/>
    <w:rsid w:val="00DB3EFD"/>
    <w:rsid w:val="00DC28A2"/>
    <w:rsid w:val="00DC38FE"/>
    <w:rsid w:val="00DC55B7"/>
    <w:rsid w:val="00DC7746"/>
    <w:rsid w:val="00DC79D6"/>
    <w:rsid w:val="00DC7EE4"/>
    <w:rsid w:val="00DD068A"/>
    <w:rsid w:val="00DD17A1"/>
    <w:rsid w:val="00DD75A3"/>
    <w:rsid w:val="00DE02AE"/>
    <w:rsid w:val="00DE6A0C"/>
    <w:rsid w:val="00DE6C04"/>
    <w:rsid w:val="00DF11C7"/>
    <w:rsid w:val="00DF1D7F"/>
    <w:rsid w:val="00DF2F50"/>
    <w:rsid w:val="00DF445C"/>
    <w:rsid w:val="00E02771"/>
    <w:rsid w:val="00E02FB4"/>
    <w:rsid w:val="00E0318B"/>
    <w:rsid w:val="00E05B04"/>
    <w:rsid w:val="00E06A1B"/>
    <w:rsid w:val="00E1165A"/>
    <w:rsid w:val="00E1340C"/>
    <w:rsid w:val="00E152C9"/>
    <w:rsid w:val="00E2020C"/>
    <w:rsid w:val="00E20571"/>
    <w:rsid w:val="00E207D9"/>
    <w:rsid w:val="00E21651"/>
    <w:rsid w:val="00E235F7"/>
    <w:rsid w:val="00E239D4"/>
    <w:rsid w:val="00E26C01"/>
    <w:rsid w:val="00E313A8"/>
    <w:rsid w:val="00E334C6"/>
    <w:rsid w:val="00E350C5"/>
    <w:rsid w:val="00E40B22"/>
    <w:rsid w:val="00E40BD2"/>
    <w:rsid w:val="00E413B7"/>
    <w:rsid w:val="00E41AD2"/>
    <w:rsid w:val="00E42068"/>
    <w:rsid w:val="00E4307C"/>
    <w:rsid w:val="00E449FA"/>
    <w:rsid w:val="00E4588F"/>
    <w:rsid w:val="00E46DA3"/>
    <w:rsid w:val="00E476C8"/>
    <w:rsid w:val="00E57B71"/>
    <w:rsid w:val="00E72FC4"/>
    <w:rsid w:val="00E7375C"/>
    <w:rsid w:val="00E755B5"/>
    <w:rsid w:val="00E76C5C"/>
    <w:rsid w:val="00E8107E"/>
    <w:rsid w:val="00E81BC9"/>
    <w:rsid w:val="00E85439"/>
    <w:rsid w:val="00E85D5D"/>
    <w:rsid w:val="00E860E0"/>
    <w:rsid w:val="00E86A1F"/>
    <w:rsid w:val="00E8778C"/>
    <w:rsid w:val="00E9008E"/>
    <w:rsid w:val="00E90B76"/>
    <w:rsid w:val="00E9579B"/>
    <w:rsid w:val="00E9658C"/>
    <w:rsid w:val="00E97275"/>
    <w:rsid w:val="00EA0A0F"/>
    <w:rsid w:val="00EA16DE"/>
    <w:rsid w:val="00EA3DF3"/>
    <w:rsid w:val="00EA406B"/>
    <w:rsid w:val="00EA5206"/>
    <w:rsid w:val="00EA5776"/>
    <w:rsid w:val="00EA676D"/>
    <w:rsid w:val="00EB0798"/>
    <w:rsid w:val="00EB28AE"/>
    <w:rsid w:val="00EB2F97"/>
    <w:rsid w:val="00EB34F1"/>
    <w:rsid w:val="00EB40AD"/>
    <w:rsid w:val="00EB4571"/>
    <w:rsid w:val="00EB586E"/>
    <w:rsid w:val="00EB5FC8"/>
    <w:rsid w:val="00EB74A7"/>
    <w:rsid w:val="00EC384E"/>
    <w:rsid w:val="00EC4910"/>
    <w:rsid w:val="00EC580A"/>
    <w:rsid w:val="00ED5A41"/>
    <w:rsid w:val="00ED5D05"/>
    <w:rsid w:val="00ED6B23"/>
    <w:rsid w:val="00EE00CA"/>
    <w:rsid w:val="00EE2CC3"/>
    <w:rsid w:val="00EE3577"/>
    <w:rsid w:val="00EE7403"/>
    <w:rsid w:val="00EF1963"/>
    <w:rsid w:val="00EF3C6A"/>
    <w:rsid w:val="00EF578B"/>
    <w:rsid w:val="00EF7B95"/>
    <w:rsid w:val="00F014AA"/>
    <w:rsid w:val="00F033EC"/>
    <w:rsid w:val="00F0438D"/>
    <w:rsid w:val="00F049A1"/>
    <w:rsid w:val="00F04F68"/>
    <w:rsid w:val="00F10A73"/>
    <w:rsid w:val="00F10BD8"/>
    <w:rsid w:val="00F1232F"/>
    <w:rsid w:val="00F12670"/>
    <w:rsid w:val="00F14B27"/>
    <w:rsid w:val="00F20118"/>
    <w:rsid w:val="00F23105"/>
    <w:rsid w:val="00F25577"/>
    <w:rsid w:val="00F2700C"/>
    <w:rsid w:val="00F3148D"/>
    <w:rsid w:val="00F32D36"/>
    <w:rsid w:val="00F3509E"/>
    <w:rsid w:val="00F3516A"/>
    <w:rsid w:val="00F35298"/>
    <w:rsid w:val="00F3529E"/>
    <w:rsid w:val="00F41DCE"/>
    <w:rsid w:val="00F443FD"/>
    <w:rsid w:val="00F46F9A"/>
    <w:rsid w:val="00F47D14"/>
    <w:rsid w:val="00F47E37"/>
    <w:rsid w:val="00F50ADC"/>
    <w:rsid w:val="00F50B5E"/>
    <w:rsid w:val="00F52B2E"/>
    <w:rsid w:val="00F53E24"/>
    <w:rsid w:val="00F56D63"/>
    <w:rsid w:val="00F57214"/>
    <w:rsid w:val="00F62047"/>
    <w:rsid w:val="00F640B6"/>
    <w:rsid w:val="00F647EA"/>
    <w:rsid w:val="00F64959"/>
    <w:rsid w:val="00F65B15"/>
    <w:rsid w:val="00F70540"/>
    <w:rsid w:val="00F76802"/>
    <w:rsid w:val="00F80E40"/>
    <w:rsid w:val="00F91585"/>
    <w:rsid w:val="00F923D6"/>
    <w:rsid w:val="00F942E9"/>
    <w:rsid w:val="00F95CA6"/>
    <w:rsid w:val="00F9705F"/>
    <w:rsid w:val="00FA029A"/>
    <w:rsid w:val="00FA1009"/>
    <w:rsid w:val="00FA144A"/>
    <w:rsid w:val="00FA2018"/>
    <w:rsid w:val="00FA3338"/>
    <w:rsid w:val="00FA5B82"/>
    <w:rsid w:val="00FA639E"/>
    <w:rsid w:val="00FA7DF1"/>
    <w:rsid w:val="00FB1B89"/>
    <w:rsid w:val="00FB3817"/>
    <w:rsid w:val="00FB6EEA"/>
    <w:rsid w:val="00FC03C8"/>
    <w:rsid w:val="00FC25E4"/>
    <w:rsid w:val="00FC2874"/>
    <w:rsid w:val="00FC42B9"/>
    <w:rsid w:val="00FC4EF7"/>
    <w:rsid w:val="00FC55F2"/>
    <w:rsid w:val="00FD56A0"/>
    <w:rsid w:val="00FD5947"/>
    <w:rsid w:val="00FD62E3"/>
    <w:rsid w:val="00FE1DEE"/>
    <w:rsid w:val="00FE449C"/>
    <w:rsid w:val="00FE6040"/>
    <w:rsid w:val="00FE705F"/>
    <w:rsid w:val="00FF01FE"/>
    <w:rsid w:val="00FF1448"/>
    <w:rsid w:val="00FF2126"/>
    <w:rsid w:val="00FF25D3"/>
    <w:rsid w:val="00FF4170"/>
    <w:rsid w:val="00FF59FF"/>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5E7007"/>
  <w15:docId w15:val="{9FB8A505-8DA2-46F1-8113-1A546668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7F35"/>
    <w:pPr>
      <w:spacing w:before="120" w:after="180" w:line="240" w:lineRule="atLeast"/>
    </w:pPr>
    <w:rPr>
      <w:sz w:val="22"/>
      <w:lang w:eastAsia="en-US"/>
    </w:rPr>
  </w:style>
  <w:style w:type="paragraph" w:styleId="Heading1">
    <w:name w:val="heading 1"/>
    <w:basedOn w:val="Heading2"/>
    <w:next w:val="Normal"/>
    <w:link w:val="Heading1Char"/>
    <w:rsid w:val="00D97D00"/>
    <w:pPr>
      <w:outlineLvl w:val="0"/>
    </w:pPr>
  </w:style>
  <w:style w:type="paragraph" w:styleId="Heading2">
    <w:name w:val="heading 2"/>
    <w:basedOn w:val="Normal"/>
    <w:next w:val="Normal"/>
    <w:link w:val="Heading2Char"/>
    <w:qFormat/>
    <w:rsid w:val="00BC2009"/>
    <w:pPr>
      <w:keepNext/>
      <w:keepLines/>
      <w:numPr>
        <w:numId w:val="5"/>
      </w:numPr>
      <w:spacing w:before="480" w:after="120"/>
      <w:outlineLvl w:val="1"/>
    </w:pPr>
    <w:rPr>
      <w:rFonts w:ascii="Arial" w:eastAsia="Times New Roman" w:hAnsi="Arial"/>
      <w:b/>
      <w:bCs/>
      <w:sz w:val="32"/>
      <w:szCs w:val="32"/>
    </w:rPr>
  </w:style>
  <w:style w:type="paragraph" w:styleId="Heading3">
    <w:name w:val="heading 3"/>
    <w:basedOn w:val="Normal"/>
    <w:next w:val="Normal"/>
    <w:link w:val="Heading3Char"/>
    <w:qFormat/>
    <w:rsid w:val="00BC2009"/>
    <w:pPr>
      <w:keepNext/>
      <w:keepLines/>
      <w:numPr>
        <w:ilvl w:val="1"/>
        <w:numId w:val="5"/>
      </w:numPr>
      <w:spacing w:before="480" w:after="120"/>
      <w:outlineLvl w:val="2"/>
    </w:pPr>
    <w:rPr>
      <w:rFonts w:ascii="Arial" w:eastAsia="Times New Roman" w:hAnsi="Arial"/>
      <w:b/>
      <w:bCs/>
      <w:sz w:val="28"/>
      <w:szCs w:val="32"/>
    </w:rPr>
  </w:style>
  <w:style w:type="paragraph" w:styleId="Heading4">
    <w:name w:val="heading 4"/>
    <w:basedOn w:val="Normal"/>
    <w:next w:val="Normal"/>
    <w:link w:val="Heading4Char"/>
    <w:qFormat/>
    <w:rsid w:val="00E97275"/>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6C57B7"/>
    <w:pPr>
      <w:keepNext/>
      <w:keepLines/>
      <w:spacing w:before="240" w:after="120"/>
      <w:ind w:left="1008" w:hanging="1008"/>
      <w:outlineLvl w:val="4"/>
    </w:pPr>
    <w:rPr>
      <w:rFonts w:eastAsia="Times New Roman"/>
      <w:b/>
      <w:bCs/>
      <w:i/>
      <w:color w:val="001523"/>
      <w:szCs w:val="26"/>
    </w:rPr>
  </w:style>
  <w:style w:type="paragraph" w:styleId="Heading6">
    <w:name w:val="heading 6"/>
    <w:basedOn w:val="Normal"/>
    <w:next w:val="Normal"/>
    <w:link w:val="Heading6Char"/>
    <w:uiPriority w:val="9"/>
    <w:rsid w:val="00B138BE"/>
    <w:pPr>
      <w:keepNext/>
      <w:keepLines/>
      <w:numPr>
        <w:ilvl w:val="5"/>
        <w:numId w:val="5"/>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B138BE"/>
    <w:pPr>
      <w:keepNext/>
      <w:keepLines/>
      <w:numPr>
        <w:ilvl w:val="6"/>
        <w:numId w:val="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430AAA"/>
    <w:pPr>
      <w:keepNext/>
      <w:keepLines/>
      <w:numPr>
        <w:ilvl w:val="7"/>
        <w:numId w:val="5"/>
      </w:numPr>
      <w:tabs>
        <w:tab w:val="num" w:pos="360"/>
      </w:tabs>
      <w:spacing w:before="200" w:after="0"/>
      <w:ind w:left="0" w:firstLine="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430AAA"/>
    <w:pPr>
      <w:keepNext/>
      <w:keepLines/>
      <w:numPr>
        <w:ilvl w:val="8"/>
        <w:numId w:val="5"/>
      </w:numPr>
      <w:tabs>
        <w:tab w:val="num" w:pos="360"/>
      </w:tabs>
      <w:spacing w:before="200" w:after="0"/>
      <w:ind w:left="0" w:firstLine="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00"/>
    <w:rPr>
      <w:rFonts w:ascii="Arial" w:eastAsia="Times New Roman" w:hAnsi="Arial"/>
      <w:b/>
      <w:bCs/>
      <w:sz w:val="32"/>
      <w:szCs w:val="32"/>
      <w:lang w:eastAsia="en-US"/>
    </w:rPr>
  </w:style>
  <w:style w:type="character" w:customStyle="1" w:styleId="Heading2Char">
    <w:name w:val="Heading 2 Char"/>
    <w:basedOn w:val="DefaultParagraphFont"/>
    <w:link w:val="Heading2"/>
    <w:rsid w:val="00BC2009"/>
    <w:rPr>
      <w:rFonts w:ascii="Arial" w:eastAsia="Times New Roman" w:hAnsi="Arial"/>
      <w:b/>
      <w:bCs/>
      <w:sz w:val="32"/>
      <w:szCs w:val="32"/>
      <w:lang w:eastAsia="en-US"/>
    </w:rPr>
  </w:style>
  <w:style w:type="character" w:customStyle="1" w:styleId="Heading3Char">
    <w:name w:val="Heading 3 Char"/>
    <w:basedOn w:val="DefaultParagraphFont"/>
    <w:link w:val="Heading3"/>
    <w:rsid w:val="00BC2009"/>
    <w:rPr>
      <w:rFonts w:ascii="Arial" w:eastAsia="Times New Roman" w:hAnsi="Arial"/>
      <w:b/>
      <w:bCs/>
      <w:sz w:val="28"/>
      <w:szCs w:val="32"/>
      <w:lang w:eastAsia="en-US"/>
    </w:rPr>
  </w:style>
  <w:style w:type="paragraph" w:customStyle="1" w:styleId="Figuredescription">
    <w:name w:val="Figure description"/>
    <w:basedOn w:val="Normal"/>
    <w:next w:val="Normal"/>
    <w:rsid w:val="00CA62E0"/>
    <w:pPr>
      <w:spacing w:after="240" w:line="180" w:lineRule="atLeast"/>
    </w:pPr>
    <w:rPr>
      <w:sz w:val="18"/>
    </w:rPr>
  </w:style>
  <w:style w:type="paragraph" w:customStyle="1" w:styleId="Figuretitle">
    <w:name w:val="Figure title"/>
    <w:basedOn w:val="Normal"/>
    <w:next w:val="Normal"/>
    <w:rsid w:val="00CA62E0"/>
    <w:pPr>
      <w:outlineLvl w:val="4"/>
    </w:pPr>
    <w:rPr>
      <w:b/>
    </w:rPr>
  </w:style>
  <w:style w:type="paragraph" w:styleId="DocumentMap">
    <w:name w:val="Document Map"/>
    <w:basedOn w:val="Normal"/>
    <w:link w:val="DocumentMapChar"/>
    <w:uiPriority w:val="99"/>
    <w:semiHidden/>
    <w:unhideWhenUsed/>
    <w:rsid w:val="001B5CE3"/>
    <w:pPr>
      <w:spacing w:before="0"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DocumentMapChar">
    <w:name w:val="Document Map Char"/>
    <w:basedOn w:val="DefaultParagraphFont"/>
    <w:link w:val="DocumentMap"/>
    <w:uiPriority w:val="99"/>
    <w:semiHidden/>
    <w:rsid w:val="001B5CE3"/>
    <w:rPr>
      <w:rFonts w:ascii="Tahoma" w:hAnsi="Tahoma" w:cs="Tahoma"/>
      <w:sz w:val="16"/>
      <w:szCs w:val="16"/>
      <w:lang w:eastAsia="en-US"/>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E97275"/>
    <w:rPr>
      <w:rFonts w:ascii="Arial" w:hAnsi="Arial"/>
      <w:b/>
      <w:bCs/>
      <w:sz w:val="26"/>
      <w:szCs w:val="26"/>
      <w:lang w:eastAsia="en-US"/>
    </w:rPr>
  </w:style>
  <w:style w:type="character" w:styleId="FollowedHyperlink">
    <w:name w:val="FollowedHyperlink"/>
    <w:basedOn w:val="DefaultParagraphFont"/>
    <w:semiHidden/>
    <w:unhideWhenUsed/>
    <w:rsid w:val="006B3CF2"/>
    <w:rPr>
      <w:color w:val="800080"/>
      <w:u w:val="single"/>
    </w:rPr>
  </w:style>
  <w:style w:type="paragraph" w:styleId="Footer">
    <w:name w:val="footer"/>
    <w:basedOn w:val="Normal"/>
    <w:link w:val="FooterChar"/>
    <w:uiPriority w:val="99"/>
    <w:rsid w:val="00B138B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B138B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EB74A7"/>
    <w:pPr>
      <w:pBdr>
        <w:bottom w:val="none" w:sz="0" w:space="0" w:color="auto"/>
      </w:pBdr>
      <w:spacing w:before="240" w:after="120"/>
    </w:pPr>
  </w:style>
  <w:style w:type="character" w:customStyle="1" w:styleId="Heading5Char">
    <w:name w:val="Heading 5 Char"/>
    <w:basedOn w:val="DefaultParagraphFont"/>
    <w:link w:val="Heading5"/>
    <w:uiPriority w:val="9"/>
    <w:rsid w:val="006C57B7"/>
    <w:rPr>
      <w:rFonts w:eastAsia="Times New Roman"/>
      <w:b/>
      <w:bCs/>
      <w:i/>
      <w:color w:val="001523"/>
      <w:sz w:val="22"/>
      <w:szCs w:val="26"/>
      <w:lang w:eastAsia="en-US"/>
    </w:rPr>
  </w:style>
  <w:style w:type="character" w:customStyle="1" w:styleId="Heading6Char">
    <w:name w:val="Heading 6 Char"/>
    <w:basedOn w:val="DefaultParagraphFont"/>
    <w:link w:val="Heading6"/>
    <w:uiPriority w:val="9"/>
    <w:rsid w:val="00F3148D"/>
    <w:rPr>
      <w:rFonts w:eastAsia="Times New Roman"/>
      <w:b/>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i/>
      <w:sz w:val="22"/>
      <w:szCs w:val="22"/>
      <w:lang w:eastAsia="en-US"/>
    </w:rPr>
  </w:style>
  <w:style w:type="character" w:styleId="Hyperlink">
    <w:name w:val="Hyperlink"/>
    <w:aliases w:val="OECD Hyperlink"/>
    <w:basedOn w:val="DefaultParagraphFont"/>
    <w:uiPriority w:val="99"/>
    <w:unhideWhenUsed/>
    <w:rsid w:val="00B138BE"/>
    <w:rPr>
      <w:color w:val="0000FF"/>
      <w:u w:val="single"/>
    </w:rPr>
  </w:style>
  <w:style w:type="paragraph" w:customStyle="1" w:styleId="LegalCopy">
    <w:name w:val="Legal Copy"/>
    <w:basedOn w:val="Footer"/>
    <w:unhideWhenUsed/>
    <w:rsid w:val="006B3CF2"/>
  </w:style>
  <w:style w:type="paragraph" w:customStyle="1" w:styleId="LegalSubheading">
    <w:name w:val="Legal Subheading"/>
    <w:basedOn w:val="Footer"/>
    <w:unhideWhenUsed/>
    <w:rsid w:val="006B3CF2"/>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764E05"/>
    <w:pPr>
      <w:numPr>
        <w:numId w:val="3"/>
      </w:numPr>
    </w:pPr>
  </w:style>
  <w:style w:type="paragraph" w:styleId="ListBullet2">
    <w:name w:val="List Bullet 2"/>
    <w:basedOn w:val="Normal"/>
    <w:uiPriority w:val="99"/>
    <w:qFormat/>
    <w:rsid w:val="00E313A8"/>
    <w:pPr>
      <w:numPr>
        <w:ilvl w:val="1"/>
        <w:numId w:val="3"/>
      </w:numPr>
    </w:pPr>
  </w:style>
  <w:style w:type="paragraph" w:styleId="ListBullet3">
    <w:name w:val="List Bullet 3"/>
    <w:basedOn w:val="Normal"/>
    <w:uiPriority w:val="99"/>
    <w:qFormat/>
    <w:rsid w:val="00E313A8"/>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313A8"/>
    <w:pPr>
      <w:numPr>
        <w:numId w:val="4"/>
      </w:numPr>
    </w:pPr>
  </w:style>
  <w:style w:type="paragraph" w:customStyle="1" w:styleId="Numberbullet2">
    <w:name w:val="Number bullet 2"/>
    <w:basedOn w:val="ListBullet2"/>
    <w:qFormat/>
    <w:rsid w:val="00E313A8"/>
    <w:pPr>
      <w:numPr>
        <w:numId w:val="4"/>
      </w:numPr>
      <w:ind w:left="850" w:hanging="425"/>
    </w:pPr>
  </w:style>
  <w:style w:type="paragraph" w:customStyle="1" w:styleId="Numberbullet3">
    <w:name w:val="Number bullet 3"/>
    <w:basedOn w:val="ListBullet3"/>
    <w:qFormat/>
    <w:rsid w:val="00E313A8"/>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138BE"/>
    <w:pPr>
      <w:spacing w:before="40" w:after="0"/>
      <w:ind w:left="170" w:hanging="170"/>
    </w:pPr>
    <w:rPr>
      <w:sz w:val="19"/>
    </w:rPr>
  </w:style>
  <w:style w:type="paragraph" w:styleId="Subtitle">
    <w:name w:val="Subtitle"/>
    <w:basedOn w:val="Normal"/>
    <w:next w:val="Normal"/>
    <w:link w:val="SubtitleChar"/>
    <w:uiPriority w:val="11"/>
    <w:unhideWhenUsed/>
    <w:rsid w:val="001F04D7"/>
    <w:pPr>
      <w:numPr>
        <w:ilvl w:val="1"/>
      </w:numPr>
      <w:spacing w:after="12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1F04D7"/>
    <w:rPr>
      <w:rFonts w:ascii="Arial" w:eastAsia="Times New Roman" w:hAnsi="Arial"/>
      <w:bCs/>
      <w:iCs/>
      <w:color w:val="006DA7"/>
      <w:sz w:val="40"/>
      <w:szCs w:val="24"/>
      <w:lang w:eastAsia="en-US"/>
    </w:rPr>
  </w:style>
  <w:style w:type="table" w:styleId="TableGrid">
    <w:name w:val="Table Grid"/>
    <w:basedOn w:val="TableNormal"/>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860E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E860E0"/>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itle">
    <w:name w:val="Title"/>
    <w:next w:val="Normal"/>
    <w:link w:val="TitleChar"/>
    <w:uiPriority w:val="10"/>
    <w:unhideWhenUsed/>
    <w:rsid w:val="009F20E4"/>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9F20E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D3724"/>
    <w:pPr>
      <w:keepNext/>
      <w:keepLines/>
      <w:tabs>
        <w:tab w:val="right" w:leader="underscore" w:pos="8505"/>
      </w:tabs>
      <w:spacing w:after="200"/>
    </w:pPr>
    <w:rPr>
      <w:rFonts w:ascii="Arial" w:hAnsi="Arial"/>
      <w:b/>
    </w:rPr>
  </w:style>
  <w:style w:type="paragraph" w:styleId="TOC2">
    <w:name w:val="toc 2"/>
    <w:basedOn w:val="Normal"/>
    <w:next w:val="Normal"/>
    <w:uiPriority w:val="39"/>
    <w:unhideWhenUsed/>
    <w:rsid w:val="008D3724"/>
    <w:pPr>
      <w:keepNext/>
      <w:keepLines/>
      <w:tabs>
        <w:tab w:val="right" w:leader="underscore" w:pos="8505"/>
      </w:tabs>
      <w:spacing w:after="100"/>
      <w:ind w:left="425"/>
    </w:pPr>
  </w:style>
  <w:style w:type="paragraph" w:styleId="TOC3">
    <w:name w:val="toc 3"/>
    <w:basedOn w:val="Normal"/>
    <w:next w:val="Normal"/>
    <w:uiPriority w:val="39"/>
    <w:unhideWhenUsed/>
    <w:rsid w:val="008D3724"/>
    <w:pPr>
      <w:keepNext/>
      <w:keepLines/>
      <w:tabs>
        <w:tab w:val="right" w:leader="hyphen" w:pos="8505"/>
      </w:tabs>
      <w:spacing w:after="100"/>
      <w:ind w:left="851"/>
    </w:pPr>
    <w:rPr>
      <w:sz w:val="20"/>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B138BE"/>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8D3724"/>
    <w:pPr>
      <w:keepNext/>
      <w:keepLines/>
      <w:spacing w:before="360"/>
    </w:pPr>
    <w:rPr>
      <w:rFonts w:ascii="Arial" w:hAnsi="Arial"/>
      <w:b/>
    </w:rPr>
  </w:style>
  <w:style w:type="paragraph" w:customStyle="1" w:styleId="Quotation">
    <w:name w:val="Quotation"/>
    <w:basedOn w:val="Normal"/>
    <w:next w:val="Normal"/>
    <w:uiPriority w:val="4"/>
    <w:qFormat/>
    <w:rsid w:val="00B138BE"/>
    <w:pPr>
      <w:ind w:left="425"/>
    </w:pPr>
    <w:rPr>
      <w:sz w:val="20"/>
    </w:rPr>
  </w:style>
  <w:style w:type="paragraph" w:customStyle="1" w:styleId="Tabledescription">
    <w:name w:val="Table description"/>
    <w:basedOn w:val="Figuredescription"/>
    <w:next w:val="Normal"/>
    <w:rsid w:val="00CA62E0"/>
  </w:style>
  <w:style w:type="paragraph" w:customStyle="1" w:styleId="Tabletitle">
    <w:name w:val="Table title"/>
    <w:basedOn w:val="Normal"/>
    <w:next w:val="Normal"/>
    <w:rsid w:val="00041297"/>
    <w:pPr>
      <w:keepNext/>
      <w:outlineLvl w:val="4"/>
    </w:pPr>
    <w:rPr>
      <w:b/>
    </w:rPr>
  </w:style>
  <w:style w:type="paragraph" w:styleId="TOC4">
    <w:name w:val="toc 4"/>
    <w:basedOn w:val="Normal"/>
    <w:next w:val="Normal"/>
    <w:autoRedefine/>
    <w:uiPriority w:val="39"/>
    <w:semiHidden/>
    <w:unhideWhenUsed/>
    <w:rsid w:val="00B138BE"/>
    <w:pPr>
      <w:tabs>
        <w:tab w:val="right" w:leader="hyphen" w:pos="8505"/>
      </w:tabs>
      <w:spacing w:after="100"/>
      <w:ind w:left="1276"/>
    </w:pPr>
  </w:style>
  <w:style w:type="paragraph" w:styleId="TOC5">
    <w:name w:val="toc 5"/>
    <w:basedOn w:val="Normal"/>
    <w:next w:val="Normal"/>
    <w:autoRedefine/>
    <w:uiPriority w:val="39"/>
    <w:semiHidden/>
    <w:unhideWhenUsed/>
    <w:rsid w:val="00B138BE"/>
    <w:pPr>
      <w:tabs>
        <w:tab w:val="right" w:leader="dot" w:pos="8505"/>
      </w:tabs>
      <w:spacing w:after="100"/>
      <w:ind w:left="1701"/>
    </w:pPr>
    <w:rPr>
      <w:noProof/>
    </w:rPr>
  </w:style>
  <w:style w:type="paragraph" w:styleId="TOC6">
    <w:name w:val="toc 6"/>
    <w:basedOn w:val="Normal"/>
    <w:next w:val="Normal"/>
    <w:autoRedefine/>
    <w:uiPriority w:val="39"/>
    <w:semiHidden/>
    <w:unhideWhenUsed/>
    <w:rsid w:val="00B138BE"/>
    <w:pPr>
      <w:tabs>
        <w:tab w:val="right" w:pos="8505"/>
      </w:tabs>
      <w:spacing w:after="100"/>
      <w:ind w:left="2126"/>
    </w:pPr>
  </w:style>
  <w:style w:type="paragraph" w:styleId="EndnoteText">
    <w:name w:val="endnote text"/>
    <w:basedOn w:val="FootnoteText"/>
    <w:link w:val="EndnoteTextChar"/>
    <w:semiHidden/>
    <w:unhideWhenUsed/>
    <w:rsid w:val="00732B06"/>
    <w:rPr>
      <w:rFonts w:asciiTheme="minorHAnsi" w:hAnsiTheme="minorHAnsi" w:cstheme="minorBidi"/>
      <w:szCs w:val="22"/>
    </w:rPr>
  </w:style>
  <w:style w:type="character" w:customStyle="1" w:styleId="EndnoteTextChar">
    <w:name w:val="Endnote Text Char"/>
    <w:basedOn w:val="DefaultParagraphFont"/>
    <w:link w:val="EndnoteText"/>
    <w:semiHidden/>
    <w:rsid w:val="00732B06"/>
    <w:rPr>
      <w:rFonts w:asciiTheme="minorHAnsi" w:hAnsiTheme="minorHAnsi" w:cstheme="minorBidi"/>
      <w:szCs w:val="22"/>
      <w:lang w:eastAsia="en-US"/>
    </w:rPr>
  </w:style>
  <w:style w:type="paragraph" w:styleId="ListParagraph">
    <w:name w:val="List Paragraph"/>
    <w:basedOn w:val="Normal"/>
    <w:uiPriority w:val="34"/>
    <w:qFormat/>
    <w:rsid w:val="008D3FCE"/>
    <w:pPr>
      <w:ind w:left="720"/>
      <w:contextualSpacing/>
    </w:pPr>
  </w:style>
  <w:style w:type="character" w:customStyle="1" w:styleId="Heading8Char">
    <w:name w:val="Heading 8 Char"/>
    <w:basedOn w:val="DefaultParagraphFont"/>
    <w:link w:val="Heading8"/>
    <w:uiPriority w:val="9"/>
    <w:semiHidden/>
    <w:rsid w:val="00430AAA"/>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430AAA"/>
    <w:rPr>
      <w:rFonts w:asciiTheme="majorHAnsi" w:eastAsiaTheme="majorEastAsia" w:hAnsiTheme="majorHAnsi" w:cstheme="majorBidi"/>
      <w:i/>
      <w:iCs/>
      <w:color w:val="0070B5" w:themeColor="text1" w:themeTint="BF"/>
      <w:lang w:eastAsia="en-US"/>
    </w:rPr>
  </w:style>
  <w:style w:type="character" w:styleId="CommentReference">
    <w:name w:val="annotation reference"/>
    <w:basedOn w:val="DefaultParagraphFont"/>
    <w:uiPriority w:val="99"/>
    <w:semiHidden/>
    <w:unhideWhenUsed/>
    <w:rsid w:val="00A342E4"/>
    <w:rPr>
      <w:sz w:val="16"/>
      <w:szCs w:val="16"/>
    </w:rPr>
  </w:style>
  <w:style w:type="paragraph" w:styleId="CommentText">
    <w:name w:val="annotation text"/>
    <w:basedOn w:val="Normal"/>
    <w:link w:val="CommentTextChar"/>
    <w:uiPriority w:val="99"/>
    <w:unhideWhenUsed/>
    <w:rsid w:val="00A342E4"/>
    <w:pPr>
      <w:spacing w:line="240" w:lineRule="auto"/>
    </w:pPr>
    <w:rPr>
      <w:sz w:val="20"/>
    </w:rPr>
  </w:style>
  <w:style w:type="character" w:customStyle="1" w:styleId="CommentTextChar">
    <w:name w:val="Comment Text Char"/>
    <w:basedOn w:val="DefaultParagraphFont"/>
    <w:link w:val="CommentText"/>
    <w:uiPriority w:val="99"/>
    <w:rsid w:val="00A342E4"/>
    <w:rPr>
      <w:lang w:eastAsia="en-US"/>
    </w:rPr>
  </w:style>
  <w:style w:type="paragraph" w:styleId="CommentSubject">
    <w:name w:val="annotation subject"/>
    <w:basedOn w:val="CommentText"/>
    <w:next w:val="CommentText"/>
    <w:link w:val="CommentSubjectChar"/>
    <w:uiPriority w:val="99"/>
    <w:semiHidden/>
    <w:unhideWhenUsed/>
    <w:rsid w:val="00A342E4"/>
    <w:rPr>
      <w:b/>
      <w:bCs/>
    </w:rPr>
  </w:style>
  <w:style w:type="character" w:customStyle="1" w:styleId="CommentSubjectChar">
    <w:name w:val="Comment Subject Char"/>
    <w:basedOn w:val="CommentTextChar"/>
    <w:link w:val="CommentSubject"/>
    <w:uiPriority w:val="99"/>
    <w:semiHidden/>
    <w:rsid w:val="00A342E4"/>
    <w:rPr>
      <w:b/>
      <w:bCs/>
      <w:lang w:eastAsia="en-US"/>
    </w:rPr>
  </w:style>
  <w:style w:type="table" w:styleId="LightList-Accent1">
    <w:name w:val="Light List Accent 1"/>
    <w:basedOn w:val="TableNormal"/>
    <w:uiPriority w:val="61"/>
    <w:rsid w:val="00D47415"/>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8D3724"/>
    <w:pPr>
      <w:spacing w:after="100"/>
      <w:ind w:left="1760"/>
    </w:pPr>
  </w:style>
  <w:style w:type="paragraph" w:customStyle="1" w:styleId="TableTitle0">
    <w:name w:val="Table Title"/>
    <w:basedOn w:val="Normal"/>
    <w:next w:val="Normal"/>
    <w:qFormat/>
    <w:rsid w:val="00FA7DF1"/>
    <w:pPr>
      <w:spacing w:before="180"/>
    </w:pPr>
    <w:rPr>
      <w:b/>
    </w:rPr>
  </w:style>
  <w:style w:type="character" w:styleId="Strong">
    <w:name w:val="Strong"/>
    <w:basedOn w:val="DefaultParagraphFont"/>
    <w:uiPriority w:val="22"/>
    <w:qFormat/>
    <w:rsid w:val="00FA7DF1"/>
    <w:rPr>
      <w:b/>
      <w:bCs/>
    </w:rPr>
  </w:style>
  <w:style w:type="paragraph" w:customStyle="1" w:styleId="Default">
    <w:name w:val="Default"/>
    <w:rsid w:val="00AE6155"/>
    <w:pPr>
      <w:autoSpaceDE w:val="0"/>
      <w:autoSpaceDN w:val="0"/>
      <w:adjustRightInd w:val="0"/>
    </w:pPr>
    <w:rPr>
      <w:rFonts w:ascii="Times New Roman" w:hAnsi="Times New Roman"/>
      <w:color w:val="000000"/>
      <w:sz w:val="24"/>
      <w:szCs w:val="24"/>
    </w:rPr>
  </w:style>
  <w:style w:type="character" w:styleId="EndnoteReference">
    <w:name w:val="endnote reference"/>
    <w:basedOn w:val="DefaultParagraphFont"/>
    <w:uiPriority w:val="99"/>
    <w:semiHidden/>
    <w:unhideWhenUsed/>
    <w:rsid w:val="00871E49"/>
    <w:rPr>
      <w:vertAlign w:val="superscript"/>
    </w:rPr>
  </w:style>
  <w:style w:type="character" w:customStyle="1" w:styleId="fontstyle01">
    <w:name w:val="fontstyle01"/>
    <w:basedOn w:val="DefaultParagraphFont"/>
    <w:rsid w:val="002B3304"/>
    <w:rPr>
      <w:rFonts w:ascii="Cambria" w:hAnsi="Cambria" w:hint="default"/>
      <w:b w:val="0"/>
      <w:bCs w:val="0"/>
      <w:i w:val="0"/>
      <w:iCs w:val="0"/>
      <w:color w:val="000000"/>
      <w:sz w:val="22"/>
      <w:szCs w:val="22"/>
    </w:rPr>
  </w:style>
  <w:style w:type="character" w:customStyle="1" w:styleId="fontstyle21">
    <w:name w:val="fontstyle21"/>
    <w:basedOn w:val="DefaultParagraphFont"/>
    <w:rsid w:val="002B3304"/>
    <w:rPr>
      <w:rFonts w:ascii="Cambria-Bold" w:hAnsi="Cambria-Bold" w:hint="default"/>
      <w:b/>
      <w:bCs/>
      <w:i w:val="0"/>
      <w:iCs w:val="0"/>
      <w:color w:val="000000"/>
      <w:sz w:val="22"/>
      <w:szCs w:val="22"/>
    </w:rPr>
  </w:style>
  <w:style w:type="paragraph" w:styleId="Revision">
    <w:name w:val="Revision"/>
    <w:hidden/>
    <w:uiPriority w:val="99"/>
    <w:semiHidden/>
    <w:rsid w:val="002C48BF"/>
    <w:rPr>
      <w:sz w:val="22"/>
      <w:lang w:eastAsia="en-US"/>
    </w:rPr>
  </w:style>
  <w:style w:type="paragraph" w:customStyle="1" w:styleId="ListBulleta">
    <w:name w:val="List Bullet a)"/>
    <w:basedOn w:val="ListBullet"/>
    <w:uiPriority w:val="1"/>
    <w:qFormat/>
    <w:rsid w:val="005302F5"/>
    <w:pPr>
      <w:numPr>
        <w:numId w:val="6"/>
      </w:numPr>
    </w:pPr>
  </w:style>
  <w:style w:type="paragraph" w:customStyle="1" w:styleId="ListBulleti">
    <w:name w:val="List Bullet i)"/>
    <w:basedOn w:val="ListBullet"/>
    <w:uiPriority w:val="1"/>
    <w:qFormat/>
    <w:rsid w:val="005302F5"/>
    <w:pPr>
      <w:numPr>
        <w:numId w:val="7"/>
      </w:numPr>
    </w:pPr>
  </w:style>
  <w:style w:type="character" w:customStyle="1" w:styleId="Style1">
    <w:name w:val="Style1"/>
    <w:basedOn w:val="DefaultParagraphFont"/>
    <w:uiPriority w:val="1"/>
    <w:rsid w:val="005A5916"/>
    <w:rPr>
      <w:rFonts w:ascii="Cambria" w:hAnsi="Cambria"/>
      <w:sz w:val="22"/>
    </w:rPr>
  </w:style>
  <w:style w:type="paragraph" w:styleId="NormalWeb">
    <w:name w:val="Normal (Web)"/>
    <w:basedOn w:val="Normal"/>
    <w:uiPriority w:val="99"/>
    <w:unhideWhenUsed/>
    <w:rsid w:val="004B545E"/>
    <w:pPr>
      <w:spacing w:before="100" w:beforeAutospacing="1" w:after="100" w:afterAutospacing="1" w:line="240" w:lineRule="auto"/>
    </w:pPr>
    <w:rPr>
      <w:rFonts w:ascii="Times New Roman" w:eastAsia="Times New Roman" w:hAnsi="Times New Roman"/>
      <w:sz w:val="24"/>
      <w:szCs w:val="24"/>
      <w:lang w:eastAsia="en-AU"/>
    </w:rPr>
  </w:style>
  <w:style w:type="character" w:styleId="UnresolvedMention">
    <w:name w:val="Unresolved Mention"/>
    <w:basedOn w:val="DefaultParagraphFont"/>
    <w:uiPriority w:val="99"/>
    <w:semiHidden/>
    <w:unhideWhenUsed/>
    <w:rsid w:val="00970C5F"/>
    <w:rPr>
      <w:color w:val="605E5C"/>
      <w:shd w:val="clear" w:color="auto" w:fill="E1DFDD"/>
    </w:rPr>
  </w:style>
  <w:style w:type="character" w:styleId="HTMLCite">
    <w:name w:val="HTML Cite"/>
    <w:basedOn w:val="DefaultParagraphFont"/>
    <w:uiPriority w:val="99"/>
    <w:semiHidden/>
    <w:unhideWhenUsed/>
    <w:rsid w:val="00393C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86088">
      <w:bodyDiv w:val="1"/>
      <w:marLeft w:val="0"/>
      <w:marRight w:val="0"/>
      <w:marTop w:val="0"/>
      <w:marBottom w:val="0"/>
      <w:divBdr>
        <w:top w:val="none" w:sz="0" w:space="0" w:color="auto"/>
        <w:left w:val="none" w:sz="0" w:space="0" w:color="auto"/>
        <w:bottom w:val="none" w:sz="0" w:space="0" w:color="auto"/>
        <w:right w:val="none" w:sz="0" w:space="0" w:color="auto"/>
      </w:divBdr>
    </w:div>
    <w:div w:id="539779508">
      <w:bodyDiv w:val="1"/>
      <w:marLeft w:val="0"/>
      <w:marRight w:val="0"/>
      <w:marTop w:val="0"/>
      <w:marBottom w:val="0"/>
      <w:divBdr>
        <w:top w:val="none" w:sz="0" w:space="0" w:color="auto"/>
        <w:left w:val="none" w:sz="0" w:space="0" w:color="auto"/>
        <w:bottom w:val="none" w:sz="0" w:space="0" w:color="auto"/>
        <w:right w:val="none" w:sz="0" w:space="0" w:color="auto"/>
      </w:divBdr>
    </w:div>
    <w:div w:id="597056433">
      <w:bodyDiv w:val="1"/>
      <w:marLeft w:val="0"/>
      <w:marRight w:val="0"/>
      <w:marTop w:val="0"/>
      <w:marBottom w:val="0"/>
      <w:divBdr>
        <w:top w:val="none" w:sz="0" w:space="0" w:color="auto"/>
        <w:left w:val="none" w:sz="0" w:space="0" w:color="auto"/>
        <w:bottom w:val="none" w:sz="0" w:space="0" w:color="auto"/>
        <w:right w:val="none" w:sz="0" w:space="0" w:color="auto"/>
      </w:divBdr>
    </w:div>
    <w:div w:id="989166881">
      <w:bodyDiv w:val="1"/>
      <w:marLeft w:val="0"/>
      <w:marRight w:val="0"/>
      <w:marTop w:val="0"/>
      <w:marBottom w:val="0"/>
      <w:divBdr>
        <w:top w:val="none" w:sz="0" w:space="0" w:color="auto"/>
        <w:left w:val="none" w:sz="0" w:space="0" w:color="auto"/>
        <w:bottom w:val="none" w:sz="0" w:space="0" w:color="auto"/>
        <w:right w:val="none" w:sz="0" w:space="0" w:color="auto"/>
      </w:divBdr>
    </w:div>
    <w:div w:id="1079325982">
      <w:bodyDiv w:val="1"/>
      <w:marLeft w:val="0"/>
      <w:marRight w:val="0"/>
      <w:marTop w:val="0"/>
      <w:marBottom w:val="0"/>
      <w:divBdr>
        <w:top w:val="none" w:sz="0" w:space="0" w:color="auto"/>
        <w:left w:val="none" w:sz="0" w:space="0" w:color="auto"/>
        <w:bottom w:val="none" w:sz="0" w:space="0" w:color="auto"/>
        <w:right w:val="none" w:sz="0" w:space="0" w:color="auto"/>
      </w:divBdr>
    </w:div>
    <w:div w:id="1218779523">
      <w:bodyDiv w:val="1"/>
      <w:marLeft w:val="0"/>
      <w:marRight w:val="0"/>
      <w:marTop w:val="0"/>
      <w:marBottom w:val="0"/>
      <w:divBdr>
        <w:top w:val="none" w:sz="0" w:space="0" w:color="auto"/>
        <w:left w:val="none" w:sz="0" w:space="0" w:color="auto"/>
        <w:bottom w:val="none" w:sz="0" w:space="0" w:color="auto"/>
        <w:right w:val="none" w:sz="0" w:space="0" w:color="auto"/>
      </w:divBdr>
    </w:div>
    <w:div w:id="164719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ga.gov.au/scheduling-decision-final/notification-amendments-poisons-standard-relation-new-chemical-entities-nces-may-2021" TargetMode="External"/><Relationship Id="rId2" Type="http://schemas.openxmlformats.org/officeDocument/2006/relationships/numbering" Target="numbering.xml"/><Relationship Id="rId16" Type="http://schemas.openxmlformats.org/officeDocument/2006/relationships/hyperlink" Target="https://www.tga.gov.au/publication/scheduling-handbook-guidance-amending-poisons-standard"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ga.gov.au/publication/ahmac-scheduling-policy-framework-medicines-and-chemical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mic\AppData\Local\Hewlett-Packard\HP%20TRIM\TEMP\HPTRIM.7372\R14%201178772%20%20Template%20%23011%20-%20Minutes%20-%20ACMS.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9E82D-5896-489A-ADE3-E2CC387F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R14 1178772  Template #011 - Minutes - ACMS.DOTX</Template>
  <TotalTime>37</TotalTime>
  <Pages>21</Pages>
  <Words>6267</Words>
  <Characters>33217</Characters>
  <Application>Microsoft Office Word</Application>
  <DocSecurity>0</DocSecurity>
  <Lines>692</Lines>
  <Paragraphs>424</Paragraphs>
  <ScaleCrop>false</ScaleCrop>
  <HeadingPairs>
    <vt:vector size="2" baseType="variant">
      <vt:variant>
        <vt:lpstr>Title</vt:lpstr>
      </vt:variant>
      <vt:variant>
        <vt:i4>1</vt:i4>
      </vt:variant>
    </vt:vector>
  </HeadingPairs>
  <TitlesOfParts>
    <vt:vector size="1" baseType="lpstr">
      <vt:lpstr>Notification of amendments to the Poisons Standard in relation to New Chemical Entities (NCEs) and Delegate-only decisions</vt:lpstr>
    </vt:vector>
  </TitlesOfParts>
  <Company>Department of Health, TGA</Company>
  <LinksUpToDate>false</LinksUpToDate>
  <CharactersWithSpaces>39060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amendments to the Poisons Standard in relation to New Chemical Entities (NCEs) and Delegate-only decisions</dc:title>
  <dc:subject>scheduling</dc:subject>
  <dc:creator>Therapeutic Goods Administration</dc:creator>
  <dc:description/>
  <cp:lastModifiedBy>LACK, Janet</cp:lastModifiedBy>
  <cp:revision>2</cp:revision>
  <cp:lastPrinted>2020-05-01T05:17:00Z</cp:lastPrinted>
  <dcterms:created xsi:type="dcterms:W3CDTF">2022-01-23T21:45:00Z</dcterms:created>
  <dcterms:modified xsi:type="dcterms:W3CDTF">2022-01-24T00:30:00Z</dcterms:modified>
</cp:coreProperties>
</file>